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E48C9" w14:textId="1276980E" w:rsidR="00E90B6D" w:rsidRPr="00E42C35" w:rsidRDefault="00E90B6D" w:rsidP="00836676">
      <w:pPr>
        <w:spacing w:after="120" w:line="276" w:lineRule="auto"/>
        <w:jc w:val="center"/>
        <w:rPr>
          <w:rFonts w:ascii="Calibri" w:hAnsi="Calibri" w:cs="Calibri"/>
          <w:b/>
          <w:lang w:bidi="en-US"/>
        </w:rPr>
      </w:pPr>
      <w:r w:rsidRPr="00E42C35">
        <w:rPr>
          <w:rFonts w:ascii="Calibri" w:hAnsi="Calibri" w:cs="Calibri"/>
          <w:b/>
          <w:lang w:bidi="en-US"/>
        </w:rPr>
        <w:t xml:space="preserve">PART </w:t>
      </w:r>
      <w:r w:rsidR="00C972AB" w:rsidRPr="00E42C35">
        <w:rPr>
          <w:rFonts w:ascii="Calibri" w:hAnsi="Calibri" w:cs="Calibri"/>
          <w:b/>
          <w:lang w:bidi="en-US"/>
        </w:rPr>
        <w:t>B</w:t>
      </w:r>
      <w:r w:rsidRPr="00E42C35">
        <w:rPr>
          <w:rFonts w:ascii="Calibri" w:hAnsi="Calibri" w:cs="Calibri"/>
          <w:b/>
          <w:lang w:bidi="en-US"/>
        </w:rPr>
        <w:t xml:space="preserve"> –</w:t>
      </w:r>
      <w:r w:rsidR="00B2186D" w:rsidRPr="00E42C35">
        <w:rPr>
          <w:rFonts w:ascii="Calibri" w:hAnsi="Calibri" w:cs="Calibri"/>
          <w:b/>
          <w:lang w:bidi="en-US"/>
        </w:rPr>
        <w:t xml:space="preserve"> </w:t>
      </w:r>
      <w:r w:rsidR="00ED02AA" w:rsidRPr="00E42C35">
        <w:rPr>
          <w:rFonts w:ascii="Calibri" w:hAnsi="Calibri" w:cs="Calibri"/>
          <w:b/>
          <w:lang w:bidi="en-US"/>
        </w:rPr>
        <w:t xml:space="preserve">RECOMMENDATIONS </w:t>
      </w:r>
      <w:r w:rsidR="00CD0CC2" w:rsidRPr="00E42C35">
        <w:rPr>
          <w:rFonts w:ascii="Calibri" w:hAnsi="Calibri" w:cs="Calibri"/>
          <w:b/>
          <w:lang w:bidi="en-US"/>
        </w:rPr>
        <w:t xml:space="preserve">RELATING TO INADVERTENT ERROR/ CROSS REFERENCING MISTAKES </w:t>
      </w:r>
      <w:r w:rsidR="00B2186D" w:rsidRPr="00E42C35">
        <w:rPr>
          <w:rFonts w:ascii="Calibri" w:hAnsi="Calibri" w:cs="Calibri"/>
          <w:b/>
          <w:lang w:bidi="en-US"/>
        </w:rPr>
        <w:t>IN DRAFT IT RULES 2026</w:t>
      </w:r>
    </w:p>
    <w:p w14:paraId="322EE37F" w14:textId="282939EB" w:rsidR="00E90B6D" w:rsidRPr="00E42C35" w:rsidRDefault="00E90B6D" w:rsidP="005002ED">
      <w:pPr>
        <w:spacing w:after="120" w:line="276" w:lineRule="auto"/>
        <w:jc w:val="center"/>
        <w:rPr>
          <w:rFonts w:ascii="Calibri" w:hAnsi="Calibri" w:cs="Calibri"/>
          <w:b/>
          <w:lang w:val="en-US" w:bidi="en-US"/>
        </w:rPr>
      </w:pPr>
      <w:r w:rsidRPr="00E42C35">
        <w:rPr>
          <w:rFonts w:ascii="Calibri" w:hAnsi="Calibri" w:cs="Calibri"/>
          <w:b/>
          <w:lang w:val="en-US" w:bidi="en-US"/>
        </w:rPr>
        <w:t>INDEX</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3041"/>
        <w:gridCol w:w="992"/>
      </w:tblGrid>
      <w:tr w:rsidR="005002ED" w:rsidRPr="00E42C35" w14:paraId="50024FBF" w14:textId="77777777" w:rsidTr="00ED25C5">
        <w:trPr>
          <w:trHeight w:val="290"/>
          <w:tblHeader/>
        </w:trPr>
        <w:tc>
          <w:tcPr>
            <w:tcW w:w="846" w:type="dxa"/>
            <w:shd w:val="clear" w:color="auto" w:fill="BFBFBF" w:themeFill="background1" w:themeFillShade="BF"/>
            <w:noWrap/>
            <w:vAlign w:val="bottom"/>
            <w:hideMark/>
          </w:tcPr>
          <w:p w14:paraId="41449A3C" w14:textId="77777777" w:rsidR="005002ED" w:rsidRPr="00E42C35" w:rsidRDefault="005002ED" w:rsidP="005002ED">
            <w:pPr>
              <w:spacing w:after="0" w:line="240" w:lineRule="auto"/>
              <w:jc w:val="center"/>
              <w:rPr>
                <w:rFonts w:ascii="Calibri" w:eastAsia="Times New Roman" w:hAnsi="Calibri" w:cs="Calibri"/>
                <w:b/>
                <w:bCs/>
                <w:color w:val="000000"/>
                <w:kern w:val="0"/>
                <w:lang w:val="en-GB" w:eastAsia="en-GB"/>
                <w14:ligatures w14:val="none"/>
              </w:rPr>
            </w:pPr>
            <w:r w:rsidRPr="00E42C35">
              <w:rPr>
                <w:rFonts w:ascii="Calibri" w:eastAsia="Times New Roman" w:hAnsi="Calibri" w:cs="Calibri"/>
                <w:b/>
                <w:bCs/>
                <w:color w:val="000000"/>
                <w:kern w:val="0"/>
                <w:lang w:val="en-GB" w:eastAsia="en-GB"/>
                <w14:ligatures w14:val="none"/>
              </w:rPr>
              <w:t>Sl. No</w:t>
            </w:r>
          </w:p>
        </w:tc>
        <w:tc>
          <w:tcPr>
            <w:tcW w:w="13041" w:type="dxa"/>
            <w:shd w:val="clear" w:color="auto" w:fill="BFBFBF" w:themeFill="background1" w:themeFillShade="BF"/>
            <w:vAlign w:val="bottom"/>
            <w:hideMark/>
          </w:tcPr>
          <w:p w14:paraId="7FDDB8A0" w14:textId="77777777" w:rsidR="005002ED" w:rsidRPr="00E42C35" w:rsidRDefault="005002ED" w:rsidP="005002ED">
            <w:pPr>
              <w:spacing w:after="0" w:line="240" w:lineRule="auto"/>
              <w:jc w:val="center"/>
              <w:rPr>
                <w:rFonts w:ascii="Calibri" w:eastAsia="Times New Roman" w:hAnsi="Calibri" w:cs="Calibri"/>
                <w:b/>
                <w:bCs/>
                <w:color w:val="000000"/>
                <w:kern w:val="0"/>
                <w:lang w:val="en-GB" w:eastAsia="en-GB"/>
                <w14:ligatures w14:val="none"/>
              </w:rPr>
            </w:pPr>
            <w:r w:rsidRPr="00E42C35">
              <w:rPr>
                <w:rFonts w:ascii="Calibri" w:eastAsia="Times New Roman" w:hAnsi="Calibri" w:cs="Calibri"/>
                <w:b/>
                <w:bCs/>
                <w:color w:val="000000"/>
                <w:kern w:val="0"/>
                <w:lang w:val="en-GB" w:eastAsia="en-GB"/>
                <w14:ligatures w14:val="none"/>
              </w:rPr>
              <w:t>Particulars</w:t>
            </w:r>
          </w:p>
        </w:tc>
        <w:tc>
          <w:tcPr>
            <w:tcW w:w="992" w:type="dxa"/>
            <w:shd w:val="clear" w:color="auto" w:fill="BFBFBF" w:themeFill="background1" w:themeFillShade="BF"/>
            <w:noWrap/>
            <w:vAlign w:val="bottom"/>
            <w:hideMark/>
          </w:tcPr>
          <w:p w14:paraId="7800C13E" w14:textId="77777777" w:rsidR="005002ED" w:rsidRPr="00E42C35" w:rsidRDefault="005002ED" w:rsidP="005002ED">
            <w:pPr>
              <w:spacing w:after="0" w:line="240" w:lineRule="auto"/>
              <w:jc w:val="center"/>
              <w:rPr>
                <w:rFonts w:ascii="Calibri" w:eastAsia="Times New Roman" w:hAnsi="Calibri" w:cs="Calibri"/>
                <w:b/>
                <w:bCs/>
                <w:color w:val="000000"/>
                <w:kern w:val="0"/>
                <w:lang w:val="en-GB" w:eastAsia="en-GB"/>
                <w14:ligatures w14:val="none"/>
              </w:rPr>
            </w:pPr>
            <w:r w:rsidRPr="00E42C35">
              <w:rPr>
                <w:rFonts w:ascii="Calibri" w:eastAsia="Times New Roman" w:hAnsi="Calibri" w:cs="Calibri"/>
                <w:b/>
                <w:bCs/>
                <w:color w:val="000000"/>
                <w:kern w:val="0"/>
                <w:lang w:val="en-GB" w:eastAsia="en-GB"/>
                <w14:ligatures w14:val="none"/>
              </w:rPr>
              <w:t>Page No</w:t>
            </w:r>
          </w:p>
        </w:tc>
      </w:tr>
      <w:tr w:rsidR="005002ED" w:rsidRPr="00E42C35" w14:paraId="6885EDAC" w14:textId="77777777" w:rsidTr="00ED25C5">
        <w:trPr>
          <w:trHeight w:val="290"/>
        </w:trPr>
        <w:tc>
          <w:tcPr>
            <w:tcW w:w="846" w:type="dxa"/>
            <w:noWrap/>
            <w:vAlign w:val="bottom"/>
            <w:hideMark/>
          </w:tcPr>
          <w:p w14:paraId="03BA45B5" w14:textId="77777777" w:rsidR="005002ED" w:rsidRPr="00E42C35" w:rsidRDefault="005002ED" w:rsidP="005002ED">
            <w:pPr>
              <w:spacing w:after="0" w:line="240" w:lineRule="auto"/>
              <w:jc w:val="right"/>
              <w:rPr>
                <w:rFonts w:ascii="Calibri" w:eastAsia="Times New Roman" w:hAnsi="Calibri" w:cs="Calibri"/>
                <w:color w:val="000000"/>
                <w:kern w:val="0"/>
                <w:lang w:val="en-GB" w:eastAsia="en-GB"/>
                <w14:ligatures w14:val="none"/>
              </w:rPr>
            </w:pPr>
            <w:r w:rsidRPr="00E42C35">
              <w:rPr>
                <w:rFonts w:ascii="Calibri" w:eastAsia="Times New Roman" w:hAnsi="Calibri" w:cs="Calibri"/>
                <w:color w:val="000000"/>
                <w:kern w:val="0"/>
                <w:lang w:val="en-GB" w:eastAsia="en-GB"/>
                <w14:ligatures w14:val="none"/>
              </w:rPr>
              <w:t>1</w:t>
            </w:r>
          </w:p>
        </w:tc>
        <w:tc>
          <w:tcPr>
            <w:tcW w:w="13041" w:type="dxa"/>
            <w:vAlign w:val="bottom"/>
            <w:hideMark/>
          </w:tcPr>
          <w:p w14:paraId="1C10D2C6" w14:textId="77777777" w:rsidR="005002ED" w:rsidRPr="00E42C35" w:rsidRDefault="005002ED" w:rsidP="005002ED">
            <w:pPr>
              <w:spacing w:after="0" w:line="240" w:lineRule="auto"/>
              <w:rPr>
                <w:rFonts w:ascii="Calibri" w:eastAsia="Times New Roman" w:hAnsi="Calibri" w:cs="Calibri"/>
                <w:color w:val="000000"/>
                <w:kern w:val="0"/>
                <w:lang w:val="en-GB" w:eastAsia="en-GB"/>
                <w14:ligatures w14:val="none"/>
              </w:rPr>
            </w:pPr>
            <w:r w:rsidRPr="00E42C35">
              <w:rPr>
                <w:rFonts w:ascii="Calibri" w:eastAsia="Times New Roman" w:hAnsi="Calibri" w:cs="Calibri"/>
                <w:color w:val="000000"/>
                <w:kern w:val="0"/>
                <w:lang w:val="en-GB" w:eastAsia="en-GB"/>
                <w14:ligatures w14:val="none"/>
              </w:rPr>
              <w:t>Rectification of incorrect reference to Section no. – Rule 11UB of IT Rules 1962 (referred in S. 9(1)(i) of ITA 1961) / Rule 10 of Draft IT Rules 2926 (referred in S. 9(2) of ITA 2025)</w:t>
            </w:r>
          </w:p>
        </w:tc>
        <w:tc>
          <w:tcPr>
            <w:tcW w:w="992" w:type="dxa"/>
            <w:noWrap/>
            <w:vAlign w:val="bottom"/>
            <w:hideMark/>
          </w:tcPr>
          <w:p w14:paraId="4C72BB3D" w14:textId="349E0871" w:rsidR="005002ED" w:rsidRPr="00E42C35" w:rsidRDefault="005002ED" w:rsidP="005002ED">
            <w:pPr>
              <w:spacing w:after="0" w:line="240" w:lineRule="auto"/>
              <w:rPr>
                <w:rFonts w:ascii="Calibri" w:eastAsia="Times New Roman" w:hAnsi="Calibri" w:cs="Calibri"/>
                <w:color w:val="000000"/>
                <w:kern w:val="0"/>
                <w:lang w:val="en-GB" w:eastAsia="en-GB"/>
                <w14:ligatures w14:val="none"/>
              </w:rPr>
            </w:pPr>
            <w:r w:rsidRPr="00E42C35">
              <w:rPr>
                <w:rFonts w:ascii="Calibri" w:eastAsia="Times New Roman" w:hAnsi="Calibri" w:cs="Calibri"/>
                <w:color w:val="000000"/>
                <w:kern w:val="0"/>
                <w:lang w:val="en-GB" w:eastAsia="en-GB"/>
                <w14:ligatures w14:val="none"/>
              </w:rPr>
              <w:t> </w:t>
            </w:r>
            <w:r w:rsidR="00B4092D" w:rsidRPr="00E42C35">
              <w:rPr>
                <w:rFonts w:ascii="Calibri" w:eastAsia="Times New Roman" w:hAnsi="Calibri" w:cs="Calibri"/>
                <w:color w:val="000000"/>
                <w:kern w:val="0"/>
                <w:lang w:val="en-GB" w:eastAsia="en-GB"/>
                <w14:ligatures w14:val="none"/>
              </w:rPr>
              <w:t>3</w:t>
            </w:r>
          </w:p>
        </w:tc>
      </w:tr>
      <w:tr w:rsidR="005002ED" w:rsidRPr="00E42C35" w14:paraId="33B31DD6" w14:textId="77777777" w:rsidTr="00ED25C5">
        <w:trPr>
          <w:trHeight w:val="290"/>
        </w:trPr>
        <w:tc>
          <w:tcPr>
            <w:tcW w:w="846" w:type="dxa"/>
            <w:noWrap/>
            <w:vAlign w:val="bottom"/>
            <w:hideMark/>
          </w:tcPr>
          <w:p w14:paraId="74FBC981" w14:textId="77777777" w:rsidR="005002ED" w:rsidRPr="00E42C35" w:rsidRDefault="005002ED" w:rsidP="005002ED">
            <w:pPr>
              <w:spacing w:after="0" w:line="240" w:lineRule="auto"/>
              <w:jc w:val="right"/>
              <w:rPr>
                <w:rFonts w:ascii="Calibri" w:eastAsia="Times New Roman" w:hAnsi="Calibri" w:cs="Calibri"/>
                <w:color w:val="000000"/>
                <w:kern w:val="0"/>
                <w:lang w:val="en-GB" w:eastAsia="en-GB"/>
                <w14:ligatures w14:val="none"/>
              </w:rPr>
            </w:pPr>
            <w:r w:rsidRPr="00E42C35">
              <w:rPr>
                <w:rFonts w:ascii="Calibri" w:eastAsia="Times New Roman" w:hAnsi="Calibri" w:cs="Calibri"/>
                <w:color w:val="000000"/>
                <w:kern w:val="0"/>
                <w:lang w:val="en-GB" w:eastAsia="en-GB"/>
                <w14:ligatures w14:val="none"/>
              </w:rPr>
              <w:t>2</w:t>
            </w:r>
          </w:p>
        </w:tc>
        <w:tc>
          <w:tcPr>
            <w:tcW w:w="13041" w:type="dxa"/>
            <w:vAlign w:val="bottom"/>
            <w:hideMark/>
          </w:tcPr>
          <w:p w14:paraId="7A6E5AE3" w14:textId="77777777" w:rsidR="005002ED" w:rsidRPr="00E42C35" w:rsidRDefault="005002ED" w:rsidP="005002ED">
            <w:pPr>
              <w:spacing w:after="0" w:line="240" w:lineRule="auto"/>
              <w:rPr>
                <w:rFonts w:ascii="Calibri" w:eastAsia="Times New Roman" w:hAnsi="Calibri" w:cs="Calibri"/>
                <w:color w:val="000000"/>
                <w:kern w:val="0"/>
                <w:lang w:val="en-GB" w:eastAsia="en-GB"/>
                <w14:ligatures w14:val="none"/>
              </w:rPr>
            </w:pPr>
            <w:r w:rsidRPr="00E42C35">
              <w:rPr>
                <w:rFonts w:ascii="Calibri" w:eastAsia="Times New Roman" w:hAnsi="Calibri" w:cs="Calibri"/>
                <w:color w:val="000000"/>
                <w:kern w:val="0"/>
                <w:lang w:val="en-GB" w:eastAsia="en-GB"/>
                <w14:ligatures w14:val="none"/>
              </w:rPr>
              <w:t>Rectification of incorrect reference to Rule no. – Rule 11UB (referred in S. 9(1)(i)) / Rule 11 (referred in S. 9(2))</w:t>
            </w:r>
          </w:p>
        </w:tc>
        <w:tc>
          <w:tcPr>
            <w:tcW w:w="992" w:type="dxa"/>
            <w:noWrap/>
            <w:vAlign w:val="bottom"/>
            <w:hideMark/>
          </w:tcPr>
          <w:p w14:paraId="76A1AE92" w14:textId="11F42A00" w:rsidR="005002ED" w:rsidRPr="00E42C35" w:rsidRDefault="005002ED" w:rsidP="005002ED">
            <w:pPr>
              <w:spacing w:after="0" w:line="240" w:lineRule="auto"/>
              <w:rPr>
                <w:rFonts w:ascii="Calibri" w:eastAsia="Times New Roman" w:hAnsi="Calibri" w:cs="Calibri"/>
                <w:color w:val="000000"/>
                <w:kern w:val="0"/>
                <w:lang w:val="en-GB" w:eastAsia="en-GB"/>
                <w14:ligatures w14:val="none"/>
              </w:rPr>
            </w:pPr>
            <w:r w:rsidRPr="00E42C35">
              <w:rPr>
                <w:rFonts w:ascii="Calibri" w:eastAsia="Times New Roman" w:hAnsi="Calibri" w:cs="Calibri"/>
                <w:color w:val="000000"/>
                <w:kern w:val="0"/>
                <w:lang w:val="en-GB" w:eastAsia="en-GB"/>
                <w14:ligatures w14:val="none"/>
              </w:rPr>
              <w:t> </w:t>
            </w:r>
            <w:r w:rsidR="00B4092D" w:rsidRPr="00E42C35">
              <w:rPr>
                <w:rFonts w:ascii="Calibri" w:eastAsia="Times New Roman" w:hAnsi="Calibri" w:cs="Calibri"/>
                <w:color w:val="000000"/>
                <w:kern w:val="0"/>
                <w:lang w:val="en-GB" w:eastAsia="en-GB"/>
                <w14:ligatures w14:val="none"/>
              </w:rPr>
              <w:t>3</w:t>
            </w:r>
          </w:p>
        </w:tc>
      </w:tr>
      <w:tr w:rsidR="005002ED" w:rsidRPr="00E42C35" w14:paraId="054052BC" w14:textId="77777777" w:rsidTr="00ED25C5">
        <w:trPr>
          <w:trHeight w:val="290"/>
        </w:trPr>
        <w:tc>
          <w:tcPr>
            <w:tcW w:w="846" w:type="dxa"/>
            <w:noWrap/>
            <w:vAlign w:val="bottom"/>
            <w:hideMark/>
          </w:tcPr>
          <w:p w14:paraId="798C6BE3" w14:textId="77777777" w:rsidR="005002ED" w:rsidRPr="00E42C35" w:rsidRDefault="005002ED" w:rsidP="005002ED">
            <w:pPr>
              <w:spacing w:after="0" w:line="240" w:lineRule="auto"/>
              <w:jc w:val="right"/>
              <w:rPr>
                <w:rFonts w:ascii="Calibri" w:eastAsia="Times New Roman" w:hAnsi="Calibri" w:cs="Calibri"/>
                <w:color w:val="000000"/>
                <w:kern w:val="0"/>
                <w:lang w:val="en-GB" w:eastAsia="en-GB"/>
                <w14:ligatures w14:val="none"/>
              </w:rPr>
            </w:pPr>
            <w:r w:rsidRPr="00E42C35">
              <w:rPr>
                <w:rFonts w:ascii="Calibri" w:eastAsia="Times New Roman" w:hAnsi="Calibri" w:cs="Calibri"/>
                <w:color w:val="000000"/>
                <w:kern w:val="0"/>
                <w:lang w:val="en-GB" w:eastAsia="en-GB"/>
                <w14:ligatures w14:val="none"/>
              </w:rPr>
              <w:t>3</w:t>
            </w:r>
          </w:p>
        </w:tc>
        <w:tc>
          <w:tcPr>
            <w:tcW w:w="13041" w:type="dxa"/>
            <w:vAlign w:val="bottom"/>
            <w:hideMark/>
          </w:tcPr>
          <w:p w14:paraId="1B13D8CE" w14:textId="77777777" w:rsidR="005002ED" w:rsidRPr="00E42C35" w:rsidRDefault="005002ED" w:rsidP="005002ED">
            <w:pPr>
              <w:spacing w:after="0" w:line="240" w:lineRule="auto"/>
              <w:rPr>
                <w:rFonts w:ascii="Calibri" w:eastAsia="Times New Roman" w:hAnsi="Calibri" w:cs="Calibri"/>
                <w:color w:val="000000"/>
                <w:kern w:val="0"/>
                <w:lang w:val="en-GB" w:eastAsia="en-GB"/>
                <w14:ligatures w14:val="none"/>
              </w:rPr>
            </w:pPr>
            <w:r w:rsidRPr="00E42C35">
              <w:rPr>
                <w:rFonts w:ascii="Calibri" w:eastAsia="Times New Roman" w:hAnsi="Calibri" w:cs="Calibri"/>
                <w:color w:val="000000"/>
                <w:kern w:val="0"/>
                <w:lang w:val="en-GB" w:eastAsia="en-GB"/>
                <w14:ligatures w14:val="none"/>
              </w:rPr>
              <w:t>Rectification of incorrect reference to section no. – Rule 11UC of IT Rukes 1962 (referred in S.9(1)(i) of ITA 1961) / Rule 12 of Draft IT Rule 2026 (referred in S.9 of ITA 2025)</w:t>
            </w:r>
          </w:p>
        </w:tc>
        <w:tc>
          <w:tcPr>
            <w:tcW w:w="992" w:type="dxa"/>
            <w:noWrap/>
            <w:vAlign w:val="bottom"/>
            <w:hideMark/>
          </w:tcPr>
          <w:p w14:paraId="63711BB1" w14:textId="0BA3292B" w:rsidR="005002ED" w:rsidRPr="00E42C35" w:rsidRDefault="005002ED" w:rsidP="005002ED">
            <w:pPr>
              <w:spacing w:after="0" w:line="240" w:lineRule="auto"/>
              <w:rPr>
                <w:rFonts w:ascii="Calibri" w:eastAsia="Times New Roman" w:hAnsi="Calibri" w:cs="Calibri"/>
                <w:color w:val="000000"/>
                <w:kern w:val="0"/>
                <w:lang w:val="en-GB" w:eastAsia="en-GB"/>
                <w14:ligatures w14:val="none"/>
              </w:rPr>
            </w:pPr>
            <w:r w:rsidRPr="00E42C35">
              <w:rPr>
                <w:rFonts w:ascii="Calibri" w:eastAsia="Times New Roman" w:hAnsi="Calibri" w:cs="Calibri"/>
                <w:color w:val="000000"/>
                <w:kern w:val="0"/>
                <w:lang w:val="en-GB" w:eastAsia="en-GB"/>
                <w14:ligatures w14:val="none"/>
              </w:rPr>
              <w:t> </w:t>
            </w:r>
            <w:r w:rsidR="00B4092D" w:rsidRPr="00E42C35">
              <w:rPr>
                <w:rFonts w:ascii="Calibri" w:eastAsia="Times New Roman" w:hAnsi="Calibri" w:cs="Calibri"/>
                <w:color w:val="000000"/>
                <w:kern w:val="0"/>
                <w:lang w:val="en-GB" w:eastAsia="en-GB"/>
                <w14:ligatures w14:val="none"/>
              </w:rPr>
              <w:t>3</w:t>
            </w:r>
          </w:p>
        </w:tc>
      </w:tr>
      <w:tr w:rsidR="005002ED" w:rsidRPr="00E42C35" w14:paraId="5FA1E35C" w14:textId="77777777" w:rsidTr="00ED25C5">
        <w:trPr>
          <w:trHeight w:val="290"/>
        </w:trPr>
        <w:tc>
          <w:tcPr>
            <w:tcW w:w="846" w:type="dxa"/>
            <w:noWrap/>
            <w:vAlign w:val="bottom"/>
            <w:hideMark/>
          </w:tcPr>
          <w:p w14:paraId="0FB2AC53" w14:textId="77777777" w:rsidR="005002ED" w:rsidRPr="00E42C35" w:rsidRDefault="005002ED" w:rsidP="005002ED">
            <w:pPr>
              <w:spacing w:after="0" w:line="240" w:lineRule="auto"/>
              <w:jc w:val="right"/>
              <w:rPr>
                <w:rFonts w:ascii="Calibri" w:eastAsia="Times New Roman" w:hAnsi="Calibri" w:cs="Calibri"/>
                <w:color w:val="000000"/>
                <w:kern w:val="0"/>
                <w:lang w:val="en-GB" w:eastAsia="en-GB"/>
                <w14:ligatures w14:val="none"/>
              </w:rPr>
            </w:pPr>
            <w:r w:rsidRPr="00E42C35">
              <w:rPr>
                <w:rFonts w:ascii="Calibri" w:eastAsia="Times New Roman" w:hAnsi="Calibri" w:cs="Calibri"/>
                <w:color w:val="000000"/>
                <w:kern w:val="0"/>
                <w:lang w:val="en-GB" w:eastAsia="en-GB"/>
                <w14:ligatures w14:val="none"/>
              </w:rPr>
              <w:t>4</w:t>
            </w:r>
          </w:p>
        </w:tc>
        <w:tc>
          <w:tcPr>
            <w:tcW w:w="13041" w:type="dxa"/>
            <w:vAlign w:val="bottom"/>
            <w:hideMark/>
          </w:tcPr>
          <w:p w14:paraId="54899E34" w14:textId="77777777" w:rsidR="005002ED" w:rsidRPr="00E42C35" w:rsidRDefault="005002ED" w:rsidP="005002ED">
            <w:pPr>
              <w:spacing w:after="0" w:line="240" w:lineRule="auto"/>
              <w:rPr>
                <w:rFonts w:ascii="Calibri" w:eastAsia="Times New Roman" w:hAnsi="Calibri" w:cs="Calibri"/>
                <w:color w:val="000000"/>
                <w:kern w:val="0"/>
                <w:lang w:val="en-GB" w:eastAsia="en-GB"/>
                <w14:ligatures w14:val="none"/>
              </w:rPr>
            </w:pPr>
            <w:r w:rsidRPr="00E42C35">
              <w:rPr>
                <w:rFonts w:ascii="Calibri" w:eastAsia="Times New Roman" w:hAnsi="Calibri" w:cs="Calibri"/>
                <w:color w:val="000000"/>
                <w:kern w:val="0"/>
                <w:lang w:val="en-GB" w:eastAsia="en-GB"/>
                <w14:ligatures w14:val="none"/>
              </w:rPr>
              <w:t>Rectification of incorrect reference to section no. – Rule 11UD of IT Rules 1962 (referred in S. 9 of ITA 1961) / Rule 13 of Draft IT Rules 2026 (referred in S. 9 of ITA 2025)</w:t>
            </w:r>
          </w:p>
        </w:tc>
        <w:tc>
          <w:tcPr>
            <w:tcW w:w="992" w:type="dxa"/>
            <w:noWrap/>
            <w:vAlign w:val="bottom"/>
            <w:hideMark/>
          </w:tcPr>
          <w:p w14:paraId="3E87179E" w14:textId="2F7CB940" w:rsidR="005002ED" w:rsidRPr="00E42C35" w:rsidRDefault="005002ED" w:rsidP="005002ED">
            <w:pPr>
              <w:spacing w:after="0" w:line="240" w:lineRule="auto"/>
              <w:rPr>
                <w:rFonts w:ascii="Calibri" w:eastAsia="Times New Roman" w:hAnsi="Calibri" w:cs="Calibri"/>
                <w:color w:val="000000"/>
                <w:kern w:val="0"/>
                <w:lang w:val="en-GB" w:eastAsia="en-GB"/>
                <w14:ligatures w14:val="none"/>
              </w:rPr>
            </w:pPr>
            <w:r w:rsidRPr="00E42C35">
              <w:rPr>
                <w:rFonts w:ascii="Calibri" w:eastAsia="Times New Roman" w:hAnsi="Calibri" w:cs="Calibri"/>
                <w:color w:val="000000"/>
                <w:kern w:val="0"/>
                <w:lang w:val="en-GB" w:eastAsia="en-GB"/>
                <w14:ligatures w14:val="none"/>
              </w:rPr>
              <w:t> </w:t>
            </w:r>
            <w:r w:rsidR="00F96310" w:rsidRPr="00E42C35">
              <w:rPr>
                <w:rFonts w:ascii="Calibri" w:eastAsia="Times New Roman" w:hAnsi="Calibri" w:cs="Calibri"/>
                <w:color w:val="000000"/>
                <w:kern w:val="0"/>
                <w:lang w:val="en-GB" w:eastAsia="en-GB"/>
                <w14:ligatures w14:val="none"/>
              </w:rPr>
              <w:t>4</w:t>
            </w:r>
          </w:p>
        </w:tc>
      </w:tr>
      <w:tr w:rsidR="005002ED" w:rsidRPr="00E42C35" w14:paraId="57112C08" w14:textId="77777777" w:rsidTr="00ED25C5">
        <w:trPr>
          <w:trHeight w:val="290"/>
        </w:trPr>
        <w:tc>
          <w:tcPr>
            <w:tcW w:w="846" w:type="dxa"/>
            <w:noWrap/>
            <w:vAlign w:val="bottom"/>
            <w:hideMark/>
          </w:tcPr>
          <w:p w14:paraId="609C2DE4" w14:textId="77777777" w:rsidR="005002ED" w:rsidRPr="00E42C35" w:rsidRDefault="005002ED" w:rsidP="005002ED">
            <w:pPr>
              <w:spacing w:after="0" w:line="240" w:lineRule="auto"/>
              <w:jc w:val="right"/>
              <w:rPr>
                <w:rFonts w:ascii="Calibri" w:eastAsia="Times New Roman" w:hAnsi="Calibri" w:cs="Calibri"/>
                <w:color w:val="000000"/>
                <w:kern w:val="0"/>
                <w:lang w:val="en-GB" w:eastAsia="en-GB"/>
                <w14:ligatures w14:val="none"/>
              </w:rPr>
            </w:pPr>
            <w:r w:rsidRPr="00E42C35">
              <w:rPr>
                <w:rFonts w:ascii="Calibri" w:eastAsia="Times New Roman" w:hAnsi="Calibri" w:cs="Calibri"/>
                <w:color w:val="000000"/>
                <w:kern w:val="0"/>
                <w:lang w:val="en-GB" w:eastAsia="en-GB"/>
                <w14:ligatures w14:val="none"/>
              </w:rPr>
              <w:t>5</w:t>
            </w:r>
          </w:p>
        </w:tc>
        <w:tc>
          <w:tcPr>
            <w:tcW w:w="13041" w:type="dxa"/>
            <w:vAlign w:val="bottom"/>
            <w:hideMark/>
          </w:tcPr>
          <w:p w14:paraId="62996C20" w14:textId="77777777" w:rsidR="005002ED" w:rsidRPr="00E42C35" w:rsidRDefault="005002ED" w:rsidP="005002ED">
            <w:pPr>
              <w:spacing w:after="0" w:line="240" w:lineRule="auto"/>
              <w:rPr>
                <w:rFonts w:ascii="Calibri" w:eastAsia="Times New Roman" w:hAnsi="Calibri" w:cs="Calibri"/>
                <w:color w:val="000000"/>
                <w:kern w:val="0"/>
                <w:lang w:val="en-GB" w:eastAsia="en-GB"/>
                <w14:ligatures w14:val="none"/>
              </w:rPr>
            </w:pPr>
            <w:r w:rsidRPr="00E42C35">
              <w:rPr>
                <w:rFonts w:ascii="Calibri" w:eastAsia="Times New Roman" w:hAnsi="Calibri" w:cs="Calibri"/>
                <w:color w:val="000000"/>
                <w:kern w:val="0"/>
                <w:lang w:val="en-GB" w:eastAsia="en-GB"/>
                <w14:ligatures w14:val="none"/>
              </w:rPr>
              <w:t>Remove duplication of definition of the term “date of commencement of operations” in Rule 36 of Draft IT Rules 2026 – Rule 11OA of IT Rules 1962 (referred in S. 35AD of the ITA 1961) / Rule 36 of Draft IT Rules 2026 (referred in S. 46 of the ITA 2025)</w:t>
            </w:r>
          </w:p>
        </w:tc>
        <w:tc>
          <w:tcPr>
            <w:tcW w:w="992" w:type="dxa"/>
            <w:noWrap/>
            <w:vAlign w:val="bottom"/>
            <w:hideMark/>
          </w:tcPr>
          <w:p w14:paraId="32D601D6" w14:textId="5EDBAAA8" w:rsidR="005002ED" w:rsidRPr="00E42C35" w:rsidRDefault="005002ED" w:rsidP="005002ED">
            <w:pPr>
              <w:spacing w:after="0" w:line="240" w:lineRule="auto"/>
              <w:rPr>
                <w:rFonts w:ascii="Calibri" w:eastAsia="Times New Roman" w:hAnsi="Calibri" w:cs="Calibri"/>
                <w:color w:val="000000"/>
                <w:kern w:val="0"/>
                <w:lang w:val="en-GB" w:eastAsia="en-GB"/>
                <w14:ligatures w14:val="none"/>
              </w:rPr>
            </w:pPr>
            <w:r w:rsidRPr="00E42C35">
              <w:rPr>
                <w:rFonts w:ascii="Calibri" w:eastAsia="Times New Roman" w:hAnsi="Calibri" w:cs="Calibri"/>
                <w:color w:val="000000"/>
                <w:kern w:val="0"/>
                <w:lang w:val="en-GB" w:eastAsia="en-GB"/>
                <w14:ligatures w14:val="none"/>
              </w:rPr>
              <w:t> </w:t>
            </w:r>
            <w:r w:rsidR="00F96310" w:rsidRPr="00E42C35">
              <w:rPr>
                <w:rFonts w:ascii="Calibri" w:eastAsia="Times New Roman" w:hAnsi="Calibri" w:cs="Calibri"/>
                <w:color w:val="000000"/>
                <w:kern w:val="0"/>
                <w:lang w:val="en-GB" w:eastAsia="en-GB"/>
                <w14:ligatures w14:val="none"/>
              </w:rPr>
              <w:t>4</w:t>
            </w:r>
          </w:p>
        </w:tc>
      </w:tr>
      <w:tr w:rsidR="005002ED" w:rsidRPr="00E42C35" w14:paraId="2163FBC2" w14:textId="77777777" w:rsidTr="00ED25C5">
        <w:trPr>
          <w:trHeight w:val="290"/>
        </w:trPr>
        <w:tc>
          <w:tcPr>
            <w:tcW w:w="846" w:type="dxa"/>
            <w:noWrap/>
            <w:vAlign w:val="bottom"/>
            <w:hideMark/>
          </w:tcPr>
          <w:p w14:paraId="48D31F13" w14:textId="77777777" w:rsidR="005002ED" w:rsidRPr="00E42C35" w:rsidRDefault="005002ED" w:rsidP="005002ED">
            <w:pPr>
              <w:spacing w:after="0" w:line="240" w:lineRule="auto"/>
              <w:jc w:val="right"/>
              <w:rPr>
                <w:rFonts w:ascii="Calibri" w:eastAsia="Times New Roman" w:hAnsi="Calibri" w:cs="Calibri"/>
                <w:color w:val="000000"/>
                <w:kern w:val="0"/>
                <w:lang w:val="en-GB" w:eastAsia="en-GB"/>
                <w14:ligatures w14:val="none"/>
              </w:rPr>
            </w:pPr>
            <w:r w:rsidRPr="00E42C35">
              <w:rPr>
                <w:rFonts w:ascii="Calibri" w:eastAsia="Times New Roman" w:hAnsi="Calibri" w:cs="Calibri"/>
                <w:color w:val="000000"/>
                <w:kern w:val="0"/>
                <w:lang w:val="en-GB" w:eastAsia="en-GB"/>
                <w14:ligatures w14:val="none"/>
              </w:rPr>
              <w:t>6</w:t>
            </w:r>
          </w:p>
        </w:tc>
        <w:tc>
          <w:tcPr>
            <w:tcW w:w="13041" w:type="dxa"/>
            <w:vAlign w:val="bottom"/>
            <w:hideMark/>
          </w:tcPr>
          <w:p w14:paraId="665BF284" w14:textId="77777777" w:rsidR="005002ED" w:rsidRPr="00E42C35" w:rsidRDefault="005002ED" w:rsidP="005002ED">
            <w:pPr>
              <w:spacing w:after="0" w:line="240" w:lineRule="auto"/>
              <w:rPr>
                <w:rFonts w:ascii="Calibri" w:eastAsia="Times New Roman" w:hAnsi="Calibri" w:cs="Calibri"/>
                <w:color w:val="000000"/>
                <w:kern w:val="0"/>
                <w:lang w:val="en-GB" w:eastAsia="en-GB"/>
                <w14:ligatures w14:val="none"/>
              </w:rPr>
            </w:pPr>
            <w:r w:rsidRPr="00E42C35">
              <w:rPr>
                <w:rFonts w:ascii="Calibri" w:eastAsia="Times New Roman" w:hAnsi="Calibri" w:cs="Calibri"/>
                <w:color w:val="000000"/>
                <w:kern w:val="0"/>
                <w:lang w:val="en-GB" w:eastAsia="en-GB"/>
                <w14:ligatures w14:val="none"/>
              </w:rPr>
              <w:t>Remove duplication of definition of the term “date of commencement of operations” in Rule 36 of Draft IT Rules 2026 – Rule 11OB of IT Rules 1962 (referred in S. 35AD of the ITA 1961) / Rule 36 of Draft IT Rules 2026 (referred in S. 46 of the ITA 2025)</w:t>
            </w:r>
          </w:p>
        </w:tc>
        <w:tc>
          <w:tcPr>
            <w:tcW w:w="992" w:type="dxa"/>
            <w:noWrap/>
            <w:vAlign w:val="bottom"/>
            <w:hideMark/>
          </w:tcPr>
          <w:p w14:paraId="7073B141" w14:textId="2C2EEA24" w:rsidR="005002ED" w:rsidRPr="00E42C35" w:rsidRDefault="005002ED" w:rsidP="005002ED">
            <w:pPr>
              <w:spacing w:after="0" w:line="240" w:lineRule="auto"/>
              <w:rPr>
                <w:rFonts w:ascii="Calibri" w:eastAsia="Times New Roman" w:hAnsi="Calibri" w:cs="Calibri"/>
                <w:color w:val="000000"/>
                <w:kern w:val="0"/>
                <w:lang w:val="en-GB" w:eastAsia="en-GB"/>
                <w14:ligatures w14:val="none"/>
              </w:rPr>
            </w:pPr>
            <w:r w:rsidRPr="00E42C35">
              <w:rPr>
                <w:rFonts w:ascii="Calibri" w:eastAsia="Times New Roman" w:hAnsi="Calibri" w:cs="Calibri"/>
                <w:color w:val="000000"/>
                <w:kern w:val="0"/>
                <w:lang w:val="en-GB" w:eastAsia="en-GB"/>
                <w14:ligatures w14:val="none"/>
              </w:rPr>
              <w:t> </w:t>
            </w:r>
            <w:r w:rsidR="00F96310" w:rsidRPr="00E42C35">
              <w:rPr>
                <w:rFonts w:ascii="Calibri" w:eastAsia="Times New Roman" w:hAnsi="Calibri" w:cs="Calibri"/>
                <w:color w:val="000000"/>
                <w:kern w:val="0"/>
                <w:lang w:val="en-GB" w:eastAsia="en-GB"/>
                <w14:ligatures w14:val="none"/>
              </w:rPr>
              <w:t>5</w:t>
            </w:r>
          </w:p>
        </w:tc>
      </w:tr>
      <w:tr w:rsidR="005002ED" w:rsidRPr="00E42C35" w14:paraId="504AC1A3" w14:textId="77777777" w:rsidTr="00ED25C5">
        <w:trPr>
          <w:trHeight w:val="290"/>
        </w:trPr>
        <w:tc>
          <w:tcPr>
            <w:tcW w:w="846" w:type="dxa"/>
            <w:noWrap/>
            <w:vAlign w:val="bottom"/>
            <w:hideMark/>
          </w:tcPr>
          <w:p w14:paraId="13BDFFBF" w14:textId="77777777" w:rsidR="005002ED" w:rsidRPr="00E42C35" w:rsidRDefault="005002ED" w:rsidP="005002ED">
            <w:pPr>
              <w:spacing w:after="0" w:line="240" w:lineRule="auto"/>
              <w:jc w:val="right"/>
              <w:rPr>
                <w:rFonts w:ascii="Calibri" w:eastAsia="Times New Roman" w:hAnsi="Calibri" w:cs="Calibri"/>
                <w:color w:val="000000"/>
                <w:kern w:val="0"/>
                <w:lang w:val="en-GB" w:eastAsia="en-GB"/>
                <w14:ligatures w14:val="none"/>
              </w:rPr>
            </w:pPr>
            <w:r w:rsidRPr="00E42C35">
              <w:rPr>
                <w:rFonts w:ascii="Calibri" w:eastAsia="Times New Roman" w:hAnsi="Calibri" w:cs="Calibri"/>
                <w:color w:val="000000"/>
                <w:kern w:val="0"/>
                <w:lang w:val="en-GB" w:eastAsia="en-GB"/>
                <w14:ligatures w14:val="none"/>
              </w:rPr>
              <w:t>7</w:t>
            </w:r>
          </w:p>
        </w:tc>
        <w:tc>
          <w:tcPr>
            <w:tcW w:w="13041" w:type="dxa"/>
            <w:vAlign w:val="bottom"/>
            <w:hideMark/>
          </w:tcPr>
          <w:p w14:paraId="7B08F3B0" w14:textId="77777777" w:rsidR="005002ED" w:rsidRPr="00E42C35" w:rsidRDefault="005002ED" w:rsidP="005002ED">
            <w:pPr>
              <w:spacing w:after="0" w:line="240" w:lineRule="auto"/>
              <w:rPr>
                <w:rFonts w:ascii="Calibri" w:eastAsia="Times New Roman" w:hAnsi="Calibri" w:cs="Calibri"/>
                <w:color w:val="000000"/>
                <w:kern w:val="0"/>
                <w:lang w:val="en-GB" w:eastAsia="en-GB"/>
                <w14:ligatures w14:val="none"/>
              </w:rPr>
            </w:pPr>
            <w:r w:rsidRPr="00E42C35">
              <w:rPr>
                <w:rFonts w:ascii="Calibri" w:eastAsia="Times New Roman" w:hAnsi="Calibri" w:cs="Calibri"/>
                <w:color w:val="000000"/>
                <w:kern w:val="0"/>
                <w:lang w:val="en-GB" w:eastAsia="en-GB"/>
                <w14:ligatures w14:val="none"/>
              </w:rPr>
              <w:t>Rectification of incorrect reference to section no. – Rule 6ABBA of IT Rules 1962 / Rule 48 of Draft IT Rules 2026</w:t>
            </w:r>
          </w:p>
        </w:tc>
        <w:tc>
          <w:tcPr>
            <w:tcW w:w="992" w:type="dxa"/>
            <w:noWrap/>
            <w:vAlign w:val="bottom"/>
            <w:hideMark/>
          </w:tcPr>
          <w:p w14:paraId="217994B6" w14:textId="1ED92B44" w:rsidR="005002ED" w:rsidRPr="00E42C35" w:rsidRDefault="005002ED" w:rsidP="005002ED">
            <w:pPr>
              <w:spacing w:after="0" w:line="240" w:lineRule="auto"/>
              <w:rPr>
                <w:rFonts w:ascii="Calibri" w:eastAsia="Times New Roman" w:hAnsi="Calibri" w:cs="Calibri"/>
                <w:color w:val="000000"/>
                <w:kern w:val="0"/>
                <w:lang w:val="en-GB" w:eastAsia="en-GB"/>
                <w14:ligatures w14:val="none"/>
              </w:rPr>
            </w:pPr>
            <w:r w:rsidRPr="00E42C35">
              <w:rPr>
                <w:rFonts w:ascii="Calibri" w:eastAsia="Times New Roman" w:hAnsi="Calibri" w:cs="Calibri"/>
                <w:color w:val="000000"/>
                <w:kern w:val="0"/>
                <w:lang w:val="en-GB" w:eastAsia="en-GB"/>
                <w14:ligatures w14:val="none"/>
              </w:rPr>
              <w:t> </w:t>
            </w:r>
            <w:r w:rsidR="00F96310" w:rsidRPr="00E42C35">
              <w:rPr>
                <w:rFonts w:ascii="Calibri" w:eastAsia="Times New Roman" w:hAnsi="Calibri" w:cs="Calibri"/>
                <w:color w:val="000000"/>
                <w:kern w:val="0"/>
                <w:lang w:val="en-GB" w:eastAsia="en-GB"/>
                <w14:ligatures w14:val="none"/>
              </w:rPr>
              <w:t>5</w:t>
            </w:r>
          </w:p>
        </w:tc>
      </w:tr>
      <w:tr w:rsidR="005002ED" w:rsidRPr="00E42C35" w14:paraId="648EADB7" w14:textId="77777777" w:rsidTr="00ED25C5">
        <w:trPr>
          <w:trHeight w:val="290"/>
        </w:trPr>
        <w:tc>
          <w:tcPr>
            <w:tcW w:w="846" w:type="dxa"/>
            <w:noWrap/>
            <w:vAlign w:val="bottom"/>
            <w:hideMark/>
          </w:tcPr>
          <w:p w14:paraId="5EF37AE8" w14:textId="77777777" w:rsidR="005002ED" w:rsidRPr="00E42C35" w:rsidRDefault="005002ED" w:rsidP="005002ED">
            <w:pPr>
              <w:spacing w:after="0" w:line="240" w:lineRule="auto"/>
              <w:jc w:val="right"/>
              <w:rPr>
                <w:rFonts w:ascii="Calibri" w:eastAsia="Times New Roman" w:hAnsi="Calibri" w:cs="Calibri"/>
                <w:color w:val="000000"/>
                <w:kern w:val="0"/>
                <w:lang w:val="en-GB" w:eastAsia="en-GB"/>
                <w14:ligatures w14:val="none"/>
              </w:rPr>
            </w:pPr>
            <w:r w:rsidRPr="00E42C35">
              <w:rPr>
                <w:rFonts w:ascii="Calibri" w:eastAsia="Times New Roman" w:hAnsi="Calibri" w:cs="Calibri"/>
                <w:color w:val="000000"/>
                <w:kern w:val="0"/>
                <w:lang w:val="en-GB" w:eastAsia="en-GB"/>
                <w14:ligatures w14:val="none"/>
              </w:rPr>
              <w:t>8</w:t>
            </w:r>
          </w:p>
        </w:tc>
        <w:tc>
          <w:tcPr>
            <w:tcW w:w="13041" w:type="dxa"/>
            <w:vAlign w:val="bottom"/>
            <w:hideMark/>
          </w:tcPr>
          <w:p w14:paraId="3DBEF750" w14:textId="77777777" w:rsidR="005002ED" w:rsidRPr="00E42C35" w:rsidRDefault="005002ED" w:rsidP="005002ED">
            <w:pPr>
              <w:spacing w:after="0" w:line="240" w:lineRule="auto"/>
              <w:rPr>
                <w:rFonts w:ascii="Calibri" w:eastAsia="Times New Roman" w:hAnsi="Calibri" w:cs="Calibri"/>
                <w:color w:val="000000"/>
                <w:kern w:val="0"/>
                <w:lang w:val="en-GB" w:eastAsia="en-GB"/>
                <w14:ligatures w14:val="none"/>
              </w:rPr>
            </w:pPr>
            <w:r w:rsidRPr="00E42C35">
              <w:rPr>
                <w:rFonts w:ascii="Calibri" w:eastAsia="Times New Roman" w:hAnsi="Calibri" w:cs="Calibri"/>
                <w:color w:val="000000"/>
                <w:kern w:val="0"/>
                <w:lang w:val="en-GB" w:eastAsia="en-GB"/>
                <w14:ligatures w14:val="none"/>
              </w:rPr>
              <w:t>Erroneous reference to old/existing rules to be removed – Rule 6H of IT Rules 1962 (referred in S. 50B(3) of ITA 1961) / Rule 54 of Draft IT Rules 2026 (referred in S. 77(4) of ITA 2025)</w:t>
            </w:r>
          </w:p>
        </w:tc>
        <w:tc>
          <w:tcPr>
            <w:tcW w:w="992" w:type="dxa"/>
            <w:noWrap/>
            <w:vAlign w:val="bottom"/>
            <w:hideMark/>
          </w:tcPr>
          <w:p w14:paraId="62229A84" w14:textId="0C5D8E6C" w:rsidR="005002ED" w:rsidRPr="00E42C35" w:rsidRDefault="005002ED" w:rsidP="005002ED">
            <w:pPr>
              <w:spacing w:after="0" w:line="240" w:lineRule="auto"/>
              <w:rPr>
                <w:rFonts w:ascii="Calibri" w:eastAsia="Times New Roman" w:hAnsi="Calibri" w:cs="Calibri"/>
                <w:color w:val="000000"/>
                <w:kern w:val="0"/>
                <w:lang w:val="en-GB" w:eastAsia="en-GB"/>
                <w14:ligatures w14:val="none"/>
              </w:rPr>
            </w:pPr>
            <w:r w:rsidRPr="00E42C35">
              <w:rPr>
                <w:rFonts w:ascii="Calibri" w:eastAsia="Times New Roman" w:hAnsi="Calibri" w:cs="Calibri"/>
                <w:color w:val="000000"/>
                <w:kern w:val="0"/>
                <w:lang w:val="en-GB" w:eastAsia="en-GB"/>
                <w14:ligatures w14:val="none"/>
              </w:rPr>
              <w:t> </w:t>
            </w:r>
            <w:r w:rsidR="00F96310" w:rsidRPr="00E42C35">
              <w:rPr>
                <w:rFonts w:ascii="Calibri" w:eastAsia="Times New Roman" w:hAnsi="Calibri" w:cs="Calibri"/>
                <w:color w:val="000000"/>
                <w:kern w:val="0"/>
                <w:lang w:val="en-GB" w:eastAsia="en-GB"/>
                <w14:ligatures w14:val="none"/>
              </w:rPr>
              <w:t>6</w:t>
            </w:r>
          </w:p>
        </w:tc>
      </w:tr>
      <w:tr w:rsidR="005002ED" w:rsidRPr="00E42C35" w14:paraId="7274BA19" w14:textId="77777777" w:rsidTr="00ED25C5">
        <w:trPr>
          <w:trHeight w:val="290"/>
        </w:trPr>
        <w:tc>
          <w:tcPr>
            <w:tcW w:w="846" w:type="dxa"/>
            <w:noWrap/>
            <w:vAlign w:val="bottom"/>
            <w:hideMark/>
          </w:tcPr>
          <w:p w14:paraId="50AB37AC" w14:textId="77777777" w:rsidR="005002ED" w:rsidRPr="00E42C35" w:rsidRDefault="005002ED" w:rsidP="005002ED">
            <w:pPr>
              <w:spacing w:after="0" w:line="240" w:lineRule="auto"/>
              <w:jc w:val="right"/>
              <w:rPr>
                <w:rFonts w:ascii="Calibri" w:eastAsia="Times New Roman" w:hAnsi="Calibri" w:cs="Calibri"/>
                <w:color w:val="000000"/>
                <w:kern w:val="0"/>
                <w:lang w:val="en-GB" w:eastAsia="en-GB"/>
                <w14:ligatures w14:val="none"/>
              </w:rPr>
            </w:pPr>
            <w:r w:rsidRPr="00E42C35">
              <w:rPr>
                <w:rFonts w:ascii="Calibri" w:eastAsia="Times New Roman" w:hAnsi="Calibri" w:cs="Calibri"/>
                <w:color w:val="000000"/>
                <w:kern w:val="0"/>
                <w:lang w:val="en-GB" w:eastAsia="en-GB"/>
                <w14:ligatures w14:val="none"/>
              </w:rPr>
              <w:t>9</w:t>
            </w:r>
          </w:p>
        </w:tc>
        <w:tc>
          <w:tcPr>
            <w:tcW w:w="13041" w:type="dxa"/>
            <w:vAlign w:val="bottom"/>
            <w:hideMark/>
          </w:tcPr>
          <w:p w14:paraId="5383946E" w14:textId="77777777" w:rsidR="005002ED" w:rsidRPr="00E42C35" w:rsidRDefault="005002ED" w:rsidP="005002ED">
            <w:pPr>
              <w:spacing w:after="0" w:line="240" w:lineRule="auto"/>
              <w:rPr>
                <w:rFonts w:ascii="Calibri" w:eastAsia="Times New Roman" w:hAnsi="Calibri" w:cs="Calibri"/>
                <w:color w:val="000000"/>
                <w:kern w:val="0"/>
                <w:lang w:val="en-GB" w:eastAsia="en-GB"/>
                <w14:ligatures w14:val="none"/>
              </w:rPr>
            </w:pPr>
            <w:r w:rsidRPr="00E42C35">
              <w:rPr>
                <w:rFonts w:ascii="Calibri" w:eastAsia="Times New Roman" w:hAnsi="Calibri" w:cs="Calibri"/>
                <w:color w:val="000000"/>
                <w:kern w:val="0"/>
                <w:lang w:val="en-GB" w:eastAsia="en-GB"/>
                <w14:ligatures w14:val="none"/>
              </w:rPr>
              <w:t>Rectification of incorrect reference to Rule no. – Rule 10B of IT Rules 1962 / Rule 79 of the Draft IT Rules 2026</w:t>
            </w:r>
          </w:p>
        </w:tc>
        <w:tc>
          <w:tcPr>
            <w:tcW w:w="992" w:type="dxa"/>
            <w:noWrap/>
            <w:vAlign w:val="bottom"/>
            <w:hideMark/>
          </w:tcPr>
          <w:p w14:paraId="79E21CB8" w14:textId="7C2D79FB" w:rsidR="005002ED" w:rsidRPr="00E42C35" w:rsidRDefault="005002ED" w:rsidP="005002ED">
            <w:pPr>
              <w:spacing w:after="0" w:line="240" w:lineRule="auto"/>
              <w:rPr>
                <w:rFonts w:ascii="Calibri" w:eastAsia="Times New Roman" w:hAnsi="Calibri" w:cs="Calibri"/>
                <w:color w:val="000000"/>
                <w:kern w:val="0"/>
                <w:lang w:val="en-GB" w:eastAsia="en-GB"/>
                <w14:ligatures w14:val="none"/>
              </w:rPr>
            </w:pPr>
            <w:r w:rsidRPr="00E42C35">
              <w:rPr>
                <w:rFonts w:ascii="Calibri" w:eastAsia="Times New Roman" w:hAnsi="Calibri" w:cs="Calibri"/>
                <w:color w:val="000000"/>
                <w:kern w:val="0"/>
                <w:lang w:val="en-GB" w:eastAsia="en-GB"/>
                <w14:ligatures w14:val="none"/>
              </w:rPr>
              <w:t> </w:t>
            </w:r>
            <w:r w:rsidR="00F96310" w:rsidRPr="00E42C35">
              <w:rPr>
                <w:rFonts w:ascii="Calibri" w:eastAsia="Times New Roman" w:hAnsi="Calibri" w:cs="Calibri"/>
                <w:color w:val="000000"/>
                <w:kern w:val="0"/>
                <w:lang w:val="en-GB" w:eastAsia="en-GB"/>
                <w14:ligatures w14:val="none"/>
              </w:rPr>
              <w:t>7</w:t>
            </w:r>
          </w:p>
        </w:tc>
      </w:tr>
      <w:tr w:rsidR="005002ED" w:rsidRPr="00E42C35" w14:paraId="4E1D663D" w14:textId="77777777" w:rsidTr="00ED25C5">
        <w:trPr>
          <w:trHeight w:val="290"/>
        </w:trPr>
        <w:tc>
          <w:tcPr>
            <w:tcW w:w="846" w:type="dxa"/>
            <w:noWrap/>
            <w:vAlign w:val="bottom"/>
            <w:hideMark/>
          </w:tcPr>
          <w:p w14:paraId="031449A5" w14:textId="77777777" w:rsidR="005002ED" w:rsidRPr="00E42C35" w:rsidRDefault="005002ED" w:rsidP="005002ED">
            <w:pPr>
              <w:spacing w:after="0" w:line="240" w:lineRule="auto"/>
              <w:jc w:val="right"/>
              <w:rPr>
                <w:rFonts w:ascii="Calibri" w:eastAsia="Times New Roman" w:hAnsi="Calibri" w:cs="Calibri"/>
                <w:color w:val="000000"/>
                <w:kern w:val="0"/>
                <w:lang w:val="en-GB" w:eastAsia="en-GB"/>
                <w14:ligatures w14:val="none"/>
              </w:rPr>
            </w:pPr>
            <w:r w:rsidRPr="00E42C35">
              <w:rPr>
                <w:rFonts w:ascii="Calibri" w:eastAsia="Times New Roman" w:hAnsi="Calibri" w:cs="Calibri"/>
                <w:color w:val="000000"/>
                <w:kern w:val="0"/>
                <w:lang w:val="en-GB" w:eastAsia="en-GB"/>
                <w14:ligatures w14:val="none"/>
              </w:rPr>
              <w:t>10</w:t>
            </w:r>
          </w:p>
        </w:tc>
        <w:tc>
          <w:tcPr>
            <w:tcW w:w="13041" w:type="dxa"/>
            <w:vAlign w:val="bottom"/>
            <w:hideMark/>
          </w:tcPr>
          <w:p w14:paraId="3C59FC75" w14:textId="77777777" w:rsidR="005002ED" w:rsidRPr="00E42C35" w:rsidRDefault="005002ED" w:rsidP="005002ED">
            <w:pPr>
              <w:spacing w:after="0" w:line="240" w:lineRule="auto"/>
              <w:rPr>
                <w:rFonts w:ascii="Calibri" w:eastAsia="Times New Roman" w:hAnsi="Calibri" w:cs="Calibri"/>
                <w:color w:val="000000"/>
                <w:kern w:val="0"/>
                <w:lang w:val="en-GB" w:eastAsia="en-GB"/>
                <w14:ligatures w14:val="none"/>
              </w:rPr>
            </w:pPr>
            <w:r w:rsidRPr="00E42C35">
              <w:rPr>
                <w:rFonts w:ascii="Calibri" w:eastAsia="Times New Roman" w:hAnsi="Calibri" w:cs="Calibri"/>
                <w:color w:val="000000"/>
                <w:kern w:val="0"/>
                <w:lang w:val="en-GB" w:eastAsia="en-GB"/>
                <w14:ligatures w14:val="none"/>
              </w:rPr>
              <w:t>Rectification of incorrect reference to Rule no. – Rule 21AJA of IT Rules 1962 (Section 10(4D) of ITA 1961) / Rule 142 of Draft IT Rules 1962 (Schedule VI Note 1(g)(ii)(B) to ITA 2025)</w:t>
            </w:r>
          </w:p>
        </w:tc>
        <w:tc>
          <w:tcPr>
            <w:tcW w:w="992" w:type="dxa"/>
            <w:noWrap/>
            <w:vAlign w:val="bottom"/>
            <w:hideMark/>
          </w:tcPr>
          <w:p w14:paraId="6336F337" w14:textId="77AD8D96" w:rsidR="005002ED" w:rsidRPr="00E42C35" w:rsidRDefault="005002ED" w:rsidP="005002ED">
            <w:pPr>
              <w:spacing w:after="0" w:line="240" w:lineRule="auto"/>
              <w:rPr>
                <w:rFonts w:ascii="Calibri" w:eastAsia="Times New Roman" w:hAnsi="Calibri" w:cs="Calibri"/>
                <w:color w:val="000000"/>
                <w:kern w:val="0"/>
                <w:lang w:val="en-GB" w:eastAsia="en-GB"/>
                <w14:ligatures w14:val="none"/>
              </w:rPr>
            </w:pPr>
            <w:r w:rsidRPr="00E42C35">
              <w:rPr>
                <w:rFonts w:ascii="Calibri" w:eastAsia="Times New Roman" w:hAnsi="Calibri" w:cs="Calibri"/>
                <w:color w:val="000000"/>
                <w:kern w:val="0"/>
                <w:lang w:val="en-GB" w:eastAsia="en-GB"/>
                <w14:ligatures w14:val="none"/>
              </w:rPr>
              <w:t> </w:t>
            </w:r>
            <w:r w:rsidR="00F96310" w:rsidRPr="00E42C35">
              <w:rPr>
                <w:rFonts w:ascii="Calibri" w:eastAsia="Times New Roman" w:hAnsi="Calibri" w:cs="Calibri"/>
                <w:color w:val="000000"/>
                <w:kern w:val="0"/>
                <w:lang w:val="en-GB" w:eastAsia="en-GB"/>
                <w14:ligatures w14:val="none"/>
              </w:rPr>
              <w:t>7</w:t>
            </w:r>
          </w:p>
        </w:tc>
      </w:tr>
      <w:tr w:rsidR="005002ED" w:rsidRPr="00E42C35" w14:paraId="3AE87FAD" w14:textId="77777777" w:rsidTr="00ED25C5">
        <w:trPr>
          <w:trHeight w:val="290"/>
        </w:trPr>
        <w:tc>
          <w:tcPr>
            <w:tcW w:w="846" w:type="dxa"/>
            <w:noWrap/>
            <w:vAlign w:val="bottom"/>
            <w:hideMark/>
          </w:tcPr>
          <w:p w14:paraId="58E80328" w14:textId="77777777" w:rsidR="005002ED" w:rsidRPr="00E42C35" w:rsidRDefault="005002ED" w:rsidP="005002ED">
            <w:pPr>
              <w:spacing w:after="0" w:line="240" w:lineRule="auto"/>
              <w:jc w:val="right"/>
              <w:rPr>
                <w:rFonts w:ascii="Calibri" w:eastAsia="Times New Roman" w:hAnsi="Calibri" w:cs="Calibri"/>
                <w:color w:val="000000"/>
                <w:kern w:val="0"/>
                <w:lang w:val="en-GB" w:eastAsia="en-GB"/>
                <w14:ligatures w14:val="none"/>
              </w:rPr>
            </w:pPr>
            <w:r w:rsidRPr="00E42C35">
              <w:rPr>
                <w:rFonts w:ascii="Calibri" w:eastAsia="Times New Roman" w:hAnsi="Calibri" w:cs="Calibri"/>
                <w:color w:val="000000"/>
                <w:kern w:val="0"/>
                <w:lang w:val="en-GB" w:eastAsia="en-GB"/>
                <w14:ligatures w14:val="none"/>
              </w:rPr>
              <w:t>11</w:t>
            </w:r>
          </w:p>
        </w:tc>
        <w:tc>
          <w:tcPr>
            <w:tcW w:w="13041" w:type="dxa"/>
            <w:vAlign w:val="bottom"/>
            <w:hideMark/>
          </w:tcPr>
          <w:p w14:paraId="57CDFCEE" w14:textId="77777777" w:rsidR="005002ED" w:rsidRPr="00E42C35" w:rsidRDefault="005002ED" w:rsidP="005002ED">
            <w:pPr>
              <w:spacing w:after="0" w:line="240" w:lineRule="auto"/>
              <w:rPr>
                <w:rFonts w:ascii="Calibri" w:eastAsia="Times New Roman" w:hAnsi="Calibri" w:cs="Calibri"/>
                <w:color w:val="000000"/>
                <w:kern w:val="0"/>
                <w:lang w:val="en-GB" w:eastAsia="en-GB"/>
                <w14:ligatures w14:val="none"/>
              </w:rPr>
            </w:pPr>
            <w:r w:rsidRPr="00E42C35">
              <w:rPr>
                <w:rFonts w:ascii="Calibri" w:eastAsia="Times New Roman" w:hAnsi="Calibri" w:cs="Calibri"/>
                <w:color w:val="000000"/>
                <w:kern w:val="0"/>
                <w:lang w:val="en-GB" w:eastAsia="en-GB"/>
                <w14:ligatures w14:val="none"/>
              </w:rPr>
              <w:t>Faceless assessment framework – Section 144B of the Income Tax Act, 1961 / Rule 176 of Draft IT Rules 2026</w:t>
            </w:r>
          </w:p>
        </w:tc>
        <w:tc>
          <w:tcPr>
            <w:tcW w:w="992" w:type="dxa"/>
            <w:noWrap/>
            <w:vAlign w:val="bottom"/>
            <w:hideMark/>
          </w:tcPr>
          <w:p w14:paraId="146D29C7" w14:textId="581DB9FD" w:rsidR="005002ED" w:rsidRPr="00E42C35" w:rsidRDefault="005002ED" w:rsidP="005002ED">
            <w:pPr>
              <w:spacing w:after="0" w:line="240" w:lineRule="auto"/>
              <w:rPr>
                <w:rFonts w:ascii="Calibri" w:eastAsia="Times New Roman" w:hAnsi="Calibri" w:cs="Calibri"/>
                <w:color w:val="000000"/>
                <w:kern w:val="0"/>
                <w:lang w:val="en-GB" w:eastAsia="en-GB"/>
                <w14:ligatures w14:val="none"/>
              </w:rPr>
            </w:pPr>
            <w:r w:rsidRPr="00E42C35">
              <w:rPr>
                <w:rFonts w:ascii="Calibri" w:eastAsia="Times New Roman" w:hAnsi="Calibri" w:cs="Calibri"/>
                <w:color w:val="000000"/>
                <w:kern w:val="0"/>
                <w:lang w:val="en-GB" w:eastAsia="en-GB"/>
                <w14:ligatures w14:val="none"/>
              </w:rPr>
              <w:t> </w:t>
            </w:r>
            <w:r w:rsidR="00F96310" w:rsidRPr="00E42C35">
              <w:rPr>
                <w:rFonts w:ascii="Calibri" w:eastAsia="Times New Roman" w:hAnsi="Calibri" w:cs="Calibri"/>
                <w:color w:val="000000"/>
                <w:kern w:val="0"/>
                <w:lang w:val="en-GB" w:eastAsia="en-GB"/>
                <w14:ligatures w14:val="none"/>
              </w:rPr>
              <w:t>7</w:t>
            </w:r>
          </w:p>
        </w:tc>
      </w:tr>
      <w:tr w:rsidR="005002ED" w:rsidRPr="00E42C35" w14:paraId="2773747B" w14:textId="77777777" w:rsidTr="00ED25C5">
        <w:trPr>
          <w:trHeight w:val="290"/>
        </w:trPr>
        <w:tc>
          <w:tcPr>
            <w:tcW w:w="846" w:type="dxa"/>
            <w:noWrap/>
            <w:vAlign w:val="bottom"/>
            <w:hideMark/>
          </w:tcPr>
          <w:p w14:paraId="0476D529" w14:textId="77777777" w:rsidR="005002ED" w:rsidRPr="00E42C35" w:rsidRDefault="005002ED" w:rsidP="005002ED">
            <w:pPr>
              <w:spacing w:after="0" w:line="240" w:lineRule="auto"/>
              <w:jc w:val="right"/>
              <w:rPr>
                <w:rFonts w:ascii="Calibri" w:eastAsia="Times New Roman" w:hAnsi="Calibri" w:cs="Calibri"/>
                <w:color w:val="000000"/>
                <w:kern w:val="0"/>
                <w:lang w:val="en-GB" w:eastAsia="en-GB"/>
                <w14:ligatures w14:val="none"/>
              </w:rPr>
            </w:pPr>
            <w:r w:rsidRPr="00E42C35">
              <w:rPr>
                <w:rFonts w:ascii="Calibri" w:eastAsia="Times New Roman" w:hAnsi="Calibri" w:cs="Calibri"/>
                <w:color w:val="000000"/>
                <w:kern w:val="0"/>
                <w:lang w:val="en-GB" w:eastAsia="en-GB"/>
                <w14:ligatures w14:val="none"/>
              </w:rPr>
              <w:t>12</w:t>
            </w:r>
          </w:p>
        </w:tc>
        <w:tc>
          <w:tcPr>
            <w:tcW w:w="13041" w:type="dxa"/>
            <w:vAlign w:val="bottom"/>
            <w:hideMark/>
          </w:tcPr>
          <w:p w14:paraId="5DDC3A0B" w14:textId="77777777" w:rsidR="005002ED" w:rsidRPr="00E42C35" w:rsidRDefault="005002ED" w:rsidP="005002ED">
            <w:pPr>
              <w:spacing w:after="0" w:line="240" w:lineRule="auto"/>
              <w:rPr>
                <w:rFonts w:ascii="Calibri" w:eastAsia="Times New Roman" w:hAnsi="Calibri" w:cs="Calibri"/>
                <w:color w:val="000000"/>
                <w:kern w:val="0"/>
                <w:lang w:val="en-GB" w:eastAsia="en-GB"/>
                <w14:ligatures w14:val="none"/>
              </w:rPr>
            </w:pPr>
            <w:r w:rsidRPr="00E42C35">
              <w:rPr>
                <w:rFonts w:ascii="Calibri" w:eastAsia="Times New Roman" w:hAnsi="Calibri" w:cs="Calibri"/>
                <w:color w:val="000000"/>
                <w:kern w:val="0"/>
                <w:lang w:val="en-GB" w:eastAsia="en-GB"/>
                <w14:ligatures w14:val="none"/>
              </w:rPr>
              <w:t>Report of audit in the case of registered non-profit organisations under section 348 of ITA 2025 – Section 12A(1)(b)(ii) of ITA 1961 / Rule 188 of Draft IT Rules 2026 read with section 348 of ITA 2025</w:t>
            </w:r>
          </w:p>
        </w:tc>
        <w:tc>
          <w:tcPr>
            <w:tcW w:w="992" w:type="dxa"/>
            <w:noWrap/>
            <w:vAlign w:val="bottom"/>
            <w:hideMark/>
          </w:tcPr>
          <w:p w14:paraId="64ABA205" w14:textId="5DFCD44D" w:rsidR="005002ED" w:rsidRPr="00E42C35" w:rsidRDefault="005002ED" w:rsidP="005002ED">
            <w:pPr>
              <w:spacing w:after="0" w:line="240" w:lineRule="auto"/>
              <w:rPr>
                <w:rFonts w:ascii="Calibri" w:eastAsia="Times New Roman" w:hAnsi="Calibri" w:cs="Calibri"/>
                <w:color w:val="000000"/>
                <w:kern w:val="0"/>
                <w:lang w:val="en-GB" w:eastAsia="en-GB"/>
                <w14:ligatures w14:val="none"/>
              </w:rPr>
            </w:pPr>
            <w:r w:rsidRPr="00E42C35">
              <w:rPr>
                <w:rFonts w:ascii="Calibri" w:eastAsia="Times New Roman" w:hAnsi="Calibri" w:cs="Calibri"/>
                <w:color w:val="000000"/>
                <w:kern w:val="0"/>
                <w:lang w:val="en-GB" w:eastAsia="en-GB"/>
                <w14:ligatures w14:val="none"/>
              </w:rPr>
              <w:t> </w:t>
            </w:r>
            <w:r w:rsidR="00742DBC" w:rsidRPr="00E42C35">
              <w:rPr>
                <w:rFonts w:ascii="Calibri" w:eastAsia="Times New Roman" w:hAnsi="Calibri" w:cs="Calibri"/>
                <w:color w:val="000000"/>
                <w:kern w:val="0"/>
                <w:lang w:val="en-GB" w:eastAsia="en-GB"/>
                <w14:ligatures w14:val="none"/>
              </w:rPr>
              <w:t>8</w:t>
            </w:r>
          </w:p>
        </w:tc>
      </w:tr>
      <w:tr w:rsidR="005002ED" w:rsidRPr="00E42C35" w14:paraId="1B0793EA" w14:textId="77777777" w:rsidTr="00ED25C5">
        <w:trPr>
          <w:trHeight w:val="290"/>
        </w:trPr>
        <w:tc>
          <w:tcPr>
            <w:tcW w:w="846" w:type="dxa"/>
            <w:noWrap/>
            <w:vAlign w:val="bottom"/>
            <w:hideMark/>
          </w:tcPr>
          <w:p w14:paraId="13486449" w14:textId="77777777" w:rsidR="005002ED" w:rsidRPr="00E42C35" w:rsidRDefault="005002ED" w:rsidP="005002ED">
            <w:pPr>
              <w:spacing w:after="0" w:line="240" w:lineRule="auto"/>
              <w:jc w:val="right"/>
              <w:rPr>
                <w:rFonts w:ascii="Calibri" w:eastAsia="Times New Roman" w:hAnsi="Calibri" w:cs="Calibri"/>
                <w:color w:val="000000"/>
                <w:kern w:val="0"/>
                <w:lang w:val="en-GB" w:eastAsia="en-GB"/>
                <w14:ligatures w14:val="none"/>
              </w:rPr>
            </w:pPr>
            <w:r w:rsidRPr="00E42C35">
              <w:rPr>
                <w:rFonts w:ascii="Calibri" w:eastAsia="Times New Roman" w:hAnsi="Calibri" w:cs="Calibri"/>
                <w:color w:val="000000"/>
                <w:kern w:val="0"/>
                <w:lang w:val="en-GB" w:eastAsia="en-GB"/>
                <w14:ligatures w14:val="none"/>
              </w:rPr>
              <w:t>13</w:t>
            </w:r>
          </w:p>
        </w:tc>
        <w:tc>
          <w:tcPr>
            <w:tcW w:w="13041" w:type="dxa"/>
            <w:vAlign w:val="bottom"/>
            <w:hideMark/>
          </w:tcPr>
          <w:p w14:paraId="5B3BF093" w14:textId="77777777" w:rsidR="005002ED" w:rsidRPr="00E42C35" w:rsidRDefault="005002ED" w:rsidP="005002ED">
            <w:pPr>
              <w:spacing w:after="0" w:line="240" w:lineRule="auto"/>
              <w:rPr>
                <w:rFonts w:ascii="Calibri" w:eastAsia="Times New Roman" w:hAnsi="Calibri" w:cs="Calibri"/>
                <w:color w:val="000000"/>
                <w:kern w:val="0"/>
                <w:lang w:val="en-GB" w:eastAsia="en-GB"/>
                <w14:ligatures w14:val="none"/>
              </w:rPr>
            </w:pPr>
            <w:r w:rsidRPr="00E42C35">
              <w:rPr>
                <w:rFonts w:ascii="Calibri" w:eastAsia="Times New Roman" w:hAnsi="Calibri" w:cs="Calibri"/>
                <w:color w:val="000000"/>
                <w:kern w:val="0"/>
                <w:lang w:val="en-GB" w:eastAsia="en-GB"/>
                <w14:ligatures w14:val="none"/>
              </w:rPr>
              <w:t>Method of valuation for the purposes of computing fair market value of assets and liabilities under section 352(2) of ITA 2025 for accreted income – Rule 17CB of IT Rules 1962 read with section 115TD of ITA 1961 / Rule 189 of Draft IT Rules 2026 read with section 352(2) of ITA 2025</w:t>
            </w:r>
          </w:p>
        </w:tc>
        <w:tc>
          <w:tcPr>
            <w:tcW w:w="992" w:type="dxa"/>
            <w:noWrap/>
            <w:vAlign w:val="bottom"/>
            <w:hideMark/>
          </w:tcPr>
          <w:p w14:paraId="2589301D" w14:textId="4B8ED092" w:rsidR="005002ED" w:rsidRPr="00E42C35" w:rsidRDefault="005002ED" w:rsidP="005002ED">
            <w:pPr>
              <w:spacing w:after="0" w:line="240" w:lineRule="auto"/>
              <w:rPr>
                <w:rFonts w:ascii="Calibri" w:eastAsia="Times New Roman" w:hAnsi="Calibri" w:cs="Calibri"/>
                <w:color w:val="000000"/>
                <w:kern w:val="0"/>
                <w:lang w:val="en-GB" w:eastAsia="en-GB"/>
                <w14:ligatures w14:val="none"/>
              </w:rPr>
            </w:pPr>
            <w:r w:rsidRPr="00E42C35">
              <w:rPr>
                <w:rFonts w:ascii="Calibri" w:eastAsia="Times New Roman" w:hAnsi="Calibri" w:cs="Calibri"/>
                <w:color w:val="000000"/>
                <w:kern w:val="0"/>
                <w:lang w:val="en-GB" w:eastAsia="en-GB"/>
                <w14:ligatures w14:val="none"/>
              </w:rPr>
              <w:t> </w:t>
            </w:r>
            <w:r w:rsidR="00CC27BE" w:rsidRPr="00E42C35">
              <w:rPr>
                <w:rFonts w:ascii="Calibri" w:eastAsia="Times New Roman" w:hAnsi="Calibri" w:cs="Calibri"/>
                <w:color w:val="000000"/>
                <w:kern w:val="0"/>
                <w:lang w:val="en-GB" w:eastAsia="en-GB"/>
                <w14:ligatures w14:val="none"/>
              </w:rPr>
              <w:t>8</w:t>
            </w:r>
          </w:p>
        </w:tc>
      </w:tr>
      <w:tr w:rsidR="005002ED" w:rsidRPr="00E42C35" w14:paraId="40A220DB" w14:textId="77777777" w:rsidTr="00ED25C5">
        <w:trPr>
          <w:trHeight w:val="290"/>
        </w:trPr>
        <w:tc>
          <w:tcPr>
            <w:tcW w:w="846" w:type="dxa"/>
            <w:noWrap/>
            <w:vAlign w:val="bottom"/>
            <w:hideMark/>
          </w:tcPr>
          <w:p w14:paraId="0CC24783" w14:textId="77777777" w:rsidR="005002ED" w:rsidRPr="00E42C35" w:rsidRDefault="005002ED" w:rsidP="005002ED">
            <w:pPr>
              <w:spacing w:after="0" w:line="240" w:lineRule="auto"/>
              <w:jc w:val="right"/>
              <w:rPr>
                <w:rFonts w:ascii="Calibri" w:eastAsia="Times New Roman" w:hAnsi="Calibri" w:cs="Calibri"/>
                <w:color w:val="000000"/>
                <w:kern w:val="0"/>
                <w:lang w:val="en-GB" w:eastAsia="en-GB"/>
                <w14:ligatures w14:val="none"/>
              </w:rPr>
            </w:pPr>
            <w:r w:rsidRPr="00E42C35">
              <w:rPr>
                <w:rFonts w:ascii="Calibri" w:eastAsia="Times New Roman" w:hAnsi="Calibri" w:cs="Calibri"/>
                <w:color w:val="000000"/>
                <w:kern w:val="0"/>
                <w:lang w:val="en-GB" w:eastAsia="en-GB"/>
                <w14:ligatures w14:val="none"/>
              </w:rPr>
              <w:t>14</w:t>
            </w:r>
          </w:p>
        </w:tc>
        <w:tc>
          <w:tcPr>
            <w:tcW w:w="13041" w:type="dxa"/>
            <w:vAlign w:val="bottom"/>
            <w:hideMark/>
          </w:tcPr>
          <w:p w14:paraId="143E155B" w14:textId="77777777" w:rsidR="005002ED" w:rsidRPr="00E42C35" w:rsidRDefault="005002ED" w:rsidP="005002ED">
            <w:pPr>
              <w:spacing w:after="0" w:line="240" w:lineRule="auto"/>
              <w:rPr>
                <w:rFonts w:ascii="Calibri" w:eastAsia="Times New Roman" w:hAnsi="Calibri" w:cs="Calibri"/>
                <w:color w:val="000000"/>
                <w:kern w:val="0"/>
                <w:lang w:val="en-GB" w:eastAsia="en-GB"/>
                <w14:ligatures w14:val="none"/>
              </w:rPr>
            </w:pPr>
            <w:r w:rsidRPr="00E42C35">
              <w:rPr>
                <w:rFonts w:ascii="Calibri" w:eastAsia="Times New Roman" w:hAnsi="Calibri" w:cs="Calibri"/>
                <w:color w:val="000000"/>
                <w:kern w:val="0"/>
                <w:lang w:val="en-GB" w:eastAsia="en-GB"/>
                <w14:ligatures w14:val="none"/>
              </w:rPr>
              <w:t>Rule 44DAD of IT Rules 1962, (Section 245MA of ITA 1961) / Rule 199 of Draft IT Rules 2026 (section 379 of ITA 2025)</w:t>
            </w:r>
          </w:p>
        </w:tc>
        <w:tc>
          <w:tcPr>
            <w:tcW w:w="992" w:type="dxa"/>
            <w:noWrap/>
            <w:vAlign w:val="bottom"/>
            <w:hideMark/>
          </w:tcPr>
          <w:p w14:paraId="2CC5F058" w14:textId="62AB4DEA" w:rsidR="005002ED" w:rsidRPr="00E42C35" w:rsidRDefault="005002ED" w:rsidP="005002ED">
            <w:pPr>
              <w:spacing w:after="0" w:line="240" w:lineRule="auto"/>
              <w:rPr>
                <w:rFonts w:ascii="Calibri" w:eastAsia="Times New Roman" w:hAnsi="Calibri" w:cs="Calibri"/>
                <w:color w:val="000000"/>
                <w:kern w:val="0"/>
                <w:lang w:val="en-GB" w:eastAsia="en-GB"/>
                <w14:ligatures w14:val="none"/>
              </w:rPr>
            </w:pPr>
            <w:r w:rsidRPr="00E42C35">
              <w:rPr>
                <w:rFonts w:ascii="Calibri" w:eastAsia="Times New Roman" w:hAnsi="Calibri" w:cs="Calibri"/>
                <w:color w:val="000000"/>
                <w:kern w:val="0"/>
                <w:lang w:val="en-GB" w:eastAsia="en-GB"/>
                <w14:ligatures w14:val="none"/>
              </w:rPr>
              <w:t> </w:t>
            </w:r>
            <w:r w:rsidR="00DC2AF3" w:rsidRPr="00E42C35">
              <w:rPr>
                <w:rFonts w:ascii="Calibri" w:eastAsia="Times New Roman" w:hAnsi="Calibri" w:cs="Calibri"/>
                <w:color w:val="000000"/>
                <w:kern w:val="0"/>
                <w:lang w:val="en-GB" w:eastAsia="en-GB"/>
                <w14:ligatures w14:val="none"/>
              </w:rPr>
              <w:t>9</w:t>
            </w:r>
          </w:p>
        </w:tc>
      </w:tr>
      <w:tr w:rsidR="005002ED" w:rsidRPr="00E42C35" w14:paraId="142FA3D2" w14:textId="77777777" w:rsidTr="00ED25C5">
        <w:trPr>
          <w:trHeight w:val="290"/>
        </w:trPr>
        <w:tc>
          <w:tcPr>
            <w:tcW w:w="846" w:type="dxa"/>
            <w:noWrap/>
            <w:vAlign w:val="bottom"/>
            <w:hideMark/>
          </w:tcPr>
          <w:p w14:paraId="26D356F0" w14:textId="77777777" w:rsidR="005002ED" w:rsidRPr="00E42C35" w:rsidRDefault="005002ED" w:rsidP="005002ED">
            <w:pPr>
              <w:spacing w:after="0" w:line="240" w:lineRule="auto"/>
              <w:jc w:val="right"/>
              <w:rPr>
                <w:rFonts w:ascii="Calibri" w:eastAsia="Times New Roman" w:hAnsi="Calibri" w:cs="Calibri"/>
                <w:color w:val="000000"/>
                <w:kern w:val="0"/>
                <w:lang w:val="en-GB" w:eastAsia="en-GB"/>
                <w14:ligatures w14:val="none"/>
              </w:rPr>
            </w:pPr>
            <w:r w:rsidRPr="00E42C35">
              <w:rPr>
                <w:rFonts w:ascii="Calibri" w:eastAsia="Times New Roman" w:hAnsi="Calibri" w:cs="Calibri"/>
                <w:color w:val="000000"/>
                <w:kern w:val="0"/>
                <w:lang w:val="en-GB" w:eastAsia="en-GB"/>
                <w14:ligatures w14:val="none"/>
              </w:rPr>
              <w:t>15</w:t>
            </w:r>
          </w:p>
        </w:tc>
        <w:tc>
          <w:tcPr>
            <w:tcW w:w="13041" w:type="dxa"/>
            <w:vAlign w:val="bottom"/>
            <w:hideMark/>
          </w:tcPr>
          <w:p w14:paraId="14BB05D0" w14:textId="77777777" w:rsidR="005002ED" w:rsidRPr="00E42C35" w:rsidRDefault="005002ED" w:rsidP="005002ED">
            <w:pPr>
              <w:spacing w:after="0" w:line="240" w:lineRule="auto"/>
              <w:rPr>
                <w:rFonts w:ascii="Calibri" w:eastAsia="Times New Roman" w:hAnsi="Calibri" w:cs="Calibri"/>
                <w:color w:val="000000"/>
                <w:kern w:val="0"/>
                <w:lang w:val="en-GB" w:eastAsia="en-GB"/>
                <w14:ligatures w14:val="none"/>
              </w:rPr>
            </w:pPr>
            <w:r w:rsidRPr="00E42C35">
              <w:rPr>
                <w:rFonts w:ascii="Calibri" w:eastAsia="Times New Roman" w:hAnsi="Calibri" w:cs="Calibri"/>
                <w:color w:val="000000"/>
                <w:kern w:val="0"/>
                <w:lang w:val="en-GB" w:eastAsia="en-GB"/>
                <w14:ligatures w14:val="none"/>
              </w:rPr>
              <w:t>Application for grant of certificate for determination of appropriate proportion of sum (other than Salary), payable to non-resident, chargeable in case of the recipients – Rule 29BA of IT Rules 1962 (Section 195 of ITA 1961) / Rule 214 of Draft IT Rules 1962 (Section 395 of ITA 2025)</w:t>
            </w:r>
          </w:p>
        </w:tc>
        <w:tc>
          <w:tcPr>
            <w:tcW w:w="992" w:type="dxa"/>
            <w:noWrap/>
            <w:vAlign w:val="bottom"/>
            <w:hideMark/>
          </w:tcPr>
          <w:p w14:paraId="65DAC11F" w14:textId="7EC8E98C" w:rsidR="005002ED" w:rsidRPr="00E42C35" w:rsidRDefault="005002ED" w:rsidP="005002ED">
            <w:pPr>
              <w:spacing w:after="0" w:line="240" w:lineRule="auto"/>
              <w:rPr>
                <w:rFonts w:ascii="Calibri" w:eastAsia="Times New Roman" w:hAnsi="Calibri" w:cs="Calibri"/>
                <w:color w:val="000000"/>
                <w:kern w:val="0"/>
                <w:lang w:val="en-GB" w:eastAsia="en-GB"/>
                <w14:ligatures w14:val="none"/>
              </w:rPr>
            </w:pPr>
            <w:r w:rsidRPr="00E42C35">
              <w:rPr>
                <w:rFonts w:ascii="Calibri" w:eastAsia="Times New Roman" w:hAnsi="Calibri" w:cs="Calibri"/>
                <w:color w:val="000000"/>
                <w:kern w:val="0"/>
                <w:lang w:val="en-GB" w:eastAsia="en-GB"/>
                <w14:ligatures w14:val="none"/>
              </w:rPr>
              <w:t> </w:t>
            </w:r>
            <w:r w:rsidR="00DC2AF3" w:rsidRPr="00E42C35">
              <w:rPr>
                <w:rFonts w:ascii="Calibri" w:eastAsia="Times New Roman" w:hAnsi="Calibri" w:cs="Calibri"/>
                <w:color w:val="000000"/>
                <w:kern w:val="0"/>
                <w:lang w:val="en-GB" w:eastAsia="en-GB"/>
                <w14:ligatures w14:val="none"/>
              </w:rPr>
              <w:t>12</w:t>
            </w:r>
          </w:p>
        </w:tc>
      </w:tr>
      <w:tr w:rsidR="005002ED" w:rsidRPr="00E42C35" w14:paraId="6DF7F3EE" w14:textId="77777777" w:rsidTr="00ED25C5">
        <w:trPr>
          <w:trHeight w:val="580"/>
        </w:trPr>
        <w:tc>
          <w:tcPr>
            <w:tcW w:w="846" w:type="dxa"/>
            <w:noWrap/>
            <w:vAlign w:val="bottom"/>
            <w:hideMark/>
          </w:tcPr>
          <w:p w14:paraId="02AC75CD" w14:textId="77777777" w:rsidR="005002ED" w:rsidRPr="00E42C35" w:rsidRDefault="005002ED" w:rsidP="005002ED">
            <w:pPr>
              <w:spacing w:after="0" w:line="240" w:lineRule="auto"/>
              <w:jc w:val="right"/>
              <w:rPr>
                <w:rFonts w:ascii="Calibri" w:eastAsia="Times New Roman" w:hAnsi="Calibri" w:cs="Calibri"/>
                <w:color w:val="000000"/>
                <w:kern w:val="0"/>
                <w:lang w:val="en-GB" w:eastAsia="en-GB"/>
                <w14:ligatures w14:val="none"/>
              </w:rPr>
            </w:pPr>
            <w:r w:rsidRPr="00E42C35">
              <w:rPr>
                <w:rFonts w:ascii="Calibri" w:eastAsia="Times New Roman" w:hAnsi="Calibri" w:cs="Calibri"/>
                <w:color w:val="000000"/>
                <w:kern w:val="0"/>
                <w:lang w:val="en-GB" w:eastAsia="en-GB"/>
                <w14:ligatures w14:val="none"/>
              </w:rPr>
              <w:lastRenderedPageBreak/>
              <w:t>16</w:t>
            </w:r>
          </w:p>
        </w:tc>
        <w:tc>
          <w:tcPr>
            <w:tcW w:w="13041" w:type="dxa"/>
            <w:vAlign w:val="bottom"/>
            <w:hideMark/>
          </w:tcPr>
          <w:p w14:paraId="2D2FEA07" w14:textId="77777777" w:rsidR="005002ED" w:rsidRPr="00E42C35" w:rsidRDefault="005002ED" w:rsidP="005002ED">
            <w:pPr>
              <w:spacing w:after="0" w:line="240" w:lineRule="auto"/>
              <w:rPr>
                <w:rFonts w:ascii="Calibri" w:eastAsia="Times New Roman" w:hAnsi="Calibri" w:cs="Calibri"/>
                <w:color w:val="000000"/>
                <w:kern w:val="0"/>
                <w:lang w:val="en-GB" w:eastAsia="en-GB"/>
                <w14:ligatures w14:val="none"/>
              </w:rPr>
            </w:pPr>
            <w:r w:rsidRPr="00E42C35">
              <w:rPr>
                <w:rFonts w:ascii="Calibri" w:eastAsia="Times New Roman" w:hAnsi="Calibri" w:cs="Calibri"/>
                <w:color w:val="000000"/>
                <w:kern w:val="0"/>
                <w:lang w:val="en-GB" w:eastAsia="en-GB"/>
                <w14:ligatures w14:val="none"/>
              </w:rPr>
              <w:t>Rule 30/37CA - Time and mode of payment to Government account of tax deducted at source or tax paid under section 192(1A) or tax collected at source under Section 206C of the Income-tax Act, 1961 / Rule 218 - Time and mode of payment to Government account of tax deducted or collected at source or tax paid under Section 392(2)(a)</w:t>
            </w:r>
          </w:p>
        </w:tc>
        <w:tc>
          <w:tcPr>
            <w:tcW w:w="992" w:type="dxa"/>
            <w:noWrap/>
            <w:vAlign w:val="bottom"/>
            <w:hideMark/>
          </w:tcPr>
          <w:p w14:paraId="2231DCFF" w14:textId="6E371FEC" w:rsidR="005002ED" w:rsidRPr="00E42C35" w:rsidRDefault="005002ED" w:rsidP="005002ED">
            <w:pPr>
              <w:spacing w:after="0" w:line="240" w:lineRule="auto"/>
              <w:rPr>
                <w:rFonts w:ascii="Calibri" w:eastAsia="Times New Roman" w:hAnsi="Calibri" w:cs="Calibri"/>
                <w:color w:val="000000"/>
                <w:kern w:val="0"/>
                <w:lang w:val="en-GB" w:eastAsia="en-GB"/>
                <w14:ligatures w14:val="none"/>
              </w:rPr>
            </w:pPr>
            <w:r w:rsidRPr="00E42C35">
              <w:rPr>
                <w:rFonts w:ascii="Calibri" w:eastAsia="Times New Roman" w:hAnsi="Calibri" w:cs="Calibri"/>
                <w:color w:val="000000"/>
                <w:kern w:val="0"/>
                <w:lang w:val="en-GB" w:eastAsia="en-GB"/>
                <w14:ligatures w14:val="none"/>
              </w:rPr>
              <w:t> </w:t>
            </w:r>
            <w:r w:rsidR="008F53B1" w:rsidRPr="00E42C35">
              <w:rPr>
                <w:rFonts w:ascii="Calibri" w:eastAsia="Times New Roman" w:hAnsi="Calibri" w:cs="Calibri"/>
                <w:color w:val="000000"/>
                <w:kern w:val="0"/>
                <w:lang w:val="en-GB" w:eastAsia="en-GB"/>
                <w14:ligatures w14:val="none"/>
              </w:rPr>
              <w:t>13</w:t>
            </w:r>
          </w:p>
        </w:tc>
      </w:tr>
      <w:tr w:rsidR="005002ED" w:rsidRPr="00E42C35" w14:paraId="76FE9C3B" w14:textId="77777777" w:rsidTr="00ED25C5">
        <w:trPr>
          <w:trHeight w:val="290"/>
        </w:trPr>
        <w:tc>
          <w:tcPr>
            <w:tcW w:w="846" w:type="dxa"/>
            <w:noWrap/>
            <w:vAlign w:val="bottom"/>
            <w:hideMark/>
          </w:tcPr>
          <w:p w14:paraId="5C55F4BC" w14:textId="77777777" w:rsidR="005002ED" w:rsidRPr="00E42C35" w:rsidRDefault="005002ED" w:rsidP="005002ED">
            <w:pPr>
              <w:spacing w:after="0" w:line="240" w:lineRule="auto"/>
              <w:jc w:val="right"/>
              <w:rPr>
                <w:rFonts w:ascii="Calibri" w:eastAsia="Times New Roman" w:hAnsi="Calibri" w:cs="Calibri"/>
                <w:color w:val="000000"/>
                <w:kern w:val="0"/>
                <w:lang w:val="en-GB" w:eastAsia="en-GB"/>
                <w14:ligatures w14:val="none"/>
              </w:rPr>
            </w:pPr>
            <w:r w:rsidRPr="00E42C35">
              <w:rPr>
                <w:rFonts w:ascii="Calibri" w:eastAsia="Times New Roman" w:hAnsi="Calibri" w:cs="Calibri"/>
                <w:color w:val="000000"/>
                <w:kern w:val="0"/>
                <w:lang w:val="en-GB" w:eastAsia="en-GB"/>
                <w14:ligatures w14:val="none"/>
              </w:rPr>
              <w:t>17</w:t>
            </w:r>
          </w:p>
        </w:tc>
        <w:tc>
          <w:tcPr>
            <w:tcW w:w="13041" w:type="dxa"/>
            <w:vAlign w:val="bottom"/>
            <w:hideMark/>
          </w:tcPr>
          <w:p w14:paraId="689AB320" w14:textId="77777777" w:rsidR="005002ED" w:rsidRPr="00E42C35" w:rsidRDefault="005002ED" w:rsidP="005002ED">
            <w:pPr>
              <w:spacing w:after="0" w:line="240" w:lineRule="auto"/>
              <w:rPr>
                <w:rFonts w:ascii="Calibri" w:eastAsia="Times New Roman" w:hAnsi="Calibri" w:cs="Calibri"/>
                <w:color w:val="000000"/>
                <w:kern w:val="0"/>
                <w:lang w:val="en-GB" w:eastAsia="en-GB"/>
                <w14:ligatures w14:val="none"/>
              </w:rPr>
            </w:pPr>
            <w:r w:rsidRPr="00E42C35">
              <w:rPr>
                <w:rFonts w:ascii="Calibri" w:eastAsia="Times New Roman" w:hAnsi="Calibri" w:cs="Calibri"/>
                <w:color w:val="000000"/>
                <w:kern w:val="0"/>
                <w:lang w:val="en-GB" w:eastAsia="en-GB"/>
                <w14:ligatures w14:val="none"/>
              </w:rPr>
              <w:t>Clause (g) of the Explanation to Rule 114F(1) of IT Rules 1962 / Clause (g) of the Explanation to Rule 238(1) of Draft IT Rules 2026</w:t>
            </w:r>
          </w:p>
        </w:tc>
        <w:tc>
          <w:tcPr>
            <w:tcW w:w="992" w:type="dxa"/>
            <w:noWrap/>
            <w:vAlign w:val="bottom"/>
            <w:hideMark/>
          </w:tcPr>
          <w:p w14:paraId="11D6C2DF" w14:textId="06648162" w:rsidR="005002ED" w:rsidRPr="00E42C35" w:rsidRDefault="005002ED" w:rsidP="005002ED">
            <w:pPr>
              <w:spacing w:after="0" w:line="240" w:lineRule="auto"/>
              <w:rPr>
                <w:rFonts w:ascii="Calibri" w:eastAsia="Times New Roman" w:hAnsi="Calibri" w:cs="Calibri"/>
                <w:color w:val="000000"/>
                <w:kern w:val="0"/>
                <w:lang w:val="en-GB" w:eastAsia="en-GB"/>
                <w14:ligatures w14:val="none"/>
              </w:rPr>
            </w:pPr>
            <w:r w:rsidRPr="00E42C35">
              <w:rPr>
                <w:rFonts w:ascii="Calibri" w:eastAsia="Times New Roman" w:hAnsi="Calibri" w:cs="Calibri"/>
                <w:color w:val="000000"/>
                <w:kern w:val="0"/>
                <w:lang w:val="en-GB" w:eastAsia="en-GB"/>
                <w14:ligatures w14:val="none"/>
              </w:rPr>
              <w:t> </w:t>
            </w:r>
            <w:r w:rsidR="008F53B1" w:rsidRPr="00E42C35">
              <w:rPr>
                <w:rFonts w:ascii="Calibri" w:eastAsia="Times New Roman" w:hAnsi="Calibri" w:cs="Calibri"/>
                <w:color w:val="000000"/>
                <w:kern w:val="0"/>
                <w:lang w:val="en-GB" w:eastAsia="en-GB"/>
                <w14:ligatures w14:val="none"/>
              </w:rPr>
              <w:t>14</w:t>
            </w:r>
          </w:p>
        </w:tc>
      </w:tr>
      <w:tr w:rsidR="005002ED" w:rsidRPr="00E42C35" w14:paraId="0713285A" w14:textId="77777777" w:rsidTr="00ED25C5">
        <w:trPr>
          <w:trHeight w:val="290"/>
        </w:trPr>
        <w:tc>
          <w:tcPr>
            <w:tcW w:w="846" w:type="dxa"/>
            <w:noWrap/>
            <w:vAlign w:val="bottom"/>
            <w:hideMark/>
          </w:tcPr>
          <w:p w14:paraId="20BC7E9E" w14:textId="77777777" w:rsidR="005002ED" w:rsidRPr="00E42C35" w:rsidRDefault="005002ED" w:rsidP="005002ED">
            <w:pPr>
              <w:spacing w:after="0" w:line="240" w:lineRule="auto"/>
              <w:jc w:val="right"/>
              <w:rPr>
                <w:rFonts w:ascii="Calibri" w:eastAsia="Times New Roman" w:hAnsi="Calibri" w:cs="Calibri"/>
                <w:color w:val="000000"/>
                <w:kern w:val="0"/>
                <w:lang w:val="en-GB" w:eastAsia="en-GB"/>
                <w14:ligatures w14:val="none"/>
              </w:rPr>
            </w:pPr>
            <w:r w:rsidRPr="00E42C35">
              <w:rPr>
                <w:rFonts w:ascii="Calibri" w:eastAsia="Times New Roman" w:hAnsi="Calibri" w:cs="Calibri"/>
                <w:color w:val="000000"/>
                <w:kern w:val="0"/>
                <w:lang w:val="en-GB" w:eastAsia="en-GB"/>
                <w14:ligatures w14:val="none"/>
              </w:rPr>
              <w:t>18</w:t>
            </w:r>
          </w:p>
        </w:tc>
        <w:tc>
          <w:tcPr>
            <w:tcW w:w="13041" w:type="dxa"/>
            <w:vAlign w:val="bottom"/>
            <w:hideMark/>
          </w:tcPr>
          <w:p w14:paraId="7A523E8C" w14:textId="52CA1DD7" w:rsidR="005002ED" w:rsidRPr="00E42C35" w:rsidRDefault="005002ED" w:rsidP="005002ED">
            <w:pPr>
              <w:spacing w:after="0" w:line="240" w:lineRule="auto"/>
              <w:rPr>
                <w:rFonts w:ascii="Calibri" w:eastAsia="Times New Roman" w:hAnsi="Calibri" w:cs="Calibri"/>
                <w:color w:val="000000"/>
                <w:kern w:val="0"/>
                <w:lang w:val="en-GB" w:eastAsia="en-GB"/>
                <w14:ligatures w14:val="none"/>
              </w:rPr>
            </w:pPr>
            <w:r w:rsidRPr="00E42C35">
              <w:rPr>
                <w:rFonts w:ascii="Calibri" w:eastAsia="Times New Roman" w:hAnsi="Calibri" w:cs="Calibri"/>
                <w:color w:val="000000"/>
                <w:kern w:val="0"/>
                <w:lang w:val="en-GB" w:eastAsia="en-GB"/>
                <w14:ligatures w14:val="none"/>
              </w:rPr>
              <w:t>Clause (</w:t>
            </w:r>
            <w:r w:rsidR="000F3079" w:rsidRPr="00E42C35">
              <w:rPr>
                <w:rFonts w:ascii="Calibri" w:eastAsia="Times New Roman" w:hAnsi="Calibri" w:cs="Calibri"/>
                <w:color w:val="000000"/>
                <w:kern w:val="0"/>
                <w:lang w:val="en-GB" w:eastAsia="en-GB"/>
                <w14:ligatures w14:val="none"/>
              </w:rPr>
              <w:t>f</w:t>
            </w:r>
            <w:r w:rsidRPr="00E42C35">
              <w:rPr>
                <w:rFonts w:ascii="Calibri" w:eastAsia="Times New Roman" w:hAnsi="Calibri" w:cs="Calibri"/>
                <w:color w:val="000000"/>
                <w:kern w:val="0"/>
                <w:lang w:val="en-GB" w:eastAsia="en-GB"/>
                <w14:ligatures w14:val="none"/>
              </w:rPr>
              <w:t>) of the Explanation to Rule 114F(6) of IT Rules 1962 / Clause (</w:t>
            </w:r>
            <w:r w:rsidR="000F3079" w:rsidRPr="00E42C35">
              <w:rPr>
                <w:rFonts w:ascii="Calibri" w:eastAsia="Times New Roman" w:hAnsi="Calibri" w:cs="Calibri"/>
                <w:color w:val="000000"/>
                <w:kern w:val="0"/>
                <w:lang w:val="en-GB" w:eastAsia="en-GB"/>
                <w14:ligatures w14:val="none"/>
              </w:rPr>
              <w:t>f</w:t>
            </w:r>
            <w:r w:rsidRPr="00E42C35">
              <w:rPr>
                <w:rFonts w:ascii="Calibri" w:eastAsia="Times New Roman" w:hAnsi="Calibri" w:cs="Calibri"/>
                <w:color w:val="000000"/>
                <w:kern w:val="0"/>
                <w:lang w:val="en-GB" w:eastAsia="en-GB"/>
                <w14:ligatures w14:val="none"/>
              </w:rPr>
              <w:t>) of the Explanation to Rule 238(6) of Draft IT Rules 2026</w:t>
            </w:r>
          </w:p>
        </w:tc>
        <w:tc>
          <w:tcPr>
            <w:tcW w:w="992" w:type="dxa"/>
            <w:noWrap/>
            <w:vAlign w:val="bottom"/>
            <w:hideMark/>
          </w:tcPr>
          <w:p w14:paraId="4036882E" w14:textId="7BEF3007" w:rsidR="005002ED" w:rsidRPr="00E42C35" w:rsidRDefault="005002ED" w:rsidP="005002ED">
            <w:pPr>
              <w:spacing w:after="0" w:line="240" w:lineRule="auto"/>
              <w:rPr>
                <w:rFonts w:ascii="Calibri" w:eastAsia="Times New Roman" w:hAnsi="Calibri" w:cs="Calibri"/>
                <w:color w:val="000000"/>
                <w:kern w:val="0"/>
                <w:lang w:val="en-GB" w:eastAsia="en-GB"/>
                <w14:ligatures w14:val="none"/>
              </w:rPr>
            </w:pPr>
            <w:r w:rsidRPr="00E42C35">
              <w:rPr>
                <w:rFonts w:ascii="Calibri" w:eastAsia="Times New Roman" w:hAnsi="Calibri" w:cs="Calibri"/>
                <w:color w:val="000000"/>
                <w:kern w:val="0"/>
                <w:lang w:val="en-GB" w:eastAsia="en-GB"/>
                <w14:ligatures w14:val="none"/>
              </w:rPr>
              <w:t> </w:t>
            </w:r>
            <w:r w:rsidR="008F53B1" w:rsidRPr="00E42C35">
              <w:rPr>
                <w:rFonts w:ascii="Calibri" w:eastAsia="Times New Roman" w:hAnsi="Calibri" w:cs="Calibri"/>
                <w:color w:val="000000"/>
                <w:kern w:val="0"/>
                <w:lang w:val="en-GB" w:eastAsia="en-GB"/>
                <w14:ligatures w14:val="none"/>
              </w:rPr>
              <w:t>14</w:t>
            </w:r>
          </w:p>
        </w:tc>
      </w:tr>
      <w:tr w:rsidR="005002ED" w:rsidRPr="00E42C35" w14:paraId="0AADB3AC" w14:textId="77777777" w:rsidTr="00ED25C5">
        <w:trPr>
          <w:trHeight w:val="290"/>
        </w:trPr>
        <w:tc>
          <w:tcPr>
            <w:tcW w:w="846" w:type="dxa"/>
            <w:noWrap/>
            <w:vAlign w:val="bottom"/>
            <w:hideMark/>
          </w:tcPr>
          <w:p w14:paraId="04FFBDCB" w14:textId="77777777" w:rsidR="005002ED" w:rsidRPr="00E42C35" w:rsidRDefault="005002ED" w:rsidP="005002ED">
            <w:pPr>
              <w:spacing w:after="0" w:line="240" w:lineRule="auto"/>
              <w:jc w:val="right"/>
              <w:rPr>
                <w:rFonts w:ascii="Calibri" w:eastAsia="Times New Roman" w:hAnsi="Calibri" w:cs="Calibri"/>
                <w:color w:val="000000"/>
                <w:kern w:val="0"/>
                <w:lang w:val="en-GB" w:eastAsia="en-GB"/>
                <w14:ligatures w14:val="none"/>
              </w:rPr>
            </w:pPr>
            <w:r w:rsidRPr="00E42C35">
              <w:rPr>
                <w:rFonts w:ascii="Calibri" w:eastAsia="Times New Roman" w:hAnsi="Calibri" w:cs="Calibri"/>
                <w:color w:val="000000"/>
                <w:kern w:val="0"/>
                <w:lang w:val="en-GB" w:eastAsia="en-GB"/>
                <w14:ligatures w14:val="none"/>
              </w:rPr>
              <w:t>19</w:t>
            </w:r>
          </w:p>
        </w:tc>
        <w:tc>
          <w:tcPr>
            <w:tcW w:w="13041" w:type="dxa"/>
            <w:vAlign w:val="bottom"/>
            <w:hideMark/>
          </w:tcPr>
          <w:p w14:paraId="6220D7F4" w14:textId="77777777" w:rsidR="005002ED" w:rsidRPr="00E42C35" w:rsidRDefault="005002ED" w:rsidP="005002ED">
            <w:pPr>
              <w:spacing w:after="0" w:line="240" w:lineRule="auto"/>
              <w:rPr>
                <w:rFonts w:ascii="Calibri" w:eastAsia="Times New Roman" w:hAnsi="Calibri" w:cs="Calibri"/>
                <w:color w:val="000000"/>
                <w:kern w:val="0"/>
                <w:lang w:val="en-GB" w:eastAsia="en-GB"/>
                <w14:ligatures w14:val="none"/>
              </w:rPr>
            </w:pPr>
            <w:r w:rsidRPr="00E42C35">
              <w:rPr>
                <w:rFonts w:ascii="Calibri" w:eastAsia="Times New Roman" w:hAnsi="Calibri" w:cs="Calibri"/>
                <w:color w:val="000000"/>
                <w:kern w:val="0"/>
                <w:lang w:val="en-GB" w:eastAsia="en-GB"/>
                <w14:ligatures w14:val="none"/>
              </w:rPr>
              <w:t>Rule 114G(1)(e)(ii) of IT Rules 1962 / Rule 239(1)(e)(ii) of Draft IT Rules 2026</w:t>
            </w:r>
          </w:p>
        </w:tc>
        <w:tc>
          <w:tcPr>
            <w:tcW w:w="992" w:type="dxa"/>
            <w:noWrap/>
            <w:vAlign w:val="bottom"/>
            <w:hideMark/>
          </w:tcPr>
          <w:p w14:paraId="2109A939" w14:textId="3BA44D69" w:rsidR="005002ED" w:rsidRPr="00E42C35" w:rsidRDefault="005002ED" w:rsidP="005002ED">
            <w:pPr>
              <w:spacing w:after="0" w:line="240" w:lineRule="auto"/>
              <w:rPr>
                <w:rFonts w:ascii="Calibri" w:eastAsia="Times New Roman" w:hAnsi="Calibri" w:cs="Calibri"/>
                <w:color w:val="000000"/>
                <w:kern w:val="0"/>
                <w:lang w:val="en-GB" w:eastAsia="en-GB"/>
                <w14:ligatures w14:val="none"/>
              </w:rPr>
            </w:pPr>
            <w:r w:rsidRPr="00E42C35">
              <w:rPr>
                <w:rFonts w:ascii="Calibri" w:eastAsia="Times New Roman" w:hAnsi="Calibri" w:cs="Calibri"/>
                <w:color w:val="000000"/>
                <w:kern w:val="0"/>
                <w:lang w:val="en-GB" w:eastAsia="en-GB"/>
                <w14:ligatures w14:val="none"/>
              </w:rPr>
              <w:t> </w:t>
            </w:r>
            <w:r w:rsidR="008F53B1" w:rsidRPr="00E42C35">
              <w:rPr>
                <w:rFonts w:ascii="Calibri" w:eastAsia="Times New Roman" w:hAnsi="Calibri" w:cs="Calibri"/>
                <w:color w:val="000000"/>
                <w:kern w:val="0"/>
                <w:lang w:val="en-GB" w:eastAsia="en-GB"/>
                <w14:ligatures w14:val="none"/>
              </w:rPr>
              <w:t>14</w:t>
            </w:r>
          </w:p>
        </w:tc>
      </w:tr>
      <w:tr w:rsidR="005002ED" w:rsidRPr="00E42C35" w14:paraId="4C57863F" w14:textId="77777777" w:rsidTr="00ED25C5">
        <w:trPr>
          <w:trHeight w:val="290"/>
        </w:trPr>
        <w:tc>
          <w:tcPr>
            <w:tcW w:w="846" w:type="dxa"/>
            <w:noWrap/>
            <w:vAlign w:val="bottom"/>
            <w:hideMark/>
          </w:tcPr>
          <w:p w14:paraId="44D2774B" w14:textId="77777777" w:rsidR="005002ED" w:rsidRPr="00E42C35" w:rsidRDefault="005002ED" w:rsidP="005002ED">
            <w:pPr>
              <w:spacing w:after="0" w:line="240" w:lineRule="auto"/>
              <w:jc w:val="right"/>
              <w:rPr>
                <w:rFonts w:ascii="Calibri" w:eastAsia="Times New Roman" w:hAnsi="Calibri" w:cs="Calibri"/>
                <w:color w:val="000000"/>
                <w:kern w:val="0"/>
                <w:lang w:val="en-GB" w:eastAsia="en-GB"/>
                <w14:ligatures w14:val="none"/>
              </w:rPr>
            </w:pPr>
            <w:r w:rsidRPr="00E42C35">
              <w:rPr>
                <w:rFonts w:ascii="Calibri" w:eastAsia="Times New Roman" w:hAnsi="Calibri" w:cs="Calibri"/>
                <w:color w:val="000000"/>
                <w:kern w:val="0"/>
                <w:lang w:val="en-GB" w:eastAsia="en-GB"/>
                <w14:ligatures w14:val="none"/>
              </w:rPr>
              <w:t>20</w:t>
            </w:r>
          </w:p>
        </w:tc>
        <w:tc>
          <w:tcPr>
            <w:tcW w:w="13041" w:type="dxa"/>
            <w:vAlign w:val="bottom"/>
            <w:hideMark/>
          </w:tcPr>
          <w:p w14:paraId="59375FB9" w14:textId="77777777" w:rsidR="005002ED" w:rsidRPr="00E42C35" w:rsidRDefault="005002ED" w:rsidP="005002ED">
            <w:pPr>
              <w:spacing w:after="0" w:line="240" w:lineRule="auto"/>
              <w:rPr>
                <w:rFonts w:ascii="Calibri" w:eastAsia="Times New Roman" w:hAnsi="Calibri" w:cs="Calibri"/>
                <w:color w:val="000000"/>
                <w:kern w:val="0"/>
                <w:lang w:val="en-GB" w:eastAsia="en-GB"/>
                <w14:ligatures w14:val="none"/>
              </w:rPr>
            </w:pPr>
            <w:r w:rsidRPr="00E42C35">
              <w:rPr>
                <w:rFonts w:ascii="Calibri" w:eastAsia="Times New Roman" w:hAnsi="Calibri" w:cs="Calibri"/>
                <w:color w:val="000000"/>
                <w:kern w:val="0"/>
                <w:lang w:val="en-GB" w:eastAsia="en-GB"/>
                <w14:ligatures w14:val="none"/>
              </w:rPr>
              <w:t>Rule 239(7) of Draft IT Rules 2026</w:t>
            </w:r>
          </w:p>
        </w:tc>
        <w:tc>
          <w:tcPr>
            <w:tcW w:w="992" w:type="dxa"/>
            <w:noWrap/>
            <w:vAlign w:val="bottom"/>
            <w:hideMark/>
          </w:tcPr>
          <w:p w14:paraId="3C601021" w14:textId="467DCBDE" w:rsidR="005002ED" w:rsidRPr="00E42C35" w:rsidRDefault="005002ED" w:rsidP="005002ED">
            <w:pPr>
              <w:spacing w:after="0" w:line="240" w:lineRule="auto"/>
              <w:rPr>
                <w:rFonts w:ascii="Calibri" w:eastAsia="Times New Roman" w:hAnsi="Calibri" w:cs="Calibri"/>
                <w:color w:val="000000"/>
                <w:kern w:val="0"/>
                <w:lang w:val="en-GB" w:eastAsia="en-GB"/>
                <w14:ligatures w14:val="none"/>
              </w:rPr>
            </w:pPr>
            <w:r w:rsidRPr="00E42C35">
              <w:rPr>
                <w:rFonts w:ascii="Calibri" w:eastAsia="Times New Roman" w:hAnsi="Calibri" w:cs="Calibri"/>
                <w:color w:val="000000"/>
                <w:kern w:val="0"/>
                <w:lang w:val="en-GB" w:eastAsia="en-GB"/>
                <w14:ligatures w14:val="none"/>
              </w:rPr>
              <w:t> </w:t>
            </w:r>
            <w:r w:rsidR="008F53B1" w:rsidRPr="00E42C35">
              <w:rPr>
                <w:rFonts w:ascii="Calibri" w:eastAsia="Times New Roman" w:hAnsi="Calibri" w:cs="Calibri"/>
                <w:color w:val="000000"/>
                <w:kern w:val="0"/>
                <w:lang w:val="en-GB" w:eastAsia="en-GB"/>
                <w14:ligatures w14:val="none"/>
              </w:rPr>
              <w:t>15</w:t>
            </w:r>
          </w:p>
        </w:tc>
      </w:tr>
      <w:tr w:rsidR="005002ED" w:rsidRPr="00E42C35" w14:paraId="031A8882" w14:textId="77777777" w:rsidTr="00ED25C5">
        <w:trPr>
          <w:trHeight w:val="290"/>
        </w:trPr>
        <w:tc>
          <w:tcPr>
            <w:tcW w:w="846" w:type="dxa"/>
            <w:noWrap/>
            <w:vAlign w:val="bottom"/>
            <w:hideMark/>
          </w:tcPr>
          <w:p w14:paraId="54C60AEF" w14:textId="77777777" w:rsidR="005002ED" w:rsidRPr="00E42C35" w:rsidRDefault="005002ED" w:rsidP="005002ED">
            <w:pPr>
              <w:spacing w:after="0" w:line="240" w:lineRule="auto"/>
              <w:jc w:val="right"/>
              <w:rPr>
                <w:rFonts w:ascii="Calibri" w:eastAsia="Times New Roman" w:hAnsi="Calibri" w:cs="Calibri"/>
                <w:color w:val="000000"/>
                <w:kern w:val="0"/>
                <w:lang w:val="en-GB" w:eastAsia="en-GB"/>
                <w14:ligatures w14:val="none"/>
              </w:rPr>
            </w:pPr>
            <w:r w:rsidRPr="00E42C35">
              <w:rPr>
                <w:rFonts w:ascii="Calibri" w:eastAsia="Times New Roman" w:hAnsi="Calibri" w:cs="Calibri"/>
                <w:color w:val="000000"/>
                <w:kern w:val="0"/>
                <w:lang w:val="en-GB" w:eastAsia="en-GB"/>
                <w14:ligatures w14:val="none"/>
              </w:rPr>
              <w:t>21</w:t>
            </w:r>
          </w:p>
        </w:tc>
        <w:tc>
          <w:tcPr>
            <w:tcW w:w="13041" w:type="dxa"/>
            <w:vAlign w:val="bottom"/>
            <w:hideMark/>
          </w:tcPr>
          <w:p w14:paraId="4C9E49D1" w14:textId="77777777" w:rsidR="005002ED" w:rsidRPr="00E42C35" w:rsidRDefault="005002ED" w:rsidP="005002ED">
            <w:pPr>
              <w:spacing w:after="0" w:line="240" w:lineRule="auto"/>
              <w:rPr>
                <w:rFonts w:ascii="Calibri" w:eastAsia="Times New Roman" w:hAnsi="Calibri" w:cs="Calibri"/>
                <w:color w:val="000000"/>
                <w:kern w:val="0"/>
                <w:lang w:val="en-GB" w:eastAsia="en-GB"/>
                <w14:ligatures w14:val="none"/>
              </w:rPr>
            </w:pPr>
            <w:r w:rsidRPr="00E42C35">
              <w:rPr>
                <w:rFonts w:ascii="Calibri" w:eastAsia="Times New Roman" w:hAnsi="Calibri" w:cs="Calibri"/>
                <w:color w:val="000000"/>
                <w:kern w:val="0"/>
                <w:lang w:val="en-GB" w:eastAsia="en-GB"/>
                <w14:ligatures w14:val="none"/>
              </w:rPr>
              <w:t>Rule 114G(7) of IT Rules 1962 / Rule 239(8) of Draft IT Rules 2026</w:t>
            </w:r>
          </w:p>
        </w:tc>
        <w:tc>
          <w:tcPr>
            <w:tcW w:w="992" w:type="dxa"/>
            <w:noWrap/>
            <w:vAlign w:val="bottom"/>
            <w:hideMark/>
          </w:tcPr>
          <w:p w14:paraId="6F82AC57" w14:textId="7D3D5581" w:rsidR="005002ED" w:rsidRPr="00E42C35" w:rsidRDefault="005002ED" w:rsidP="005002ED">
            <w:pPr>
              <w:spacing w:after="0" w:line="240" w:lineRule="auto"/>
              <w:rPr>
                <w:rFonts w:ascii="Calibri" w:eastAsia="Times New Roman" w:hAnsi="Calibri" w:cs="Calibri"/>
                <w:color w:val="000000"/>
                <w:kern w:val="0"/>
                <w:lang w:val="en-GB" w:eastAsia="en-GB"/>
                <w14:ligatures w14:val="none"/>
              </w:rPr>
            </w:pPr>
            <w:r w:rsidRPr="00E42C35">
              <w:rPr>
                <w:rFonts w:ascii="Calibri" w:eastAsia="Times New Roman" w:hAnsi="Calibri" w:cs="Calibri"/>
                <w:color w:val="000000"/>
                <w:kern w:val="0"/>
                <w:lang w:val="en-GB" w:eastAsia="en-GB"/>
                <w14:ligatures w14:val="none"/>
              </w:rPr>
              <w:t> </w:t>
            </w:r>
            <w:r w:rsidR="008F53B1" w:rsidRPr="00E42C35">
              <w:rPr>
                <w:rFonts w:ascii="Calibri" w:eastAsia="Times New Roman" w:hAnsi="Calibri" w:cs="Calibri"/>
                <w:color w:val="000000"/>
                <w:kern w:val="0"/>
                <w:lang w:val="en-GB" w:eastAsia="en-GB"/>
                <w14:ligatures w14:val="none"/>
              </w:rPr>
              <w:t>16</w:t>
            </w:r>
          </w:p>
        </w:tc>
      </w:tr>
      <w:tr w:rsidR="005002ED" w:rsidRPr="00E42C35" w14:paraId="538EE77A" w14:textId="77777777" w:rsidTr="00ED25C5">
        <w:trPr>
          <w:trHeight w:val="290"/>
        </w:trPr>
        <w:tc>
          <w:tcPr>
            <w:tcW w:w="846" w:type="dxa"/>
            <w:noWrap/>
            <w:vAlign w:val="bottom"/>
            <w:hideMark/>
          </w:tcPr>
          <w:p w14:paraId="2BF3A34B" w14:textId="77777777" w:rsidR="005002ED" w:rsidRPr="00E42C35" w:rsidRDefault="005002ED" w:rsidP="005002ED">
            <w:pPr>
              <w:spacing w:after="0" w:line="240" w:lineRule="auto"/>
              <w:jc w:val="right"/>
              <w:rPr>
                <w:rFonts w:ascii="Calibri" w:eastAsia="Times New Roman" w:hAnsi="Calibri" w:cs="Calibri"/>
                <w:color w:val="000000"/>
                <w:kern w:val="0"/>
                <w:lang w:val="en-GB" w:eastAsia="en-GB"/>
                <w14:ligatures w14:val="none"/>
              </w:rPr>
            </w:pPr>
            <w:r w:rsidRPr="00E42C35">
              <w:rPr>
                <w:rFonts w:ascii="Calibri" w:eastAsia="Times New Roman" w:hAnsi="Calibri" w:cs="Calibri"/>
                <w:color w:val="000000"/>
                <w:kern w:val="0"/>
                <w:lang w:val="en-GB" w:eastAsia="en-GB"/>
                <w14:ligatures w14:val="none"/>
              </w:rPr>
              <w:t>22</w:t>
            </w:r>
          </w:p>
        </w:tc>
        <w:tc>
          <w:tcPr>
            <w:tcW w:w="13041" w:type="dxa"/>
            <w:vAlign w:val="bottom"/>
            <w:hideMark/>
          </w:tcPr>
          <w:p w14:paraId="3CCC3357" w14:textId="77777777" w:rsidR="005002ED" w:rsidRPr="00E42C35" w:rsidRDefault="005002ED" w:rsidP="005002ED">
            <w:pPr>
              <w:spacing w:after="0" w:line="240" w:lineRule="auto"/>
              <w:rPr>
                <w:rFonts w:ascii="Calibri" w:eastAsia="Times New Roman" w:hAnsi="Calibri" w:cs="Calibri"/>
                <w:color w:val="000000"/>
                <w:kern w:val="0"/>
                <w:lang w:val="en-GB" w:eastAsia="en-GB"/>
                <w14:ligatures w14:val="none"/>
              </w:rPr>
            </w:pPr>
            <w:r w:rsidRPr="00E42C35">
              <w:rPr>
                <w:rFonts w:ascii="Calibri" w:eastAsia="Times New Roman" w:hAnsi="Calibri" w:cs="Calibri"/>
                <w:color w:val="000000"/>
                <w:kern w:val="0"/>
                <w:lang w:val="en-GB" w:eastAsia="en-GB"/>
                <w14:ligatures w14:val="none"/>
              </w:rPr>
              <w:t>Rule 114G(10) of IT Rules 1962 / Rule 239(11) of Draft IT Rules 2026</w:t>
            </w:r>
          </w:p>
        </w:tc>
        <w:tc>
          <w:tcPr>
            <w:tcW w:w="992" w:type="dxa"/>
            <w:noWrap/>
            <w:vAlign w:val="bottom"/>
            <w:hideMark/>
          </w:tcPr>
          <w:p w14:paraId="00DA58D7" w14:textId="4ADC15EB" w:rsidR="005002ED" w:rsidRPr="00E42C35" w:rsidRDefault="005002ED" w:rsidP="005002ED">
            <w:pPr>
              <w:spacing w:after="0" w:line="240" w:lineRule="auto"/>
              <w:rPr>
                <w:rFonts w:ascii="Calibri" w:eastAsia="Times New Roman" w:hAnsi="Calibri" w:cs="Calibri"/>
                <w:color w:val="000000"/>
                <w:kern w:val="0"/>
                <w:lang w:val="en-GB" w:eastAsia="en-GB"/>
                <w14:ligatures w14:val="none"/>
              </w:rPr>
            </w:pPr>
            <w:r w:rsidRPr="00E42C35">
              <w:rPr>
                <w:rFonts w:ascii="Calibri" w:eastAsia="Times New Roman" w:hAnsi="Calibri" w:cs="Calibri"/>
                <w:color w:val="000000"/>
                <w:kern w:val="0"/>
                <w:lang w:val="en-GB" w:eastAsia="en-GB"/>
                <w14:ligatures w14:val="none"/>
              </w:rPr>
              <w:t> </w:t>
            </w:r>
            <w:r w:rsidR="008F53B1" w:rsidRPr="00E42C35">
              <w:rPr>
                <w:rFonts w:ascii="Calibri" w:eastAsia="Times New Roman" w:hAnsi="Calibri" w:cs="Calibri"/>
                <w:color w:val="000000"/>
                <w:kern w:val="0"/>
                <w:lang w:val="en-GB" w:eastAsia="en-GB"/>
                <w14:ligatures w14:val="none"/>
              </w:rPr>
              <w:t>16</w:t>
            </w:r>
          </w:p>
        </w:tc>
      </w:tr>
      <w:tr w:rsidR="005002ED" w:rsidRPr="00E42C35" w14:paraId="4B6E16CD" w14:textId="77777777" w:rsidTr="00ED25C5">
        <w:trPr>
          <w:trHeight w:val="290"/>
        </w:trPr>
        <w:tc>
          <w:tcPr>
            <w:tcW w:w="846" w:type="dxa"/>
            <w:noWrap/>
            <w:vAlign w:val="bottom"/>
            <w:hideMark/>
          </w:tcPr>
          <w:p w14:paraId="2C531614" w14:textId="77777777" w:rsidR="005002ED" w:rsidRPr="00E42C35" w:rsidRDefault="005002ED" w:rsidP="005002ED">
            <w:pPr>
              <w:spacing w:after="0" w:line="240" w:lineRule="auto"/>
              <w:jc w:val="right"/>
              <w:rPr>
                <w:rFonts w:ascii="Calibri" w:eastAsia="Times New Roman" w:hAnsi="Calibri" w:cs="Calibri"/>
                <w:color w:val="000000"/>
                <w:kern w:val="0"/>
                <w:lang w:val="en-GB" w:eastAsia="en-GB"/>
                <w14:ligatures w14:val="none"/>
              </w:rPr>
            </w:pPr>
            <w:r w:rsidRPr="00E42C35">
              <w:rPr>
                <w:rFonts w:ascii="Calibri" w:eastAsia="Times New Roman" w:hAnsi="Calibri" w:cs="Calibri"/>
                <w:color w:val="000000"/>
                <w:kern w:val="0"/>
                <w:lang w:val="en-GB" w:eastAsia="en-GB"/>
                <w14:ligatures w14:val="none"/>
              </w:rPr>
              <w:t>23</w:t>
            </w:r>
          </w:p>
        </w:tc>
        <w:tc>
          <w:tcPr>
            <w:tcW w:w="13041" w:type="dxa"/>
            <w:vAlign w:val="bottom"/>
            <w:hideMark/>
          </w:tcPr>
          <w:p w14:paraId="0A82CBA5" w14:textId="77777777" w:rsidR="005002ED" w:rsidRPr="00E42C35" w:rsidRDefault="005002ED" w:rsidP="005002ED">
            <w:pPr>
              <w:spacing w:after="0" w:line="240" w:lineRule="auto"/>
              <w:rPr>
                <w:rFonts w:ascii="Calibri" w:eastAsia="Times New Roman" w:hAnsi="Calibri" w:cs="Calibri"/>
                <w:color w:val="000000"/>
                <w:kern w:val="0"/>
                <w:lang w:val="en-GB" w:eastAsia="en-GB"/>
                <w14:ligatures w14:val="none"/>
              </w:rPr>
            </w:pPr>
            <w:r w:rsidRPr="00E42C35">
              <w:rPr>
                <w:rFonts w:ascii="Calibri" w:eastAsia="Times New Roman" w:hAnsi="Calibri" w:cs="Calibri"/>
                <w:color w:val="000000"/>
                <w:kern w:val="0"/>
                <w:lang w:val="en-GB" w:eastAsia="en-GB"/>
                <w14:ligatures w14:val="none"/>
              </w:rPr>
              <w:t>Rule 114G(11)(a)(i) of IT Rules 1962 / Rule 239(12)(a)(i) of Draft IT Rules 2026</w:t>
            </w:r>
          </w:p>
        </w:tc>
        <w:tc>
          <w:tcPr>
            <w:tcW w:w="992" w:type="dxa"/>
            <w:noWrap/>
            <w:vAlign w:val="bottom"/>
            <w:hideMark/>
          </w:tcPr>
          <w:p w14:paraId="56CB2C44" w14:textId="3B692401" w:rsidR="005002ED" w:rsidRPr="00E42C35" w:rsidRDefault="005002ED" w:rsidP="005002ED">
            <w:pPr>
              <w:spacing w:after="0" w:line="240" w:lineRule="auto"/>
              <w:rPr>
                <w:rFonts w:ascii="Calibri" w:eastAsia="Times New Roman" w:hAnsi="Calibri" w:cs="Calibri"/>
                <w:color w:val="000000"/>
                <w:kern w:val="0"/>
                <w:lang w:val="en-GB" w:eastAsia="en-GB"/>
                <w14:ligatures w14:val="none"/>
              </w:rPr>
            </w:pPr>
            <w:r w:rsidRPr="00E42C35">
              <w:rPr>
                <w:rFonts w:ascii="Calibri" w:eastAsia="Times New Roman" w:hAnsi="Calibri" w:cs="Calibri"/>
                <w:color w:val="000000"/>
                <w:kern w:val="0"/>
                <w:lang w:val="en-GB" w:eastAsia="en-GB"/>
                <w14:ligatures w14:val="none"/>
              </w:rPr>
              <w:t> </w:t>
            </w:r>
            <w:r w:rsidR="00413DF4" w:rsidRPr="00E42C35">
              <w:rPr>
                <w:rFonts w:ascii="Calibri" w:eastAsia="Times New Roman" w:hAnsi="Calibri" w:cs="Calibri"/>
                <w:color w:val="000000"/>
                <w:kern w:val="0"/>
                <w:lang w:val="en-GB" w:eastAsia="en-GB"/>
                <w14:ligatures w14:val="none"/>
              </w:rPr>
              <w:t>18</w:t>
            </w:r>
          </w:p>
        </w:tc>
      </w:tr>
      <w:tr w:rsidR="005002ED" w:rsidRPr="00E42C35" w14:paraId="37002240" w14:textId="77777777" w:rsidTr="00ED25C5">
        <w:trPr>
          <w:trHeight w:val="290"/>
        </w:trPr>
        <w:tc>
          <w:tcPr>
            <w:tcW w:w="846" w:type="dxa"/>
            <w:noWrap/>
            <w:vAlign w:val="bottom"/>
            <w:hideMark/>
          </w:tcPr>
          <w:p w14:paraId="596D981A" w14:textId="77777777" w:rsidR="005002ED" w:rsidRPr="00E42C35" w:rsidRDefault="005002ED" w:rsidP="005002ED">
            <w:pPr>
              <w:spacing w:after="0" w:line="240" w:lineRule="auto"/>
              <w:jc w:val="right"/>
              <w:rPr>
                <w:rFonts w:ascii="Calibri" w:eastAsia="Times New Roman" w:hAnsi="Calibri" w:cs="Calibri"/>
                <w:color w:val="000000"/>
                <w:kern w:val="0"/>
                <w:lang w:val="en-GB" w:eastAsia="en-GB"/>
                <w14:ligatures w14:val="none"/>
              </w:rPr>
            </w:pPr>
            <w:r w:rsidRPr="00E42C35">
              <w:rPr>
                <w:rFonts w:ascii="Calibri" w:eastAsia="Times New Roman" w:hAnsi="Calibri" w:cs="Calibri"/>
                <w:color w:val="000000"/>
                <w:kern w:val="0"/>
                <w:lang w:val="en-GB" w:eastAsia="en-GB"/>
                <w14:ligatures w14:val="none"/>
              </w:rPr>
              <w:t>24</w:t>
            </w:r>
          </w:p>
        </w:tc>
        <w:tc>
          <w:tcPr>
            <w:tcW w:w="13041" w:type="dxa"/>
            <w:vAlign w:val="bottom"/>
            <w:hideMark/>
          </w:tcPr>
          <w:p w14:paraId="5C711148" w14:textId="77777777" w:rsidR="005002ED" w:rsidRPr="00E42C35" w:rsidRDefault="005002ED" w:rsidP="005002ED">
            <w:pPr>
              <w:spacing w:after="0" w:line="240" w:lineRule="auto"/>
              <w:rPr>
                <w:rFonts w:ascii="Calibri" w:eastAsia="Times New Roman" w:hAnsi="Calibri" w:cs="Calibri"/>
                <w:color w:val="000000"/>
                <w:kern w:val="0"/>
                <w:lang w:val="en-GB" w:eastAsia="en-GB"/>
                <w14:ligatures w14:val="none"/>
              </w:rPr>
            </w:pPr>
            <w:r w:rsidRPr="00E42C35">
              <w:rPr>
                <w:rFonts w:ascii="Calibri" w:eastAsia="Times New Roman" w:hAnsi="Calibri" w:cs="Calibri"/>
                <w:color w:val="000000"/>
                <w:kern w:val="0"/>
                <w:lang w:val="en-GB" w:eastAsia="en-GB"/>
                <w14:ligatures w14:val="none"/>
              </w:rPr>
              <w:t>Rule 114H(6)(a)(ii) of IT Rules 1962 / Rule 240(6)(a)(ii) of Draft IT Rules 2026</w:t>
            </w:r>
          </w:p>
        </w:tc>
        <w:tc>
          <w:tcPr>
            <w:tcW w:w="992" w:type="dxa"/>
            <w:noWrap/>
            <w:vAlign w:val="bottom"/>
            <w:hideMark/>
          </w:tcPr>
          <w:p w14:paraId="78B0F050" w14:textId="7F2B1255" w:rsidR="005002ED" w:rsidRPr="00E42C35" w:rsidRDefault="005002ED" w:rsidP="005002ED">
            <w:pPr>
              <w:spacing w:after="0" w:line="240" w:lineRule="auto"/>
              <w:rPr>
                <w:rFonts w:ascii="Calibri" w:eastAsia="Times New Roman" w:hAnsi="Calibri" w:cs="Calibri"/>
                <w:color w:val="000000"/>
                <w:kern w:val="0"/>
                <w:lang w:val="en-GB" w:eastAsia="en-GB"/>
                <w14:ligatures w14:val="none"/>
              </w:rPr>
            </w:pPr>
            <w:r w:rsidRPr="00E42C35">
              <w:rPr>
                <w:rFonts w:ascii="Calibri" w:eastAsia="Times New Roman" w:hAnsi="Calibri" w:cs="Calibri"/>
                <w:color w:val="000000"/>
                <w:kern w:val="0"/>
                <w:lang w:val="en-GB" w:eastAsia="en-GB"/>
                <w14:ligatures w14:val="none"/>
              </w:rPr>
              <w:t> </w:t>
            </w:r>
            <w:r w:rsidR="00413DF4" w:rsidRPr="00E42C35">
              <w:rPr>
                <w:rFonts w:ascii="Calibri" w:eastAsia="Times New Roman" w:hAnsi="Calibri" w:cs="Calibri"/>
                <w:color w:val="000000"/>
                <w:kern w:val="0"/>
                <w:lang w:val="en-GB" w:eastAsia="en-GB"/>
                <w14:ligatures w14:val="none"/>
              </w:rPr>
              <w:t>18</w:t>
            </w:r>
          </w:p>
        </w:tc>
      </w:tr>
      <w:tr w:rsidR="005002ED" w:rsidRPr="00E42C35" w14:paraId="75D3F40B" w14:textId="77777777" w:rsidTr="00ED25C5">
        <w:trPr>
          <w:trHeight w:val="290"/>
        </w:trPr>
        <w:tc>
          <w:tcPr>
            <w:tcW w:w="846" w:type="dxa"/>
            <w:noWrap/>
            <w:vAlign w:val="bottom"/>
            <w:hideMark/>
          </w:tcPr>
          <w:p w14:paraId="1B2ECE63" w14:textId="77777777" w:rsidR="005002ED" w:rsidRPr="00E42C35" w:rsidRDefault="005002ED" w:rsidP="005002ED">
            <w:pPr>
              <w:spacing w:after="0" w:line="240" w:lineRule="auto"/>
              <w:jc w:val="right"/>
              <w:rPr>
                <w:rFonts w:ascii="Calibri" w:eastAsia="Times New Roman" w:hAnsi="Calibri" w:cs="Calibri"/>
                <w:color w:val="000000"/>
                <w:kern w:val="0"/>
                <w:lang w:val="en-GB" w:eastAsia="en-GB"/>
                <w14:ligatures w14:val="none"/>
              </w:rPr>
            </w:pPr>
            <w:r w:rsidRPr="00E42C35">
              <w:rPr>
                <w:rFonts w:ascii="Calibri" w:eastAsia="Times New Roman" w:hAnsi="Calibri" w:cs="Calibri"/>
                <w:color w:val="000000"/>
                <w:kern w:val="0"/>
                <w:lang w:val="en-GB" w:eastAsia="en-GB"/>
                <w14:ligatures w14:val="none"/>
              </w:rPr>
              <w:t>25</w:t>
            </w:r>
          </w:p>
        </w:tc>
        <w:tc>
          <w:tcPr>
            <w:tcW w:w="13041" w:type="dxa"/>
            <w:vAlign w:val="bottom"/>
            <w:hideMark/>
          </w:tcPr>
          <w:p w14:paraId="6DB07D56" w14:textId="77777777" w:rsidR="005002ED" w:rsidRPr="00E42C35" w:rsidRDefault="005002ED" w:rsidP="005002ED">
            <w:pPr>
              <w:spacing w:after="0" w:line="240" w:lineRule="auto"/>
              <w:rPr>
                <w:rFonts w:ascii="Calibri" w:eastAsia="Times New Roman" w:hAnsi="Calibri" w:cs="Calibri"/>
                <w:color w:val="000000"/>
                <w:kern w:val="0"/>
                <w:lang w:val="en-GB" w:eastAsia="en-GB"/>
                <w14:ligatures w14:val="none"/>
              </w:rPr>
            </w:pPr>
            <w:r w:rsidRPr="00E42C35">
              <w:rPr>
                <w:rFonts w:ascii="Calibri" w:eastAsia="Times New Roman" w:hAnsi="Calibri" w:cs="Calibri"/>
                <w:color w:val="000000"/>
                <w:kern w:val="0"/>
                <w:lang w:val="en-GB" w:eastAsia="en-GB"/>
                <w14:ligatures w14:val="none"/>
              </w:rPr>
              <w:t>Rule 114H(8)(d) of IT Rules 1962 / Rule 240(8)(d) of Draft IT Rules 2026</w:t>
            </w:r>
          </w:p>
        </w:tc>
        <w:tc>
          <w:tcPr>
            <w:tcW w:w="992" w:type="dxa"/>
            <w:noWrap/>
            <w:vAlign w:val="bottom"/>
            <w:hideMark/>
          </w:tcPr>
          <w:p w14:paraId="26C53020" w14:textId="598FB6FE" w:rsidR="005002ED" w:rsidRPr="00E42C35" w:rsidRDefault="005002ED" w:rsidP="005002ED">
            <w:pPr>
              <w:spacing w:after="0" w:line="240" w:lineRule="auto"/>
              <w:rPr>
                <w:rFonts w:ascii="Calibri" w:eastAsia="Times New Roman" w:hAnsi="Calibri" w:cs="Calibri"/>
                <w:color w:val="000000"/>
                <w:kern w:val="0"/>
                <w:lang w:val="en-GB" w:eastAsia="en-GB"/>
                <w14:ligatures w14:val="none"/>
              </w:rPr>
            </w:pPr>
            <w:r w:rsidRPr="00E42C35">
              <w:rPr>
                <w:rFonts w:ascii="Calibri" w:eastAsia="Times New Roman" w:hAnsi="Calibri" w:cs="Calibri"/>
                <w:color w:val="000000"/>
                <w:kern w:val="0"/>
                <w:lang w:val="en-GB" w:eastAsia="en-GB"/>
                <w14:ligatures w14:val="none"/>
              </w:rPr>
              <w:t> </w:t>
            </w:r>
            <w:r w:rsidR="00413DF4" w:rsidRPr="00E42C35">
              <w:rPr>
                <w:rFonts w:ascii="Calibri" w:eastAsia="Times New Roman" w:hAnsi="Calibri" w:cs="Calibri"/>
                <w:color w:val="000000"/>
                <w:kern w:val="0"/>
                <w:lang w:val="en-GB" w:eastAsia="en-GB"/>
                <w14:ligatures w14:val="none"/>
              </w:rPr>
              <w:t>19</w:t>
            </w:r>
          </w:p>
        </w:tc>
      </w:tr>
      <w:tr w:rsidR="005002ED" w:rsidRPr="00E42C35" w14:paraId="2D457F48" w14:textId="77777777" w:rsidTr="00ED25C5">
        <w:trPr>
          <w:trHeight w:val="290"/>
        </w:trPr>
        <w:tc>
          <w:tcPr>
            <w:tcW w:w="846" w:type="dxa"/>
            <w:noWrap/>
            <w:vAlign w:val="bottom"/>
            <w:hideMark/>
          </w:tcPr>
          <w:p w14:paraId="5F464194" w14:textId="77777777" w:rsidR="005002ED" w:rsidRPr="00E42C35" w:rsidRDefault="005002ED" w:rsidP="005002ED">
            <w:pPr>
              <w:spacing w:after="0" w:line="240" w:lineRule="auto"/>
              <w:jc w:val="right"/>
              <w:rPr>
                <w:rFonts w:ascii="Calibri" w:eastAsia="Times New Roman" w:hAnsi="Calibri" w:cs="Calibri"/>
                <w:color w:val="000000"/>
                <w:kern w:val="0"/>
                <w:lang w:val="en-GB" w:eastAsia="en-GB"/>
                <w14:ligatures w14:val="none"/>
              </w:rPr>
            </w:pPr>
            <w:r w:rsidRPr="00E42C35">
              <w:rPr>
                <w:rFonts w:ascii="Calibri" w:eastAsia="Times New Roman" w:hAnsi="Calibri" w:cs="Calibri"/>
                <w:color w:val="000000"/>
                <w:kern w:val="0"/>
                <w:lang w:val="en-GB" w:eastAsia="en-GB"/>
                <w14:ligatures w14:val="none"/>
              </w:rPr>
              <w:t>26</w:t>
            </w:r>
          </w:p>
        </w:tc>
        <w:tc>
          <w:tcPr>
            <w:tcW w:w="13041" w:type="dxa"/>
            <w:vAlign w:val="bottom"/>
            <w:hideMark/>
          </w:tcPr>
          <w:p w14:paraId="254EC713" w14:textId="77777777" w:rsidR="005002ED" w:rsidRPr="00E42C35" w:rsidRDefault="005002ED" w:rsidP="005002ED">
            <w:pPr>
              <w:spacing w:after="0" w:line="240" w:lineRule="auto"/>
              <w:rPr>
                <w:rFonts w:ascii="Calibri" w:eastAsia="Times New Roman" w:hAnsi="Calibri" w:cs="Calibri"/>
                <w:color w:val="000000"/>
                <w:kern w:val="0"/>
                <w:lang w:val="en-GB" w:eastAsia="en-GB"/>
                <w14:ligatures w14:val="none"/>
              </w:rPr>
            </w:pPr>
            <w:r w:rsidRPr="00E42C35">
              <w:rPr>
                <w:rFonts w:ascii="Calibri" w:eastAsia="Times New Roman" w:hAnsi="Calibri" w:cs="Calibri"/>
                <w:color w:val="000000"/>
                <w:kern w:val="0"/>
                <w:lang w:val="en-GB" w:eastAsia="en-GB"/>
                <w14:ligatures w14:val="none"/>
              </w:rPr>
              <w:t>Special provision for payment of tax by certain companies – Form 29B [115JB of ITA, 1961] [Rule 40B of Income Tax Rules, 1962] / Form 66 [206 of ITA 2025] rule [Rule 137 of Draft Income Tax Rules 2026]</w:t>
            </w:r>
          </w:p>
        </w:tc>
        <w:tc>
          <w:tcPr>
            <w:tcW w:w="992" w:type="dxa"/>
            <w:noWrap/>
            <w:vAlign w:val="bottom"/>
            <w:hideMark/>
          </w:tcPr>
          <w:p w14:paraId="5A37E47D" w14:textId="449F02BF" w:rsidR="005002ED" w:rsidRPr="00E42C35" w:rsidRDefault="005002ED" w:rsidP="005002ED">
            <w:pPr>
              <w:spacing w:after="0" w:line="240" w:lineRule="auto"/>
              <w:rPr>
                <w:rFonts w:ascii="Calibri" w:eastAsia="Times New Roman" w:hAnsi="Calibri" w:cs="Calibri"/>
                <w:color w:val="000000"/>
                <w:kern w:val="0"/>
                <w:lang w:val="en-GB" w:eastAsia="en-GB"/>
                <w14:ligatures w14:val="none"/>
              </w:rPr>
            </w:pPr>
            <w:r w:rsidRPr="00E42C35">
              <w:rPr>
                <w:rFonts w:ascii="Calibri" w:eastAsia="Times New Roman" w:hAnsi="Calibri" w:cs="Calibri"/>
                <w:color w:val="000000"/>
                <w:kern w:val="0"/>
                <w:lang w:val="en-GB" w:eastAsia="en-GB"/>
                <w14:ligatures w14:val="none"/>
              </w:rPr>
              <w:t> </w:t>
            </w:r>
            <w:r w:rsidR="00413DF4" w:rsidRPr="00E42C35">
              <w:rPr>
                <w:rFonts w:ascii="Calibri" w:eastAsia="Times New Roman" w:hAnsi="Calibri" w:cs="Calibri"/>
                <w:color w:val="000000"/>
                <w:kern w:val="0"/>
                <w:lang w:val="en-GB" w:eastAsia="en-GB"/>
                <w14:ligatures w14:val="none"/>
              </w:rPr>
              <w:t>20</w:t>
            </w:r>
          </w:p>
        </w:tc>
      </w:tr>
    </w:tbl>
    <w:p w14:paraId="7C453226" w14:textId="77777777" w:rsidR="002266A0" w:rsidRPr="00E42C35" w:rsidRDefault="002266A0" w:rsidP="00836676">
      <w:pPr>
        <w:spacing w:after="120" w:line="276" w:lineRule="auto"/>
        <w:rPr>
          <w:rFonts w:ascii="Calibri" w:hAnsi="Calibri" w:cs="Calibri"/>
        </w:rPr>
      </w:pPr>
    </w:p>
    <w:p w14:paraId="2BD5BDD2" w14:textId="77777777" w:rsidR="002266A0" w:rsidRPr="00E42C35" w:rsidRDefault="002266A0" w:rsidP="00836676">
      <w:pPr>
        <w:spacing w:after="120" w:line="276" w:lineRule="auto"/>
        <w:rPr>
          <w:rFonts w:ascii="Calibri" w:hAnsi="Calibri" w:cs="Calibri"/>
        </w:rPr>
      </w:pPr>
    </w:p>
    <w:p w14:paraId="45003D35" w14:textId="77777777" w:rsidR="002266A0" w:rsidRPr="00E42C35" w:rsidRDefault="002266A0" w:rsidP="00836676">
      <w:pPr>
        <w:spacing w:after="120" w:line="276" w:lineRule="auto"/>
        <w:rPr>
          <w:rFonts w:ascii="Calibri" w:hAnsi="Calibri" w:cs="Calibri"/>
        </w:rPr>
      </w:pPr>
    </w:p>
    <w:p w14:paraId="66DED888" w14:textId="77777777" w:rsidR="002266A0" w:rsidRPr="00E42C35" w:rsidRDefault="002266A0" w:rsidP="00836676">
      <w:pPr>
        <w:spacing w:after="120" w:line="276" w:lineRule="auto"/>
        <w:rPr>
          <w:rFonts w:ascii="Calibri" w:hAnsi="Calibri" w:cs="Calibri"/>
        </w:rPr>
      </w:pPr>
    </w:p>
    <w:p w14:paraId="5C25B256" w14:textId="77777777" w:rsidR="002266A0" w:rsidRPr="00E42C35" w:rsidRDefault="002266A0" w:rsidP="00836676">
      <w:pPr>
        <w:spacing w:after="120" w:line="276" w:lineRule="auto"/>
        <w:rPr>
          <w:rFonts w:ascii="Calibri" w:hAnsi="Calibri" w:cs="Calibri"/>
        </w:rPr>
      </w:pPr>
    </w:p>
    <w:p w14:paraId="4229BA69" w14:textId="77777777" w:rsidR="002266A0" w:rsidRPr="00E42C35" w:rsidRDefault="002266A0" w:rsidP="00836676">
      <w:pPr>
        <w:spacing w:after="120" w:line="276" w:lineRule="auto"/>
        <w:rPr>
          <w:rFonts w:ascii="Calibri" w:hAnsi="Calibri" w:cs="Calibri"/>
        </w:rPr>
      </w:pPr>
    </w:p>
    <w:p w14:paraId="3C48C361" w14:textId="77777777" w:rsidR="002266A0" w:rsidRPr="00E42C35" w:rsidRDefault="002266A0" w:rsidP="00836676">
      <w:pPr>
        <w:spacing w:after="120" w:line="276" w:lineRule="auto"/>
        <w:rPr>
          <w:rFonts w:ascii="Calibri" w:hAnsi="Calibri" w:cs="Calibri"/>
        </w:rPr>
      </w:pPr>
    </w:p>
    <w:p w14:paraId="0EFDC0BE" w14:textId="77777777" w:rsidR="002266A0" w:rsidRPr="00E42C35" w:rsidRDefault="002266A0" w:rsidP="00836676">
      <w:pPr>
        <w:spacing w:after="120" w:line="276" w:lineRule="auto"/>
        <w:rPr>
          <w:rFonts w:ascii="Calibri" w:hAnsi="Calibri" w:cs="Calibri"/>
        </w:rPr>
      </w:pPr>
    </w:p>
    <w:p w14:paraId="7287516F" w14:textId="77777777" w:rsidR="002266A0" w:rsidRPr="00E42C35" w:rsidRDefault="002266A0" w:rsidP="00836676">
      <w:pPr>
        <w:spacing w:after="120" w:line="276" w:lineRule="auto"/>
        <w:rPr>
          <w:rFonts w:ascii="Calibri" w:hAnsi="Calibri" w:cs="Calibri"/>
        </w:rPr>
      </w:pPr>
    </w:p>
    <w:p w14:paraId="1D66DAEF" w14:textId="77777777" w:rsidR="002266A0" w:rsidRPr="00E42C35" w:rsidRDefault="002266A0" w:rsidP="00836676">
      <w:pPr>
        <w:spacing w:after="120" w:line="276" w:lineRule="auto"/>
        <w:rPr>
          <w:rFonts w:ascii="Calibri" w:hAnsi="Calibri" w:cs="Calibri"/>
        </w:rPr>
      </w:pPr>
    </w:p>
    <w:p w14:paraId="5A1798BD" w14:textId="77777777" w:rsidR="002266A0" w:rsidRPr="00E42C35" w:rsidRDefault="002266A0" w:rsidP="00836676">
      <w:pPr>
        <w:spacing w:after="120" w:line="276" w:lineRule="auto"/>
        <w:rPr>
          <w:rFonts w:ascii="Calibri" w:hAnsi="Calibri" w:cs="Calibri"/>
        </w:rPr>
      </w:pPr>
    </w:p>
    <w:p w14:paraId="26B72486" w14:textId="77777777" w:rsidR="002266A0" w:rsidRPr="00E42C35" w:rsidRDefault="002266A0" w:rsidP="00836676">
      <w:pPr>
        <w:spacing w:after="120" w:line="276" w:lineRule="auto"/>
        <w:rPr>
          <w:rFonts w:ascii="Calibri" w:hAnsi="Calibri" w:cs="Calibri"/>
        </w:rPr>
      </w:pPr>
    </w:p>
    <w:tbl>
      <w:tblPr>
        <w:tblStyle w:val="TableGrid"/>
        <w:tblW w:w="14209" w:type="dxa"/>
        <w:tblLook w:val="04A0" w:firstRow="1" w:lastRow="0" w:firstColumn="1" w:lastColumn="0" w:noHBand="0" w:noVBand="1"/>
      </w:tblPr>
      <w:tblGrid>
        <w:gridCol w:w="846"/>
        <w:gridCol w:w="2637"/>
        <w:gridCol w:w="10726"/>
      </w:tblGrid>
      <w:tr w:rsidR="00E90B6D" w:rsidRPr="00E42C35" w14:paraId="3546DC1A" w14:textId="77777777" w:rsidTr="000813D3">
        <w:trPr>
          <w:trHeight w:val="20"/>
          <w:tblHeader/>
        </w:trPr>
        <w:tc>
          <w:tcPr>
            <w:tcW w:w="84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3479B5D" w14:textId="77777777" w:rsidR="00E90B6D" w:rsidRPr="00E42C35" w:rsidRDefault="00E90B6D" w:rsidP="00836676">
            <w:pPr>
              <w:spacing w:after="120" w:line="276" w:lineRule="auto"/>
              <w:rPr>
                <w:rFonts w:ascii="Calibri" w:hAnsi="Calibri" w:cs="Calibri"/>
                <w:lang w:bidi="en-US"/>
              </w:rPr>
            </w:pPr>
            <w:r w:rsidRPr="00E42C35">
              <w:rPr>
                <w:rFonts w:ascii="Calibri" w:hAnsi="Calibri" w:cs="Calibri"/>
                <w:lang w:bidi="en-US"/>
              </w:rPr>
              <w:br w:type="column"/>
            </w:r>
            <w:r w:rsidRPr="00E42C35">
              <w:rPr>
                <w:rFonts w:ascii="Calibri" w:hAnsi="Calibri" w:cs="Calibri"/>
                <w:lang w:bidi="en-US"/>
              </w:rPr>
              <w:br w:type="page"/>
            </w:r>
            <w:r w:rsidRPr="00E42C35">
              <w:rPr>
                <w:rFonts w:ascii="Calibri" w:hAnsi="Calibri" w:cs="Calibri"/>
                <w:b/>
                <w:lang w:bidi="en-US"/>
              </w:rPr>
              <w:t>Sr. no.</w:t>
            </w:r>
          </w:p>
        </w:tc>
        <w:tc>
          <w:tcPr>
            <w:tcW w:w="263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D202EE0" w14:textId="77777777" w:rsidR="00E90B6D" w:rsidRPr="00E42C35" w:rsidRDefault="00E90B6D" w:rsidP="00836676">
            <w:pPr>
              <w:spacing w:after="120" w:line="276" w:lineRule="auto"/>
              <w:rPr>
                <w:rFonts w:ascii="Calibri" w:hAnsi="Calibri" w:cs="Calibri"/>
                <w:b/>
                <w:lang w:bidi="en-US"/>
              </w:rPr>
            </w:pPr>
            <w:r w:rsidRPr="00E42C35">
              <w:rPr>
                <w:rFonts w:ascii="Calibri" w:hAnsi="Calibri" w:cs="Calibri"/>
                <w:b/>
                <w:lang w:bidi="en-US"/>
              </w:rPr>
              <w:t>Subject</w:t>
            </w:r>
          </w:p>
        </w:tc>
        <w:tc>
          <w:tcPr>
            <w:tcW w:w="0" w:type="auto"/>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6B33D63" w14:textId="77777777" w:rsidR="00E90B6D" w:rsidRPr="00E42C35" w:rsidRDefault="00E90B6D" w:rsidP="00836676">
            <w:pPr>
              <w:spacing w:after="120" w:line="276" w:lineRule="auto"/>
              <w:rPr>
                <w:rFonts w:ascii="Calibri" w:hAnsi="Calibri" w:cs="Calibri"/>
                <w:lang w:bidi="en-US"/>
              </w:rPr>
            </w:pPr>
            <w:r w:rsidRPr="00E42C35">
              <w:rPr>
                <w:rFonts w:ascii="Calibri" w:hAnsi="Calibri" w:cs="Calibri"/>
                <w:b/>
                <w:lang w:bidi="en-US"/>
              </w:rPr>
              <w:t>Comments / Recommendations</w:t>
            </w:r>
          </w:p>
        </w:tc>
      </w:tr>
      <w:tr w:rsidR="00E90B6D" w:rsidRPr="00E42C35" w14:paraId="2725E5CA" w14:textId="77777777" w:rsidTr="000813D3">
        <w:trPr>
          <w:trHeight w:val="20"/>
        </w:trPr>
        <w:tc>
          <w:tcPr>
            <w:tcW w:w="846" w:type="dxa"/>
            <w:tcBorders>
              <w:top w:val="single" w:sz="4" w:space="0" w:color="auto"/>
              <w:left w:val="single" w:sz="4" w:space="0" w:color="auto"/>
              <w:bottom w:val="single" w:sz="4" w:space="0" w:color="auto"/>
              <w:right w:val="single" w:sz="4" w:space="0" w:color="auto"/>
            </w:tcBorders>
          </w:tcPr>
          <w:p w14:paraId="24D8309F" w14:textId="77777777" w:rsidR="00E90B6D" w:rsidRPr="00E42C35" w:rsidRDefault="00E90B6D" w:rsidP="00836676">
            <w:pPr>
              <w:numPr>
                <w:ilvl w:val="0"/>
                <w:numId w:val="2"/>
              </w:numPr>
              <w:spacing w:after="120" w:line="276" w:lineRule="auto"/>
              <w:rPr>
                <w:rFonts w:ascii="Calibri" w:hAnsi="Calibri" w:cs="Calibri"/>
                <w:lang w:bidi="en-US"/>
              </w:rPr>
            </w:pPr>
          </w:p>
        </w:tc>
        <w:tc>
          <w:tcPr>
            <w:tcW w:w="2637" w:type="dxa"/>
            <w:tcBorders>
              <w:top w:val="single" w:sz="4" w:space="0" w:color="auto"/>
              <w:left w:val="single" w:sz="4" w:space="0" w:color="auto"/>
              <w:bottom w:val="single" w:sz="4" w:space="0" w:color="auto"/>
              <w:right w:val="single" w:sz="4" w:space="0" w:color="auto"/>
            </w:tcBorders>
          </w:tcPr>
          <w:p w14:paraId="002C810F" w14:textId="4AE50C89" w:rsidR="00AF6F8E" w:rsidRPr="00E42C35" w:rsidRDefault="00AF6F8E" w:rsidP="00836676">
            <w:pPr>
              <w:spacing w:after="120" w:line="276" w:lineRule="auto"/>
              <w:rPr>
                <w:rFonts w:ascii="Calibri" w:hAnsi="Calibri" w:cs="Calibri"/>
                <w:b/>
                <w:lang w:bidi="en-US"/>
              </w:rPr>
            </w:pPr>
            <w:r w:rsidRPr="00E42C35">
              <w:rPr>
                <w:rFonts w:ascii="Calibri" w:hAnsi="Calibri" w:cs="Calibri"/>
                <w:b/>
                <w:lang w:bidi="en-US"/>
              </w:rPr>
              <w:t xml:space="preserve">Rectification of incorrect reference to </w:t>
            </w:r>
            <w:r w:rsidR="00772801" w:rsidRPr="00E42C35">
              <w:rPr>
                <w:rFonts w:ascii="Calibri" w:hAnsi="Calibri" w:cs="Calibri"/>
                <w:b/>
                <w:lang w:bidi="en-US"/>
              </w:rPr>
              <w:t>S</w:t>
            </w:r>
            <w:r w:rsidRPr="00E42C35">
              <w:rPr>
                <w:rFonts w:ascii="Calibri" w:hAnsi="Calibri" w:cs="Calibri"/>
                <w:b/>
                <w:lang w:bidi="en-US"/>
              </w:rPr>
              <w:t>ection no.</w:t>
            </w:r>
          </w:p>
          <w:p w14:paraId="44C3735C" w14:textId="14D9E2C5" w:rsidR="00E90B6D" w:rsidRPr="00E42C35" w:rsidRDefault="008D5FCF" w:rsidP="00836676">
            <w:pPr>
              <w:spacing w:after="120" w:line="276" w:lineRule="auto"/>
              <w:rPr>
                <w:rFonts w:ascii="Calibri" w:hAnsi="Calibri" w:cs="Calibri"/>
                <w:b/>
                <w:lang w:bidi="en-US"/>
              </w:rPr>
            </w:pPr>
            <w:r w:rsidRPr="00E42C35">
              <w:rPr>
                <w:rFonts w:ascii="Calibri" w:hAnsi="Calibri" w:cs="Calibri"/>
                <w:b/>
                <w:lang w:bidi="en-US"/>
              </w:rPr>
              <w:t xml:space="preserve">Rule 11UB </w:t>
            </w:r>
            <w:r w:rsidR="006608C4" w:rsidRPr="00E42C35">
              <w:rPr>
                <w:rFonts w:ascii="Calibri" w:hAnsi="Calibri" w:cs="Calibri"/>
                <w:b/>
                <w:lang w:bidi="en-US"/>
              </w:rPr>
              <w:t xml:space="preserve">of IT Rules 1962 </w:t>
            </w:r>
            <w:r w:rsidRPr="00E42C35">
              <w:rPr>
                <w:rFonts w:ascii="Calibri" w:hAnsi="Calibri" w:cs="Calibri"/>
                <w:b/>
                <w:lang w:bidi="en-US"/>
              </w:rPr>
              <w:t>(referred in S. 9(1)(i)</w:t>
            </w:r>
            <w:r w:rsidR="00E728CB" w:rsidRPr="00E42C35">
              <w:rPr>
                <w:rFonts w:ascii="Calibri" w:hAnsi="Calibri" w:cs="Calibri"/>
                <w:b/>
                <w:lang w:bidi="en-US"/>
              </w:rPr>
              <w:t xml:space="preserve"> of ITA 1961</w:t>
            </w:r>
            <w:r w:rsidRPr="00E42C35">
              <w:rPr>
                <w:rFonts w:ascii="Calibri" w:hAnsi="Calibri" w:cs="Calibri"/>
                <w:b/>
                <w:lang w:bidi="en-US"/>
              </w:rPr>
              <w:t>)</w:t>
            </w:r>
          </w:p>
          <w:p w14:paraId="65C8EB5C" w14:textId="5EA60056" w:rsidR="008D5FCF" w:rsidRPr="00E42C35" w:rsidRDefault="007E0D75" w:rsidP="00836676">
            <w:pPr>
              <w:spacing w:after="120" w:line="276" w:lineRule="auto"/>
              <w:rPr>
                <w:rFonts w:ascii="Calibri" w:hAnsi="Calibri" w:cs="Calibri"/>
                <w:b/>
                <w:lang w:bidi="en-US"/>
              </w:rPr>
            </w:pPr>
            <w:r w:rsidRPr="00E42C35">
              <w:rPr>
                <w:rFonts w:ascii="Calibri" w:hAnsi="Calibri" w:cs="Calibri"/>
                <w:b/>
                <w:lang w:bidi="en-US"/>
              </w:rPr>
              <w:t>Rule 10</w:t>
            </w:r>
            <w:r w:rsidR="006608C4" w:rsidRPr="00E42C35">
              <w:rPr>
                <w:rFonts w:ascii="Calibri" w:hAnsi="Calibri" w:cs="Calibri"/>
                <w:b/>
                <w:lang w:bidi="en-US"/>
              </w:rPr>
              <w:t xml:space="preserve"> of Draft IT Rules 2926</w:t>
            </w:r>
            <w:r w:rsidRPr="00E42C35">
              <w:rPr>
                <w:rFonts w:ascii="Calibri" w:hAnsi="Calibri" w:cs="Calibri"/>
                <w:b/>
                <w:lang w:bidi="en-US"/>
              </w:rPr>
              <w:t xml:space="preserve"> (referred in S. 9(2)</w:t>
            </w:r>
            <w:r w:rsidR="006608C4" w:rsidRPr="00E42C35">
              <w:rPr>
                <w:rFonts w:ascii="Calibri" w:hAnsi="Calibri" w:cs="Calibri"/>
                <w:b/>
                <w:lang w:bidi="en-US"/>
              </w:rPr>
              <w:t xml:space="preserve"> of ITA 2025</w:t>
            </w:r>
            <w:r w:rsidRPr="00E42C35">
              <w:rPr>
                <w:rFonts w:ascii="Calibri" w:hAnsi="Calibri" w:cs="Calibri"/>
                <w:b/>
                <w:lang w:bidi="en-US"/>
              </w:rPr>
              <w:t>)</w:t>
            </w:r>
          </w:p>
        </w:tc>
        <w:tc>
          <w:tcPr>
            <w:tcW w:w="0" w:type="auto"/>
            <w:tcBorders>
              <w:top w:val="single" w:sz="4" w:space="0" w:color="auto"/>
              <w:left w:val="single" w:sz="4" w:space="0" w:color="auto"/>
              <w:bottom w:val="single" w:sz="4" w:space="0" w:color="auto"/>
              <w:right w:val="single" w:sz="4" w:space="0" w:color="auto"/>
            </w:tcBorders>
            <w:hideMark/>
          </w:tcPr>
          <w:p w14:paraId="67FA184A" w14:textId="77777777" w:rsidR="00E90B6D" w:rsidRPr="00E42C35" w:rsidRDefault="00E90B6D" w:rsidP="00836676">
            <w:pPr>
              <w:spacing w:after="120" w:line="276" w:lineRule="auto"/>
              <w:rPr>
                <w:rFonts w:ascii="Calibri" w:hAnsi="Calibri" w:cs="Calibri"/>
                <w:lang w:bidi="en-US"/>
              </w:rPr>
            </w:pPr>
            <w:r w:rsidRPr="00E42C35">
              <w:rPr>
                <w:rFonts w:ascii="Calibri" w:hAnsi="Calibri" w:cs="Calibri"/>
                <w:b/>
                <w:lang w:bidi="en-US"/>
              </w:rPr>
              <w:t>Rationale</w:t>
            </w:r>
            <w:r w:rsidRPr="00E42C35">
              <w:rPr>
                <w:rFonts w:ascii="Calibri" w:hAnsi="Calibri" w:cs="Calibri"/>
                <w:lang w:bidi="en-US"/>
              </w:rPr>
              <w:t>:</w:t>
            </w:r>
          </w:p>
          <w:p w14:paraId="3C5C4C4D" w14:textId="1280CA70" w:rsidR="00E90B6D" w:rsidRPr="00E42C35" w:rsidRDefault="004B6A63" w:rsidP="00836676">
            <w:pPr>
              <w:numPr>
                <w:ilvl w:val="0"/>
                <w:numId w:val="3"/>
              </w:numPr>
              <w:spacing w:after="120" w:line="276" w:lineRule="auto"/>
              <w:rPr>
                <w:rFonts w:ascii="Calibri" w:hAnsi="Calibri" w:cs="Calibri"/>
                <w:lang w:bidi="en-US"/>
              </w:rPr>
            </w:pPr>
            <w:r w:rsidRPr="00E42C35">
              <w:rPr>
                <w:rFonts w:ascii="Calibri" w:hAnsi="Calibri" w:cs="Calibri"/>
                <w:lang w:bidi="en-US"/>
              </w:rPr>
              <w:t xml:space="preserve">The revised Rule 10(i)(iv) of the Draft IT Rules, 2026, contains an error in its cross-reference, as it incorrectly cites Section 9(10)(d)(iii) </w:t>
            </w:r>
            <w:r w:rsidR="00CA4CA2" w:rsidRPr="00E42C35">
              <w:rPr>
                <w:rFonts w:ascii="Calibri" w:hAnsi="Calibri" w:cs="Calibri"/>
                <w:lang w:bidi="en-US"/>
              </w:rPr>
              <w:t xml:space="preserve">of ITA 2025 </w:t>
            </w:r>
            <w:r w:rsidRPr="00E42C35">
              <w:rPr>
                <w:rFonts w:ascii="Calibri" w:hAnsi="Calibri" w:cs="Calibri"/>
                <w:lang w:bidi="en-US"/>
              </w:rPr>
              <w:t>instead of the correct reference, which is Section 9(10)(d)(ii)</w:t>
            </w:r>
            <w:r w:rsidR="00CA4CA2" w:rsidRPr="00E42C35">
              <w:rPr>
                <w:rFonts w:ascii="Calibri" w:hAnsi="Calibri" w:cs="Calibri"/>
                <w:lang w:bidi="en-US"/>
              </w:rPr>
              <w:t xml:space="preserve"> of ITA 2025</w:t>
            </w:r>
            <w:r w:rsidRPr="00E42C35">
              <w:rPr>
                <w:rFonts w:ascii="Calibri" w:hAnsi="Calibri" w:cs="Calibri"/>
                <w:lang w:bidi="en-US"/>
              </w:rPr>
              <w:t>.</w:t>
            </w:r>
          </w:p>
          <w:p w14:paraId="3BE7EEF4" w14:textId="77777777" w:rsidR="00E90B6D" w:rsidRPr="00E42C35" w:rsidRDefault="00E90B6D" w:rsidP="00836676">
            <w:pPr>
              <w:spacing w:after="120" w:line="276" w:lineRule="auto"/>
              <w:rPr>
                <w:rFonts w:ascii="Calibri" w:hAnsi="Calibri" w:cs="Calibri"/>
                <w:lang w:bidi="en-US"/>
              </w:rPr>
            </w:pPr>
            <w:r w:rsidRPr="00E42C35">
              <w:rPr>
                <w:rFonts w:ascii="Calibri" w:hAnsi="Calibri" w:cs="Calibri"/>
                <w:b/>
                <w:lang w:bidi="en-US"/>
              </w:rPr>
              <w:t>Recommendation</w:t>
            </w:r>
            <w:r w:rsidRPr="00E42C35">
              <w:rPr>
                <w:rFonts w:ascii="Calibri" w:hAnsi="Calibri" w:cs="Calibri"/>
                <w:lang w:bidi="en-US"/>
              </w:rPr>
              <w:t>:</w:t>
            </w:r>
          </w:p>
          <w:p w14:paraId="4BC6DD55" w14:textId="283C33F1" w:rsidR="00E90B6D" w:rsidRPr="00E42C35" w:rsidRDefault="005A455F" w:rsidP="00836676">
            <w:pPr>
              <w:numPr>
                <w:ilvl w:val="0"/>
                <w:numId w:val="3"/>
              </w:numPr>
              <w:spacing w:after="120" w:line="276" w:lineRule="auto"/>
              <w:rPr>
                <w:rFonts w:ascii="Calibri" w:hAnsi="Calibri" w:cs="Calibri"/>
                <w:lang w:bidi="en-US"/>
              </w:rPr>
            </w:pPr>
            <w:r w:rsidRPr="00E42C35">
              <w:rPr>
                <w:rFonts w:ascii="Calibri" w:hAnsi="Calibri" w:cs="Calibri"/>
                <w:lang w:bidi="en-US"/>
              </w:rPr>
              <w:t>To ensure internal consistency, i</w:t>
            </w:r>
            <w:r w:rsidR="005834D7" w:rsidRPr="00E42C35">
              <w:rPr>
                <w:rFonts w:ascii="Calibri" w:hAnsi="Calibri" w:cs="Calibri"/>
                <w:lang w:bidi="en-US"/>
              </w:rPr>
              <w:t xml:space="preserve">t is recommended </w:t>
            </w:r>
            <w:r w:rsidR="00E95444" w:rsidRPr="00E42C35">
              <w:rPr>
                <w:rFonts w:ascii="Calibri" w:hAnsi="Calibri" w:cs="Calibri"/>
                <w:lang w:bidi="en-US"/>
              </w:rPr>
              <w:t xml:space="preserve">that the </w:t>
            </w:r>
            <w:r w:rsidR="008B59ED" w:rsidRPr="00E42C35">
              <w:rPr>
                <w:rFonts w:ascii="Calibri" w:hAnsi="Calibri" w:cs="Calibri"/>
                <w:lang w:bidi="en-US"/>
              </w:rPr>
              <w:t xml:space="preserve">incorrect reference made </w:t>
            </w:r>
            <w:r w:rsidR="00E92544" w:rsidRPr="00E42C35">
              <w:rPr>
                <w:rFonts w:ascii="Calibri" w:hAnsi="Calibri" w:cs="Calibri"/>
                <w:lang w:bidi="en-US"/>
              </w:rPr>
              <w:t xml:space="preserve">in </w:t>
            </w:r>
            <w:r w:rsidR="002C771F" w:rsidRPr="00E42C35">
              <w:rPr>
                <w:rFonts w:ascii="Calibri" w:hAnsi="Calibri" w:cs="Calibri"/>
                <w:lang w:bidi="en-US"/>
              </w:rPr>
              <w:t xml:space="preserve">Rule 10(1)(iv) </w:t>
            </w:r>
            <w:r w:rsidR="004E0986" w:rsidRPr="00E42C35">
              <w:rPr>
                <w:rFonts w:ascii="Calibri" w:hAnsi="Calibri" w:cs="Calibri"/>
                <w:lang w:bidi="en-US"/>
              </w:rPr>
              <w:t>be rectified by substituting the revised</w:t>
            </w:r>
            <w:r w:rsidR="008B59ED" w:rsidRPr="00E42C35">
              <w:rPr>
                <w:rFonts w:ascii="Calibri" w:hAnsi="Calibri" w:cs="Calibri"/>
                <w:lang w:bidi="en-US"/>
              </w:rPr>
              <w:t xml:space="preserve"> </w:t>
            </w:r>
            <w:r w:rsidR="00E92544" w:rsidRPr="00E42C35">
              <w:rPr>
                <w:rFonts w:ascii="Calibri" w:hAnsi="Calibri" w:cs="Calibri"/>
                <w:lang w:bidi="en-US"/>
              </w:rPr>
              <w:t>“</w:t>
            </w:r>
            <w:r w:rsidR="008B59ED" w:rsidRPr="00E42C35">
              <w:rPr>
                <w:rFonts w:ascii="Calibri" w:hAnsi="Calibri" w:cs="Calibri"/>
                <w:lang w:bidi="en-US"/>
              </w:rPr>
              <w:t xml:space="preserve">S. 9(10)(d)(iii)” </w:t>
            </w:r>
            <w:r w:rsidR="004E0986" w:rsidRPr="00E42C35">
              <w:rPr>
                <w:rFonts w:ascii="Calibri" w:hAnsi="Calibri" w:cs="Calibri"/>
                <w:lang w:bidi="en-US"/>
              </w:rPr>
              <w:t>with the</w:t>
            </w:r>
            <w:r w:rsidR="008B59ED" w:rsidRPr="00E42C35">
              <w:rPr>
                <w:rFonts w:ascii="Calibri" w:hAnsi="Calibri" w:cs="Calibri"/>
                <w:lang w:bidi="en-US"/>
              </w:rPr>
              <w:t xml:space="preserve"> revised </w:t>
            </w:r>
            <w:r w:rsidR="00E92544" w:rsidRPr="00E42C35">
              <w:rPr>
                <w:rFonts w:ascii="Calibri" w:hAnsi="Calibri" w:cs="Calibri"/>
                <w:lang w:bidi="en-US"/>
              </w:rPr>
              <w:t>“</w:t>
            </w:r>
            <w:r w:rsidR="008B59ED" w:rsidRPr="00E42C35">
              <w:rPr>
                <w:rFonts w:ascii="Calibri" w:hAnsi="Calibri" w:cs="Calibri"/>
                <w:lang w:bidi="en-US"/>
              </w:rPr>
              <w:t>S. 9(10)(d)(ii)”</w:t>
            </w:r>
          </w:p>
        </w:tc>
      </w:tr>
      <w:tr w:rsidR="00711664" w:rsidRPr="00E42C35" w14:paraId="4663B183" w14:textId="77777777" w:rsidTr="000813D3">
        <w:trPr>
          <w:trHeight w:val="20"/>
        </w:trPr>
        <w:tc>
          <w:tcPr>
            <w:tcW w:w="846" w:type="dxa"/>
            <w:tcBorders>
              <w:top w:val="single" w:sz="4" w:space="0" w:color="auto"/>
              <w:left w:val="single" w:sz="4" w:space="0" w:color="auto"/>
              <w:bottom w:val="single" w:sz="4" w:space="0" w:color="auto"/>
              <w:right w:val="single" w:sz="4" w:space="0" w:color="auto"/>
            </w:tcBorders>
          </w:tcPr>
          <w:p w14:paraId="399E1E4F" w14:textId="77777777" w:rsidR="00711664" w:rsidRPr="00E42C35" w:rsidRDefault="00711664" w:rsidP="00836676">
            <w:pPr>
              <w:numPr>
                <w:ilvl w:val="0"/>
                <w:numId w:val="2"/>
              </w:numPr>
              <w:spacing w:after="120" w:line="276" w:lineRule="auto"/>
              <w:rPr>
                <w:rFonts w:ascii="Calibri" w:hAnsi="Calibri" w:cs="Calibri"/>
                <w:lang w:bidi="en-US"/>
              </w:rPr>
            </w:pPr>
          </w:p>
        </w:tc>
        <w:tc>
          <w:tcPr>
            <w:tcW w:w="2637" w:type="dxa"/>
            <w:tcBorders>
              <w:top w:val="single" w:sz="4" w:space="0" w:color="auto"/>
              <w:left w:val="single" w:sz="4" w:space="0" w:color="auto"/>
              <w:bottom w:val="single" w:sz="4" w:space="0" w:color="auto"/>
              <w:right w:val="single" w:sz="4" w:space="0" w:color="auto"/>
            </w:tcBorders>
          </w:tcPr>
          <w:p w14:paraId="3F48B58B" w14:textId="1F2F00EC" w:rsidR="00AF6F8E" w:rsidRPr="00E42C35" w:rsidRDefault="00AF6F8E" w:rsidP="00836676">
            <w:pPr>
              <w:spacing w:after="120" w:line="276" w:lineRule="auto"/>
              <w:rPr>
                <w:rFonts w:ascii="Calibri" w:hAnsi="Calibri" w:cs="Calibri"/>
                <w:b/>
                <w:lang w:bidi="en-US"/>
              </w:rPr>
            </w:pPr>
            <w:r w:rsidRPr="00E42C35">
              <w:rPr>
                <w:rFonts w:ascii="Calibri" w:hAnsi="Calibri" w:cs="Calibri"/>
                <w:b/>
                <w:lang w:bidi="en-US"/>
              </w:rPr>
              <w:t xml:space="preserve">Rectification of incorrect reference to </w:t>
            </w:r>
            <w:r w:rsidR="00376977" w:rsidRPr="00E42C35">
              <w:rPr>
                <w:rFonts w:ascii="Calibri" w:hAnsi="Calibri" w:cs="Calibri"/>
                <w:b/>
                <w:lang w:bidi="en-US"/>
              </w:rPr>
              <w:t>Rule</w:t>
            </w:r>
            <w:r w:rsidRPr="00E42C35">
              <w:rPr>
                <w:rFonts w:ascii="Calibri" w:hAnsi="Calibri" w:cs="Calibri"/>
                <w:b/>
                <w:lang w:bidi="en-US"/>
              </w:rPr>
              <w:t xml:space="preserve"> no.</w:t>
            </w:r>
          </w:p>
          <w:p w14:paraId="3A13C95B" w14:textId="77777777" w:rsidR="00711664" w:rsidRPr="00E42C35" w:rsidRDefault="0048335F" w:rsidP="00836676">
            <w:pPr>
              <w:spacing w:after="120" w:line="276" w:lineRule="auto"/>
              <w:rPr>
                <w:rFonts w:ascii="Calibri" w:hAnsi="Calibri" w:cs="Calibri"/>
                <w:b/>
                <w:lang w:bidi="en-US"/>
              </w:rPr>
            </w:pPr>
            <w:r w:rsidRPr="00E42C35">
              <w:rPr>
                <w:rFonts w:ascii="Calibri" w:hAnsi="Calibri" w:cs="Calibri"/>
                <w:b/>
                <w:lang w:bidi="en-US"/>
              </w:rPr>
              <w:t>Rule 11UB (referred in S. 9(1)(i))</w:t>
            </w:r>
          </w:p>
          <w:p w14:paraId="01FD9917" w14:textId="110FFAAE" w:rsidR="0048335F" w:rsidRPr="00E42C35" w:rsidRDefault="00516237" w:rsidP="00836676">
            <w:pPr>
              <w:spacing w:after="120" w:line="276" w:lineRule="auto"/>
              <w:rPr>
                <w:rFonts w:ascii="Calibri" w:hAnsi="Calibri" w:cs="Calibri"/>
                <w:b/>
                <w:lang w:bidi="en-US"/>
              </w:rPr>
            </w:pPr>
            <w:r w:rsidRPr="00E42C35">
              <w:rPr>
                <w:rFonts w:ascii="Calibri" w:hAnsi="Calibri" w:cs="Calibri"/>
                <w:b/>
                <w:lang w:bidi="en-US"/>
              </w:rPr>
              <w:t>Rule 1</w:t>
            </w:r>
            <w:r w:rsidR="00E728CB" w:rsidRPr="00E42C35">
              <w:rPr>
                <w:rFonts w:ascii="Calibri" w:hAnsi="Calibri" w:cs="Calibri"/>
                <w:b/>
                <w:lang w:bidi="en-US"/>
              </w:rPr>
              <w:t>1</w:t>
            </w:r>
            <w:r w:rsidRPr="00E42C35">
              <w:rPr>
                <w:rFonts w:ascii="Calibri" w:hAnsi="Calibri" w:cs="Calibri"/>
                <w:b/>
                <w:lang w:bidi="en-US"/>
              </w:rPr>
              <w:t xml:space="preserve"> (referred in S. 9(2))</w:t>
            </w:r>
          </w:p>
        </w:tc>
        <w:tc>
          <w:tcPr>
            <w:tcW w:w="0" w:type="auto"/>
            <w:tcBorders>
              <w:top w:val="single" w:sz="4" w:space="0" w:color="auto"/>
              <w:left w:val="single" w:sz="4" w:space="0" w:color="auto"/>
              <w:bottom w:val="single" w:sz="4" w:space="0" w:color="auto"/>
              <w:right w:val="single" w:sz="4" w:space="0" w:color="auto"/>
            </w:tcBorders>
          </w:tcPr>
          <w:p w14:paraId="35B4D91F" w14:textId="77777777" w:rsidR="00A226F9" w:rsidRPr="00E42C35" w:rsidRDefault="00A226F9" w:rsidP="00836676">
            <w:pPr>
              <w:spacing w:after="120" w:line="276" w:lineRule="auto"/>
              <w:rPr>
                <w:rFonts w:ascii="Calibri" w:hAnsi="Calibri" w:cs="Calibri"/>
                <w:lang w:bidi="en-US"/>
              </w:rPr>
            </w:pPr>
            <w:r w:rsidRPr="00E42C35">
              <w:rPr>
                <w:rFonts w:ascii="Calibri" w:hAnsi="Calibri" w:cs="Calibri"/>
                <w:b/>
                <w:lang w:bidi="en-US"/>
              </w:rPr>
              <w:t>Rationale</w:t>
            </w:r>
            <w:r w:rsidRPr="00E42C35">
              <w:rPr>
                <w:rFonts w:ascii="Calibri" w:hAnsi="Calibri" w:cs="Calibri"/>
                <w:lang w:bidi="en-US"/>
              </w:rPr>
              <w:t>:</w:t>
            </w:r>
          </w:p>
          <w:p w14:paraId="40D3551E" w14:textId="77777777" w:rsidR="00D8486A" w:rsidRPr="00E42C35" w:rsidRDefault="00D8486A" w:rsidP="00836676">
            <w:pPr>
              <w:pStyle w:val="ListParagraph"/>
              <w:numPr>
                <w:ilvl w:val="0"/>
                <w:numId w:val="3"/>
              </w:numPr>
              <w:spacing w:after="120" w:line="276" w:lineRule="auto"/>
              <w:contextualSpacing w:val="0"/>
              <w:rPr>
                <w:rFonts w:ascii="Calibri" w:hAnsi="Calibri" w:cs="Calibri"/>
                <w:lang w:bidi="en-US"/>
              </w:rPr>
            </w:pPr>
            <w:r w:rsidRPr="00E42C35">
              <w:rPr>
                <w:rFonts w:ascii="Calibri" w:hAnsi="Calibri" w:cs="Calibri"/>
                <w:lang w:bidi="en-US"/>
              </w:rPr>
              <w:t>The revised Rule 11(7) of the Draft IT Rules, 2026, contains an error in its cross reference, as it incorrectly cites revised Rule 11 and revised Rule 234, instead of the correct references, which are revised Rule 12 and revised Rule 235.</w:t>
            </w:r>
          </w:p>
          <w:p w14:paraId="1FC3F7C2" w14:textId="5A2DE04B" w:rsidR="00A226F9" w:rsidRPr="00E42C35" w:rsidRDefault="00A226F9" w:rsidP="00836676">
            <w:pPr>
              <w:spacing w:after="120" w:line="276" w:lineRule="auto"/>
              <w:rPr>
                <w:rFonts w:ascii="Calibri" w:hAnsi="Calibri" w:cs="Calibri"/>
                <w:lang w:bidi="en-US"/>
              </w:rPr>
            </w:pPr>
            <w:r w:rsidRPr="00E42C35">
              <w:rPr>
                <w:rFonts w:ascii="Calibri" w:hAnsi="Calibri" w:cs="Calibri"/>
                <w:b/>
                <w:lang w:bidi="en-US"/>
              </w:rPr>
              <w:t>Recommendation</w:t>
            </w:r>
            <w:r w:rsidRPr="00E42C35">
              <w:rPr>
                <w:rFonts w:ascii="Calibri" w:hAnsi="Calibri" w:cs="Calibri"/>
                <w:lang w:bidi="en-US"/>
              </w:rPr>
              <w:t>:</w:t>
            </w:r>
          </w:p>
          <w:p w14:paraId="78E6B968" w14:textId="27EFC87B" w:rsidR="00711664" w:rsidRPr="00E42C35" w:rsidRDefault="00A226F9" w:rsidP="00836676">
            <w:pPr>
              <w:pStyle w:val="ListParagraph"/>
              <w:numPr>
                <w:ilvl w:val="0"/>
                <w:numId w:val="5"/>
              </w:numPr>
              <w:spacing w:after="120" w:line="276" w:lineRule="auto"/>
              <w:contextualSpacing w:val="0"/>
              <w:rPr>
                <w:rFonts w:ascii="Calibri" w:hAnsi="Calibri" w:cs="Calibri"/>
                <w:b/>
                <w:lang w:bidi="en-US"/>
              </w:rPr>
            </w:pPr>
            <w:r w:rsidRPr="00E42C35">
              <w:rPr>
                <w:rFonts w:ascii="Calibri" w:hAnsi="Calibri" w:cs="Calibri"/>
                <w:lang w:bidi="en-US"/>
              </w:rPr>
              <w:t xml:space="preserve">To ensure internal consistency, </w:t>
            </w:r>
            <w:r w:rsidR="00276394" w:rsidRPr="00E42C35">
              <w:rPr>
                <w:rFonts w:ascii="Calibri" w:hAnsi="Calibri" w:cs="Calibri"/>
                <w:lang w:bidi="en-US"/>
              </w:rPr>
              <w:t>it is recommended that the incorrect reference made in</w:t>
            </w:r>
            <w:r w:rsidR="00444405" w:rsidRPr="00E42C35">
              <w:rPr>
                <w:rFonts w:ascii="Calibri" w:hAnsi="Calibri" w:cs="Calibri"/>
                <w:lang w:bidi="en-US"/>
              </w:rPr>
              <w:t xml:space="preserve"> </w:t>
            </w:r>
            <w:r w:rsidR="00F93E79" w:rsidRPr="00E42C35">
              <w:rPr>
                <w:rFonts w:ascii="Calibri" w:hAnsi="Calibri" w:cs="Calibri"/>
                <w:lang w:bidi="en-US"/>
              </w:rPr>
              <w:t>Rule 11(7)</w:t>
            </w:r>
            <w:r w:rsidRPr="00E42C35">
              <w:rPr>
                <w:rFonts w:ascii="Calibri" w:hAnsi="Calibri" w:cs="Calibri"/>
                <w:lang w:bidi="en-US"/>
              </w:rPr>
              <w:t xml:space="preserve"> </w:t>
            </w:r>
            <w:r w:rsidR="00276394" w:rsidRPr="00E42C35">
              <w:rPr>
                <w:rFonts w:ascii="Calibri" w:hAnsi="Calibri" w:cs="Calibri"/>
                <w:lang w:bidi="en-US"/>
              </w:rPr>
              <w:t>be rectified by substituting revised</w:t>
            </w:r>
            <w:r w:rsidR="00772801" w:rsidRPr="00E42C35">
              <w:rPr>
                <w:rFonts w:ascii="Calibri" w:hAnsi="Calibri" w:cs="Calibri"/>
                <w:lang w:bidi="en-US"/>
              </w:rPr>
              <w:t xml:space="preserve"> R. 11 and revised R. 234 </w:t>
            </w:r>
            <w:r w:rsidR="007260F6" w:rsidRPr="00E42C35">
              <w:rPr>
                <w:rFonts w:ascii="Calibri" w:hAnsi="Calibri" w:cs="Calibri"/>
                <w:lang w:bidi="en-US"/>
              </w:rPr>
              <w:t>with</w:t>
            </w:r>
            <w:r w:rsidR="00772801" w:rsidRPr="00E42C35">
              <w:rPr>
                <w:rFonts w:ascii="Calibri" w:hAnsi="Calibri" w:cs="Calibri"/>
                <w:lang w:bidi="en-US"/>
              </w:rPr>
              <w:t xml:space="preserve"> revised R. 12 and revised R. 235, respectively.</w:t>
            </w:r>
          </w:p>
        </w:tc>
      </w:tr>
      <w:tr w:rsidR="00C32714" w:rsidRPr="00E42C35" w14:paraId="0E940417" w14:textId="77777777" w:rsidTr="000813D3">
        <w:trPr>
          <w:trHeight w:val="20"/>
        </w:trPr>
        <w:tc>
          <w:tcPr>
            <w:tcW w:w="846" w:type="dxa"/>
            <w:tcBorders>
              <w:top w:val="single" w:sz="4" w:space="0" w:color="auto"/>
              <w:left w:val="single" w:sz="4" w:space="0" w:color="auto"/>
              <w:bottom w:val="single" w:sz="4" w:space="0" w:color="auto"/>
              <w:right w:val="single" w:sz="4" w:space="0" w:color="auto"/>
            </w:tcBorders>
          </w:tcPr>
          <w:p w14:paraId="330C22A5" w14:textId="77777777" w:rsidR="00C32714" w:rsidRPr="00E42C35" w:rsidRDefault="00C32714" w:rsidP="00836676">
            <w:pPr>
              <w:numPr>
                <w:ilvl w:val="0"/>
                <w:numId w:val="2"/>
              </w:numPr>
              <w:spacing w:after="120" w:line="276" w:lineRule="auto"/>
              <w:rPr>
                <w:rFonts w:ascii="Calibri" w:hAnsi="Calibri" w:cs="Calibri"/>
                <w:lang w:bidi="en-US"/>
              </w:rPr>
            </w:pPr>
          </w:p>
        </w:tc>
        <w:tc>
          <w:tcPr>
            <w:tcW w:w="2637" w:type="dxa"/>
            <w:tcBorders>
              <w:top w:val="single" w:sz="4" w:space="0" w:color="auto"/>
              <w:left w:val="single" w:sz="4" w:space="0" w:color="auto"/>
              <w:bottom w:val="single" w:sz="4" w:space="0" w:color="auto"/>
              <w:right w:val="single" w:sz="4" w:space="0" w:color="auto"/>
            </w:tcBorders>
          </w:tcPr>
          <w:p w14:paraId="36A3447E" w14:textId="671AED80" w:rsidR="00C32714" w:rsidRPr="00E42C35" w:rsidRDefault="00C32714" w:rsidP="00836676">
            <w:pPr>
              <w:spacing w:after="120" w:line="276" w:lineRule="auto"/>
              <w:rPr>
                <w:rFonts w:ascii="Calibri" w:hAnsi="Calibri" w:cs="Calibri"/>
                <w:b/>
                <w:lang w:bidi="en-US"/>
              </w:rPr>
            </w:pPr>
            <w:r w:rsidRPr="00E42C35">
              <w:rPr>
                <w:rFonts w:ascii="Calibri" w:hAnsi="Calibri" w:cs="Calibri"/>
                <w:b/>
                <w:lang w:bidi="en-US"/>
              </w:rPr>
              <w:t xml:space="preserve">Rectification of incorrect reference to </w:t>
            </w:r>
            <w:r w:rsidR="00A33C2B" w:rsidRPr="00E42C35">
              <w:rPr>
                <w:rFonts w:ascii="Calibri" w:hAnsi="Calibri" w:cs="Calibri"/>
                <w:b/>
                <w:lang w:bidi="en-US"/>
              </w:rPr>
              <w:t>section</w:t>
            </w:r>
            <w:r w:rsidRPr="00E42C35">
              <w:rPr>
                <w:rFonts w:ascii="Calibri" w:hAnsi="Calibri" w:cs="Calibri"/>
                <w:b/>
                <w:lang w:bidi="en-US"/>
              </w:rPr>
              <w:t xml:space="preserve"> no</w:t>
            </w:r>
            <w:r w:rsidR="00A33C2B" w:rsidRPr="00E42C35">
              <w:rPr>
                <w:rFonts w:ascii="Calibri" w:hAnsi="Calibri" w:cs="Calibri"/>
                <w:b/>
                <w:lang w:bidi="en-US"/>
              </w:rPr>
              <w:t>.</w:t>
            </w:r>
          </w:p>
          <w:p w14:paraId="37EF26E3" w14:textId="77777777" w:rsidR="00C32714" w:rsidRPr="00E42C35" w:rsidRDefault="00C32714" w:rsidP="00836676">
            <w:pPr>
              <w:spacing w:after="120" w:line="276" w:lineRule="auto"/>
              <w:rPr>
                <w:rFonts w:ascii="Calibri" w:hAnsi="Calibri" w:cs="Calibri"/>
                <w:b/>
                <w:lang w:bidi="en-US"/>
              </w:rPr>
            </w:pPr>
          </w:p>
          <w:p w14:paraId="783F9D95" w14:textId="3D2BB8EA" w:rsidR="00C32714" w:rsidRPr="00E42C35" w:rsidRDefault="00C32714" w:rsidP="00836676">
            <w:pPr>
              <w:spacing w:after="120" w:line="276" w:lineRule="auto"/>
              <w:rPr>
                <w:rFonts w:ascii="Calibri" w:hAnsi="Calibri" w:cs="Calibri"/>
                <w:b/>
                <w:lang w:bidi="en-US"/>
              </w:rPr>
            </w:pPr>
            <w:r w:rsidRPr="00E42C35">
              <w:rPr>
                <w:rFonts w:ascii="Calibri" w:hAnsi="Calibri" w:cs="Calibri"/>
                <w:b/>
                <w:lang w:bidi="en-US"/>
              </w:rPr>
              <w:lastRenderedPageBreak/>
              <w:t>Rule 11UC of IT Rukes 1962 (referred in S.9(1)(i) of ITA 1961)</w:t>
            </w:r>
          </w:p>
          <w:p w14:paraId="7399E8E8" w14:textId="025CA936" w:rsidR="00C32714" w:rsidRPr="00E42C35" w:rsidRDefault="00C32714" w:rsidP="00836676">
            <w:pPr>
              <w:spacing w:after="120" w:line="276" w:lineRule="auto"/>
              <w:rPr>
                <w:rFonts w:ascii="Calibri" w:hAnsi="Calibri" w:cs="Calibri"/>
                <w:b/>
                <w:lang w:bidi="en-US"/>
              </w:rPr>
            </w:pPr>
            <w:r w:rsidRPr="00E42C35">
              <w:rPr>
                <w:rFonts w:ascii="Calibri" w:hAnsi="Calibri" w:cs="Calibri"/>
                <w:b/>
                <w:lang w:bidi="en-US"/>
              </w:rPr>
              <w:t>Rule 12 of Draft IT Rule 2026 (referred in S.9 of ITA 2025)</w:t>
            </w:r>
          </w:p>
        </w:tc>
        <w:tc>
          <w:tcPr>
            <w:tcW w:w="0" w:type="auto"/>
            <w:tcBorders>
              <w:top w:val="single" w:sz="4" w:space="0" w:color="auto"/>
              <w:left w:val="single" w:sz="4" w:space="0" w:color="auto"/>
              <w:bottom w:val="single" w:sz="4" w:space="0" w:color="auto"/>
              <w:right w:val="single" w:sz="4" w:space="0" w:color="auto"/>
            </w:tcBorders>
          </w:tcPr>
          <w:p w14:paraId="43C546CC" w14:textId="77777777" w:rsidR="00C32714" w:rsidRPr="00E42C35" w:rsidRDefault="00C32714" w:rsidP="00836676">
            <w:pPr>
              <w:spacing w:after="120" w:line="276" w:lineRule="auto"/>
              <w:rPr>
                <w:rFonts w:ascii="Calibri" w:hAnsi="Calibri" w:cs="Calibri"/>
                <w:lang w:bidi="en-US"/>
              </w:rPr>
            </w:pPr>
            <w:r w:rsidRPr="00E42C35">
              <w:rPr>
                <w:rFonts w:ascii="Calibri" w:hAnsi="Calibri" w:cs="Calibri"/>
                <w:b/>
                <w:lang w:bidi="en-US"/>
              </w:rPr>
              <w:lastRenderedPageBreak/>
              <w:t>Rationale</w:t>
            </w:r>
            <w:r w:rsidRPr="00E42C35">
              <w:rPr>
                <w:rFonts w:ascii="Calibri" w:hAnsi="Calibri" w:cs="Calibri"/>
                <w:lang w:bidi="en-US"/>
              </w:rPr>
              <w:t>:</w:t>
            </w:r>
          </w:p>
          <w:p w14:paraId="0276396A" w14:textId="2520471C" w:rsidR="00C32714" w:rsidRPr="00E42C35" w:rsidRDefault="00E55B09" w:rsidP="00836676">
            <w:pPr>
              <w:pStyle w:val="ListParagraph"/>
              <w:numPr>
                <w:ilvl w:val="0"/>
                <w:numId w:val="3"/>
              </w:numPr>
              <w:spacing w:after="120" w:line="276" w:lineRule="auto"/>
              <w:contextualSpacing w:val="0"/>
              <w:rPr>
                <w:rFonts w:ascii="Calibri" w:hAnsi="Calibri" w:cs="Calibri"/>
                <w:b/>
                <w:lang w:bidi="en-US"/>
              </w:rPr>
            </w:pPr>
            <w:r w:rsidRPr="00E42C35">
              <w:rPr>
                <w:rFonts w:ascii="Calibri" w:hAnsi="Calibri" w:cs="Calibri"/>
                <w:lang w:bidi="en-US"/>
              </w:rPr>
              <w:t>The revised Rule 12(1) of the Draft IT Rules, 2026, contains an error in its cross reference, as it incorrectly cites revised Section 9(2), instead of the correct reference which is revised Section 9(10)(a).</w:t>
            </w:r>
          </w:p>
          <w:p w14:paraId="0C855BC6" w14:textId="77777777" w:rsidR="00C32714" w:rsidRPr="00E42C35" w:rsidRDefault="00C32714" w:rsidP="00836676">
            <w:pPr>
              <w:spacing w:after="120" w:line="276" w:lineRule="auto"/>
              <w:rPr>
                <w:rFonts w:ascii="Calibri" w:hAnsi="Calibri" w:cs="Calibri"/>
                <w:lang w:bidi="en-US"/>
              </w:rPr>
            </w:pPr>
            <w:r w:rsidRPr="00E42C35">
              <w:rPr>
                <w:rFonts w:ascii="Calibri" w:hAnsi="Calibri" w:cs="Calibri"/>
                <w:b/>
                <w:lang w:bidi="en-US"/>
              </w:rPr>
              <w:t>Recommendation</w:t>
            </w:r>
            <w:r w:rsidRPr="00E42C35">
              <w:rPr>
                <w:rFonts w:ascii="Calibri" w:hAnsi="Calibri" w:cs="Calibri"/>
                <w:lang w:bidi="en-US"/>
              </w:rPr>
              <w:t>:</w:t>
            </w:r>
          </w:p>
          <w:p w14:paraId="72890BBB" w14:textId="55604B59" w:rsidR="00C32714" w:rsidRPr="00E42C35" w:rsidRDefault="008973BC" w:rsidP="00836676">
            <w:pPr>
              <w:pStyle w:val="ListParagraph"/>
              <w:numPr>
                <w:ilvl w:val="0"/>
                <w:numId w:val="5"/>
              </w:numPr>
              <w:spacing w:after="120" w:line="276" w:lineRule="auto"/>
              <w:contextualSpacing w:val="0"/>
              <w:rPr>
                <w:rFonts w:ascii="Calibri" w:hAnsi="Calibri" w:cs="Calibri"/>
                <w:b/>
                <w:lang w:bidi="en-US"/>
              </w:rPr>
            </w:pPr>
            <w:r w:rsidRPr="00E42C35">
              <w:rPr>
                <w:rFonts w:ascii="Calibri" w:hAnsi="Calibri" w:cs="Calibri"/>
                <w:lang w:bidi="en-US"/>
              </w:rPr>
              <w:lastRenderedPageBreak/>
              <w:t xml:space="preserve">To ensure internal consistency, it is recommended </w:t>
            </w:r>
            <w:r w:rsidR="007260F6" w:rsidRPr="00E42C35">
              <w:rPr>
                <w:rFonts w:ascii="Calibri" w:hAnsi="Calibri" w:cs="Calibri"/>
                <w:lang w:bidi="en-US"/>
              </w:rPr>
              <w:t>that the incorrect reference made in</w:t>
            </w:r>
            <w:r w:rsidRPr="00E42C35">
              <w:rPr>
                <w:rFonts w:ascii="Calibri" w:hAnsi="Calibri" w:cs="Calibri"/>
                <w:lang w:bidi="en-US"/>
              </w:rPr>
              <w:t xml:space="preserve"> Rule </w:t>
            </w:r>
            <w:r w:rsidR="00F60C12" w:rsidRPr="00E42C35">
              <w:rPr>
                <w:rFonts w:ascii="Calibri" w:hAnsi="Calibri" w:cs="Calibri"/>
                <w:lang w:bidi="en-US"/>
              </w:rPr>
              <w:t>12</w:t>
            </w:r>
            <w:r w:rsidRPr="00E42C35">
              <w:rPr>
                <w:rFonts w:ascii="Calibri" w:hAnsi="Calibri" w:cs="Calibri"/>
                <w:lang w:bidi="en-US"/>
              </w:rPr>
              <w:t xml:space="preserve"> </w:t>
            </w:r>
            <w:r w:rsidR="007260F6" w:rsidRPr="00E42C35">
              <w:rPr>
                <w:rFonts w:ascii="Calibri" w:hAnsi="Calibri" w:cs="Calibri"/>
                <w:lang w:bidi="en-US"/>
              </w:rPr>
              <w:t xml:space="preserve">be rectified by substituting </w:t>
            </w:r>
            <w:r w:rsidRPr="00E42C35">
              <w:rPr>
                <w:rFonts w:ascii="Calibri" w:hAnsi="Calibri" w:cs="Calibri"/>
                <w:lang w:bidi="en-US"/>
              </w:rPr>
              <w:t>revised “S. 9(</w:t>
            </w:r>
            <w:r w:rsidR="00E33BAF" w:rsidRPr="00E42C35">
              <w:rPr>
                <w:rFonts w:ascii="Calibri" w:hAnsi="Calibri" w:cs="Calibri"/>
                <w:lang w:bidi="en-US"/>
              </w:rPr>
              <w:t>2)</w:t>
            </w:r>
            <w:r w:rsidRPr="00E42C35">
              <w:rPr>
                <w:rFonts w:ascii="Calibri" w:hAnsi="Calibri" w:cs="Calibri"/>
                <w:lang w:bidi="en-US"/>
              </w:rPr>
              <w:t xml:space="preserve">” </w:t>
            </w:r>
            <w:r w:rsidR="007260F6" w:rsidRPr="00E42C35">
              <w:rPr>
                <w:rFonts w:ascii="Calibri" w:hAnsi="Calibri" w:cs="Calibri"/>
                <w:lang w:bidi="en-US"/>
              </w:rPr>
              <w:t>with</w:t>
            </w:r>
            <w:r w:rsidRPr="00E42C35">
              <w:rPr>
                <w:rFonts w:ascii="Calibri" w:hAnsi="Calibri" w:cs="Calibri"/>
                <w:lang w:bidi="en-US"/>
              </w:rPr>
              <w:t xml:space="preserve"> revised “S. 9(10)(</w:t>
            </w:r>
            <w:r w:rsidR="00791396" w:rsidRPr="00E42C35">
              <w:rPr>
                <w:rFonts w:ascii="Calibri" w:hAnsi="Calibri" w:cs="Calibri"/>
                <w:lang w:bidi="en-US"/>
              </w:rPr>
              <w:t>a</w:t>
            </w:r>
            <w:r w:rsidRPr="00E42C35">
              <w:rPr>
                <w:rFonts w:ascii="Calibri" w:hAnsi="Calibri" w:cs="Calibri"/>
                <w:lang w:bidi="en-US"/>
              </w:rPr>
              <w:t>)”</w:t>
            </w:r>
          </w:p>
        </w:tc>
      </w:tr>
      <w:tr w:rsidR="00C32714" w:rsidRPr="00E42C35" w14:paraId="0951EA5A" w14:textId="77777777" w:rsidTr="000813D3">
        <w:trPr>
          <w:trHeight w:val="20"/>
        </w:trPr>
        <w:tc>
          <w:tcPr>
            <w:tcW w:w="846" w:type="dxa"/>
            <w:tcBorders>
              <w:top w:val="single" w:sz="4" w:space="0" w:color="auto"/>
              <w:left w:val="single" w:sz="4" w:space="0" w:color="auto"/>
              <w:bottom w:val="single" w:sz="4" w:space="0" w:color="auto"/>
              <w:right w:val="single" w:sz="4" w:space="0" w:color="auto"/>
            </w:tcBorders>
          </w:tcPr>
          <w:p w14:paraId="67D52C23" w14:textId="77777777" w:rsidR="00C32714" w:rsidRPr="00E42C35" w:rsidRDefault="00C32714" w:rsidP="00836676">
            <w:pPr>
              <w:numPr>
                <w:ilvl w:val="0"/>
                <w:numId w:val="2"/>
              </w:numPr>
              <w:spacing w:after="120" w:line="276" w:lineRule="auto"/>
              <w:rPr>
                <w:rFonts w:ascii="Calibri" w:hAnsi="Calibri" w:cs="Calibri"/>
                <w:lang w:bidi="en-US"/>
              </w:rPr>
            </w:pPr>
          </w:p>
        </w:tc>
        <w:tc>
          <w:tcPr>
            <w:tcW w:w="2637" w:type="dxa"/>
            <w:tcBorders>
              <w:top w:val="single" w:sz="4" w:space="0" w:color="auto"/>
              <w:left w:val="single" w:sz="4" w:space="0" w:color="auto"/>
              <w:bottom w:val="single" w:sz="4" w:space="0" w:color="auto"/>
              <w:right w:val="single" w:sz="4" w:space="0" w:color="auto"/>
            </w:tcBorders>
          </w:tcPr>
          <w:p w14:paraId="7FD6F517" w14:textId="77777777" w:rsidR="00412509" w:rsidRPr="00E42C35" w:rsidRDefault="00412509" w:rsidP="00836676">
            <w:pPr>
              <w:spacing w:after="120" w:line="276" w:lineRule="auto"/>
              <w:rPr>
                <w:rFonts w:ascii="Calibri" w:hAnsi="Calibri" w:cs="Calibri"/>
                <w:b/>
                <w:lang w:bidi="en-US"/>
              </w:rPr>
            </w:pPr>
            <w:r w:rsidRPr="00E42C35">
              <w:rPr>
                <w:rFonts w:ascii="Calibri" w:hAnsi="Calibri" w:cs="Calibri"/>
                <w:b/>
                <w:lang w:bidi="en-US"/>
              </w:rPr>
              <w:t>Rectification of incorrect reference to section no.</w:t>
            </w:r>
          </w:p>
          <w:p w14:paraId="4820DBBE" w14:textId="7E457492" w:rsidR="00C32714" w:rsidRPr="00E42C35" w:rsidRDefault="00913CAD" w:rsidP="00836676">
            <w:pPr>
              <w:spacing w:after="120" w:line="276" w:lineRule="auto"/>
              <w:rPr>
                <w:rFonts w:ascii="Calibri" w:hAnsi="Calibri" w:cs="Calibri"/>
                <w:b/>
                <w:lang w:bidi="en-US"/>
              </w:rPr>
            </w:pPr>
            <w:r w:rsidRPr="00E42C35">
              <w:rPr>
                <w:rFonts w:ascii="Calibri" w:hAnsi="Calibri" w:cs="Calibri"/>
                <w:b/>
                <w:lang w:bidi="en-US"/>
              </w:rPr>
              <w:t>Rule 11UD</w:t>
            </w:r>
            <w:r w:rsidR="000A40A4" w:rsidRPr="00E42C35">
              <w:rPr>
                <w:rFonts w:ascii="Calibri" w:hAnsi="Calibri" w:cs="Calibri"/>
                <w:b/>
                <w:lang w:bidi="en-US"/>
              </w:rPr>
              <w:t xml:space="preserve"> of IT Rules 1962</w:t>
            </w:r>
            <w:r w:rsidRPr="00E42C35">
              <w:rPr>
                <w:rFonts w:ascii="Calibri" w:hAnsi="Calibri" w:cs="Calibri"/>
                <w:b/>
                <w:lang w:bidi="en-US"/>
              </w:rPr>
              <w:t xml:space="preserve"> (</w:t>
            </w:r>
            <w:r w:rsidR="0048427B" w:rsidRPr="00E42C35">
              <w:rPr>
                <w:rFonts w:ascii="Calibri" w:hAnsi="Calibri" w:cs="Calibri"/>
                <w:b/>
                <w:lang w:bidi="en-US"/>
              </w:rPr>
              <w:t xml:space="preserve">referred in </w:t>
            </w:r>
            <w:r w:rsidRPr="00E42C35">
              <w:rPr>
                <w:rFonts w:ascii="Calibri" w:hAnsi="Calibri" w:cs="Calibri"/>
                <w:b/>
                <w:lang w:bidi="en-US"/>
              </w:rPr>
              <w:t>S. 9 of ITA 1961)</w:t>
            </w:r>
          </w:p>
          <w:p w14:paraId="780B2FF9" w14:textId="02953045" w:rsidR="00913CAD" w:rsidRPr="00E42C35" w:rsidRDefault="00D56DFB" w:rsidP="00836676">
            <w:pPr>
              <w:spacing w:after="120" w:line="276" w:lineRule="auto"/>
              <w:rPr>
                <w:rFonts w:ascii="Calibri" w:hAnsi="Calibri" w:cs="Calibri"/>
                <w:b/>
                <w:lang w:bidi="en-US"/>
              </w:rPr>
            </w:pPr>
            <w:r w:rsidRPr="00E42C35">
              <w:rPr>
                <w:rFonts w:ascii="Calibri" w:hAnsi="Calibri" w:cs="Calibri"/>
                <w:b/>
                <w:lang w:bidi="en-US"/>
              </w:rPr>
              <w:t>Rule 13</w:t>
            </w:r>
            <w:r w:rsidR="000A40A4" w:rsidRPr="00E42C35">
              <w:rPr>
                <w:rFonts w:ascii="Calibri" w:hAnsi="Calibri" w:cs="Calibri"/>
                <w:b/>
                <w:lang w:bidi="en-US"/>
              </w:rPr>
              <w:t xml:space="preserve"> of Draft IT Rules 2026</w:t>
            </w:r>
            <w:r w:rsidRPr="00E42C35">
              <w:rPr>
                <w:rFonts w:ascii="Calibri" w:hAnsi="Calibri" w:cs="Calibri"/>
                <w:b/>
                <w:lang w:bidi="en-US"/>
              </w:rPr>
              <w:t xml:space="preserve"> (</w:t>
            </w:r>
            <w:r w:rsidR="0048427B" w:rsidRPr="00E42C35">
              <w:rPr>
                <w:rFonts w:ascii="Calibri" w:hAnsi="Calibri" w:cs="Calibri"/>
                <w:b/>
                <w:lang w:bidi="en-US"/>
              </w:rPr>
              <w:t xml:space="preserve">referred in </w:t>
            </w:r>
            <w:r w:rsidRPr="00E42C35">
              <w:rPr>
                <w:rFonts w:ascii="Calibri" w:hAnsi="Calibri" w:cs="Calibri"/>
                <w:b/>
                <w:lang w:bidi="en-US"/>
              </w:rPr>
              <w:t>S. 9 of ITA 2025)</w:t>
            </w:r>
          </w:p>
        </w:tc>
        <w:tc>
          <w:tcPr>
            <w:tcW w:w="0" w:type="auto"/>
            <w:tcBorders>
              <w:top w:val="single" w:sz="4" w:space="0" w:color="auto"/>
              <w:left w:val="single" w:sz="4" w:space="0" w:color="auto"/>
              <w:bottom w:val="single" w:sz="4" w:space="0" w:color="auto"/>
              <w:right w:val="single" w:sz="4" w:space="0" w:color="auto"/>
            </w:tcBorders>
          </w:tcPr>
          <w:p w14:paraId="42ABACC7" w14:textId="77777777" w:rsidR="00197549" w:rsidRPr="00E42C35" w:rsidRDefault="00197549" w:rsidP="00836676">
            <w:pPr>
              <w:spacing w:after="120" w:line="276" w:lineRule="auto"/>
              <w:rPr>
                <w:rFonts w:ascii="Calibri" w:hAnsi="Calibri" w:cs="Calibri"/>
                <w:lang w:bidi="en-US"/>
              </w:rPr>
            </w:pPr>
            <w:r w:rsidRPr="00E42C35">
              <w:rPr>
                <w:rFonts w:ascii="Calibri" w:hAnsi="Calibri" w:cs="Calibri"/>
                <w:b/>
                <w:lang w:bidi="en-US"/>
              </w:rPr>
              <w:t>Rationale</w:t>
            </w:r>
            <w:r w:rsidRPr="00E42C35">
              <w:rPr>
                <w:rFonts w:ascii="Calibri" w:hAnsi="Calibri" w:cs="Calibri"/>
                <w:lang w:bidi="en-US"/>
              </w:rPr>
              <w:t>:</w:t>
            </w:r>
          </w:p>
          <w:p w14:paraId="5A65A01E" w14:textId="77777777" w:rsidR="00B84BAE" w:rsidRPr="00E42C35" w:rsidRDefault="00C50F12" w:rsidP="00836676">
            <w:pPr>
              <w:pStyle w:val="ListParagraph"/>
              <w:numPr>
                <w:ilvl w:val="0"/>
                <w:numId w:val="3"/>
              </w:numPr>
              <w:spacing w:after="120" w:line="276" w:lineRule="auto"/>
              <w:contextualSpacing w:val="0"/>
              <w:rPr>
                <w:rFonts w:ascii="Calibri" w:hAnsi="Calibri" w:cs="Calibri"/>
                <w:lang w:bidi="en-US"/>
              </w:rPr>
            </w:pPr>
            <w:r w:rsidRPr="00E42C35">
              <w:rPr>
                <w:rFonts w:ascii="Calibri" w:hAnsi="Calibri" w:cs="Calibri"/>
                <w:lang w:bidi="en-US"/>
              </w:rPr>
              <w:t xml:space="preserve">Rule 13 of Draft IT Rules 2026 provides the for the threshold purposes of SEP. The provisions relating to “SEP” are contained in S. 9(9) of ITA 2025. </w:t>
            </w:r>
          </w:p>
          <w:p w14:paraId="65A16E9F" w14:textId="061650BC" w:rsidR="00B84BAE" w:rsidRPr="00E42C35" w:rsidRDefault="00C50F12" w:rsidP="00836676">
            <w:pPr>
              <w:pStyle w:val="ListParagraph"/>
              <w:numPr>
                <w:ilvl w:val="0"/>
                <w:numId w:val="3"/>
              </w:numPr>
              <w:spacing w:after="120" w:line="276" w:lineRule="auto"/>
              <w:contextualSpacing w:val="0"/>
              <w:rPr>
                <w:rFonts w:ascii="Calibri" w:hAnsi="Calibri" w:cs="Calibri"/>
                <w:lang w:bidi="en-US"/>
              </w:rPr>
            </w:pPr>
            <w:r w:rsidRPr="00E42C35">
              <w:rPr>
                <w:rFonts w:ascii="Calibri" w:hAnsi="Calibri" w:cs="Calibri"/>
                <w:lang w:bidi="en-US"/>
              </w:rPr>
              <w:t>There is an incorrect referencing to sub section (8) instead of subsection (9) of S. 9 in Rule 13 of the draft IT Rules 2026. The correct reference of section number would be S. 9(9)(d)(i) and S. 9(9)(d)(ii)</w:t>
            </w:r>
            <w:r w:rsidR="00B84BAE" w:rsidRPr="00E42C35">
              <w:rPr>
                <w:rFonts w:ascii="Calibri" w:hAnsi="Calibri" w:cs="Calibri"/>
                <w:lang w:bidi="en-US"/>
              </w:rPr>
              <w:t>.</w:t>
            </w:r>
          </w:p>
          <w:p w14:paraId="3B44E1FD" w14:textId="1F1F1286" w:rsidR="00197549" w:rsidRPr="00E42C35" w:rsidRDefault="00197549" w:rsidP="00836676">
            <w:pPr>
              <w:spacing w:after="120" w:line="276" w:lineRule="auto"/>
              <w:rPr>
                <w:rFonts w:ascii="Calibri" w:hAnsi="Calibri" w:cs="Calibri"/>
                <w:lang w:bidi="en-US"/>
              </w:rPr>
            </w:pPr>
            <w:r w:rsidRPr="00E42C35">
              <w:rPr>
                <w:rFonts w:ascii="Calibri" w:hAnsi="Calibri" w:cs="Calibri"/>
                <w:b/>
                <w:lang w:bidi="en-US"/>
              </w:rPr>
              <w:t>Recommendation</w:t>
            </w:r>
            <w:r w:rsidRPr="00E42C35">
              <w:rPr>
                <w:rFonts w:ascii="Calibri" w:hAnsi="Calibri" w:cs="Calibri"/>
                <w:lang w:bidi="en-US"/>
              </w:rPr>
              <w:t>:</w:t>
            </w:r>
          </w:p>
          <w:p w14:paraId="603C6DEC" w14:textId="24EE700C" w:rsidR="00C32714" w:rsidRPr="00E42C35" w:rsidRDefault="00BE461A" w:rsidP="00836676">
            <w:pPr>
              <w:pStyle w:val="ListParagraph"/>
              <w:numPr>
                <w:ilvl w:val="0"/>
                <w:numId w:val="5"/>
              </w:numPr>
              <w:spacing w:after="120" w:line="276" w:lineRule="auto"/>
              <w:contextualSpacing w:val="0"/>
              <w:rPr>
                <w:rFonts w:ascii="Calibri" w:hAnsi="Calibri" w:cs="Calibri"/>
                <w:b/>
                <w:lang w:bidi="en-US"/>
              </w:rPr>
            </w:pPr>
            <w:r w:rsidRPr="00E42C35">
              <w:rPr>
                <w:rFonts w:ascii="Calibri" w:hAnsi="Calibri" w:cs="Calibri"/>
                <w:lang w:bidi="en-US"/>
              </w:rPr>
              <w:t xml:space="preserve">To ensure internal consistency, it is recommended that the incorrect reference made in Rule 13 be rectified by substituting </w:t>
            </w:r>
            <w:r w:rsidR="002707BB" w:rsidRPr="00E42C35">
              <w:rPr>
                <w:rFonts w:ascii="Calibri" w:hAnsi="Calibri" w:cs="Calibri"/>
                <w:lang w:bidi="en-US"/>
              </w:rPr>
              <w:t xml:space="preserve">S. 9(8)(d)(i) and S. 9(8)(d)(ii) </w:t>
            </w:r>
            <w:r w:rsidRPr="00E42C35">
              <w:rPr>
                <w:rFonts w:ascii="Calibri" w:hAnsi="Calibri" w:cs="Calibri"/>
                <w:lang w:bidi="en-US"/>
              </w:rPr>
              <w:t xml:space="preserve">with </w:t>
            </w:r>
            <w:r w:rsidR="00CE6487" w:rsidRPr="00E42C35">
              <w:rPr>
                <w:rFonts w:ascii="Calibri" w:hAnsi="Calibri" w:cs="Calibri"/>
                <w:lang w:bidi="en-US"/>
              </w:rPr>
              <w:t>9(9)(d)(i) and S. 9(9)(d)(ii) respectively.</w:t>
            </w:r>
          </w:p>
        </w:tc>
      </w:tr>
      <w:tr w:rsidR="00C32714" w:rsidRPr="00E42C35" w14:paraId="6C177B2A" w14:textId="77777777" w:rsidTr="000813D3">
        <w:trPr>
          <w:trHeight w:val="20"/>
        </w:trPr>
        <w:tc>
          <w:tcPr>
            <w:tcW w:w="846" w:type="dxa"/>
            <w:tcBorders>
              <w:top w:val="single" w:sz="4" w:space="0" w:color="auto"/>
              <w:left w:val="single" w:sz="4" w:space="0" w:color="auto"/>
              <w:bottom w:val="single" w:sz="4" w:space="0" w:color="auto"/>
              <w:right w:val="single" w:sz="4" w:space="0" w:color="auto"/>
            </w:tcBorders>
          </w:tcPr>
          <w:p w14:paraId="152A0487" w14:textId="77777777" w:rsidR="00C32714" w:rsidRPr="00E42C35" w:rsidRDefault="00C32714" w:rsidP="00836676">
            <w:pPr>
              <w:numPr>
                <w:ilvl w:val="0"/>
                <w:numId w:val="2"/>
              </w:numPr>
              <w:spacing w:after="120" w:line="276" w:lineRule="auto"/>
              <w:rPr>
                <w:rFonts w:ascii="Calibri" w:hAnsi="Calibri" w:cs="Calibri"/>
                <w:lang w:bidi="en-US"/>
              </w:rPr>
            </w:pPr>
          </w:p>
        </w:tc>
        <w:tc>
          <w:tcPr>
            <w:tcW w:w="2637" w:type="dxa"/>
            <w:tcBorders>
              <w:top w:val="single" w:sz="4" w:space="0" w:color="auto"/>
              <w:left w:val="single" w:sz="4" w:space="0" w:color="auto"/>
              <w:bottom w:val="single" w:sz="4" w:space="0" w:color="auto"/>
              <w:right w:val="single" w:sz="4" w:space="0" w:color="auto"/>
            </w:tcBorders>
          </w:tcPr>
          <w:p w14:paraId="610912E9" w14:textId="7FEA82C6" w:rsidR="00D863EF" w:rsidRPr="00E42C35" w:rsidRDefault="0037221F" w:rsidP="00836676">
            <w:pPr>
              <w:spacing w:after="120" w:line="276" w:lineRule="auto"/>
              <w:rPr>
                <w:rFonts w:ascii="Calibri" w:hAnsi="Calibri" w:cs="Calibri"/>
                <w:b/>
                <w:lang w:bidi="en-US"/>
              </w:rPr>
            </w:pPr>
            <w:r w:rsidRPr="00E42C35">
              <w:rPr>
                <w:rFonts w:ascii="Calibri" w:hAnsi="Calibri" w:cs="Calibri"/>
                <w:b/>
                <w:lang w:bidi="en-US"/>
              </w:rPr>
              <w:t>Remove duplication of definition of the term “date of commencement of operations” in Rule 36 of Draft IT Rules 2026.</w:t>
            </w:r>
          </w:p>
          <w:p w14:paraId="5531FC64" w14:textId="77777777" w:rsidR="0037221F" w:rsidRPr="00E42C35" w:rsidRDefault="0037221F" w:rsidP="00836676">
            <w:pPr>
              <w:spacing w:after="120" w:line="276" w:lineRule="auto"/>
              <w:rPr>
                <w:rFonts w:ascii="Calibri" w:hAnsi="Calibri" w:cs="Calibri"/>
                <w:b/>
                <w:lang w:bidi="en-US"/>
              </w:rPr>
            </w:pPr>
          </w:p>
          <w:p w14:paraId="04E2E05D" w14:textId="0495057D" w:rsidR="00C32714" w:rsidRPr="00E42C35" w:rsidRDefault="00B26308" w:rsidP="00836676">
            <w:pPr>
              <w:spacing w:after="120" w:line="276" w:lineRule="auto"/>
              <w:rPr>
                <w:rFonts w:ascii="Calibri" w:hAnsi="Calibri" w:cs="Calibri"/>
                <w:b/>
                <w:lang w:bidi="en-US"/>
              </w:rPr>
            </w:pPr>
            <w:r w:rsidRPr="00E42C35">
              <w:rPr>
                <w:rFonts w:ascii="Calibri" w:hAnsi="Calibri" w:cs="Calibri"/>
                <w:b/>
                <w:lang w:bidi="en-US"/>
              </w:rPr>
              <w:t>Rule 11OA</w:t>
            </w:r>
            <w:r w:rsidR="0037221F" w:rsidRPr="00E42C35">
              <w:rPr>
                <w:rFonts w:ascii="Calibri" w:hAnsi="Calibri" w:cs="Calibri"/>
                <w:b/>
                <w:lang w:bidi="en-US"/>
              </w:rPr>
              <w:t xml:space="preserve"> of IT Rules 1962</w:t>
            </w:r>
            <w:r w:rsidRPr="00E42C35">
              <w:rPr>
                <w:rFonts w:ascii="Calibri" w:hAnsi="Calibri" w:cs="Calibri"/>
                <w:b/>
                <w:lang w:bidi="en-US"/>
              </w:rPr>
              <w:t xml:space="preserve"> (</w:t>
            </w:r>
            <w:r w:rsidR="00D863EF" w:rsidRPr="00E42C35">
              <w:rPr>
                <w:rFonts w:ascii="Calibri" w:hAnsi="Calibri" w:cs="Calibri"/>
                <w:b/>
                <w:lang w:bidi="en-US"/>
              </w:rPr>
              <w:t xml:space="preserve">referred in </w:t>
            </w:r>
            <w:r w:rsidRPr="00E42C35">
              <w:rPr>
                <w:rFonts w:ascii="Calibri" w:hAnsi="Calibri" w:cs="Calibri"/>
                <w:b/>
                <w:lang w:bidi="en-US"/>
              </w:rPr>
              <w:t>S</w:t>
            </w:r>
            <w:r w:rsidR="00D863EF" w:rsidRPr="00E42C35">
              <w:rPr>
                <w:rFonts w:ascii="Calibri" w:hAnsi="Calibri" w:cs="Calibri"/>
                <w:b/>
                <w:lang w:bidi="en-US"/>
              </w:rPr>
              <w:t>.</w:t>
            </w:r>
            <w:r w:rsidRPr="00E42C35">
              <w:rPr>
                <w:rFonts w:ascii="Calibri" w:hAnsi="Calibri" w:cs="Calibri"/>
                <w:b/>
                <w:lang w:bidi="en-US"/>
              </w:rPr>
              <w:t xml:space="preserve"> 35AD of the ITA 1961)</w:t>
            </w:r>
          </w:p>
          <w:p w14:paraId="07FC6FA3" w14:textId="70F7DC5E" w:rsidR="00C32714" w:rsidRPr="00E42C35" w:rsidRDefault="00D863EF" w:rsidP="00836676">
            <w:pPr>
              <w:spacing w:after="120" w:line="276" w:lineRule="auto"/>
              <w:rPr>
                <w:rFonts w:ascii="Calibri" w:hAnsi="Calibri" w:cs="Calibri"/>
                <w:b/>
                <w:lang w:bidi="en-US"/>
              </w:rPr>
            </w:pPr>
            <w:r w:rsidRPr="00E42C35">
              <w:rPr>
                <w:rFonts w:ascii="Calibri" w:hAnsi="Calibri" w:cs="Calibri"/>
                <w:b/>
                <w:lang w:bidi="en-US"/>
              </w:rPr>
              <w:lastRenderedPageBreak/>
              <w:t>Rule 36</w:t>
            </w:r>
            <w:r w:rsidR="0037221F" w:rsidRPr="00E42C35">
              <w:rPr>
                <w:rFonts w:ascii="Calibri" w:hAnsi="Calibri" w:cs="Calibri"/>
                <w:b/>
                <w:lang w:bidi="en-US"/>
              </w:rPr>
              <w:t xml:space="preserve"> of Draft IT Rules 2026</w:t>
            </w:r>
            <w:r w:rsidRPr="00E42C35">
              <w:rPr>
                <w:rFonts w:ascii="Calibri" w:hAnsi="Calibri" w:cs="Calibri"/>
                <w:b/>
                <w:lang w:bidi="en-US"/>
              </w:rPr>
              <w:t xml:space="preserve"> (referred in S. 46 of the ITA 2025)</w:t>
            </w:r>
          </w:p>
        </w:tc>
        <w:tc>
          <w:tcPr>
            <w:tcW w:w="0" w:type="auto"/>
            <w:tcBorders>
              <w:top w:val="single" w:sz="4" w:space="0" w:color="auto"/>
              <w:left w:val="single" w:sz="4" w:space="0" w:color="auto"/>
              <w:bottom w:val="single" w:sz="4" w:space="0" w:color="auto"/>
              <w:right w:val="single" w:sz="4" w:space="0" w:color="auto"/>
            </w:tcBorders>
          </w:tcPr>
          <w:p w14:paraId="4CC7656D" w14:textId="77777777" w:rsidR="00C32714" w:rsidRPr="00E42C35" w:rsidRDefault="00D863EF" w:rsidP="00836676">
            <w:pPr>
              <w:spacing w:after="120" w:line="276" w:lineRule="auto"/>
              <w:rPr>
                <w:rFonts w:ascii="Calibri" w:hAnsi="Calibri" w:cs="Calibri"/>
                <w:b/>
                <w:lang w:bidi="en-US"/>
              </w:rPr>
            </w:pPr>
            <w:r w:rsidRPr="00E42C35">
              <w:rPr>
                <w:rFonts w:ascii="Calibri" w:hAnsi="Calibri" w:cs="Calibri"/>
                <w:b/>
                <w:lang w:bidi="en-US"/>
              </w:rPr>
              <w:lastRenderedPageBreak/>
              <w:t>Rationale:</w:t>
            </w:r>
          </w:p>
          <w:p w14:paraId="761C136D" w14:textId="77777777" w:rsidR="00E8529B" w:rsidRPr="00E42C35" w:rsidRDefault="00E8529B" w:rsidP="00836676">
            <w:pPr>
              <w:pStyle w:val="ListParagraph"/>
              <w:numPr>
                <w:ilvl w:val="0"/>
                <w:numId w:val="5"/>
              </w:numPr>
              <w:spacing w:after="120" w:line="276" w:lineRule="auto"/>
              <w:contextualSpacing w:val="0"/>
              <w:rPr>
                <w:rFonts w:ascii="Calibri" w:hAnsi="Calibri" w:cs="Calibri"/>
                <w:lang w:bidi="en-US"/>
              </w:rPr>
            </w:pPr>
            <w:r w:rsidRPr="00E42C35">
              <w:rPr>
                <w:rFonts w:ascii="Calibri" w:hAnsi="Calibri" w:cs="Calibri"/>
                <w:lang w:bidi="en-US"/>
              </w:rPr>
              <w:t xml:space="preserve">Rule 36(5)(b) (affordable housing limb) states that “the date of commencement of operations of the project, being the date on which the project is sanctioned by the competent authority … shall be on or after 1 April 2011.” However, Rule 36(7)(b) already defines “date of commencement of operations” for affordable housing projects as “the date on which the project is sanctioned by the competent authority…”. </w:t>
            </w:r>
          </w:p>
          <w:p w14:paraId="6EC06177" w14:textId="77777777" w:rsidR="00D863EF" w:rsidRPr="00E42C35" w:rsidRDefault="00E8529B" w:rsidP="00836676">
            <w:pPr>
              <w:pStyle w:val="ListParagraph"/>
              <w:numPr>
                <w:ilvl w:val="0"/>
                <w:numId w:val="5"/>
              </w:numPr>
              <w:spacing w:after="120" w:line="276" w:lineRule="auto"/>
              <w:contextualSpacing w:val="0"/>
              <w:rPr>
                <w:rFonts w:ascii="Calibri" w:hAnsi="Calibri" w:cs="Calibri"/>
                <w:lang w:bidi="en-US"/>
              </w:rPr>
            </w:pPr>
            <w:r w:rsidRPr="00E42C35">
              <w:rPr>
                <w:rFonts w:ascii="Calibri" w:hAnsi="Calibri" w:cs="Calibri"/>
                <w:lang w:bidi="en-US"/>
              </w:rPr>
              <w:t>Re stating the definition inside the operative clause is redundant and departs from the “define once, apply many” drafting approach used elsewhere in Rule 36.</w:t>
            </w:r>
          </w:p>
          <w:p w14:paraId="01DC0F27" w14:textId="076A5042" w:rsidR="00771D29" w:rsidRPr="00E42C35" w:rsidRDefault="003E0A4E" w:rsidP="00836676">
            <w:pPr>
              <w:pStyle w:val="ListParagraph"/>
              <w:numPr>
                <w:ilvl w:val="0"/>
                <w:numId w:val="5"/>
              </w:numPr>
              <w:spacing w:after="120" w:line="276" w:lineRule="auto"/>
              <w:contextualSpacing w:val="0"/>
              <w:rPr>
                <w:rFonts w:ascii="Calibri" w:hAnsi="Calibri" w:cs="Calibri"/>
                <w:lang w:bidi="en-US"/>
              </w:rPr>
            </w:pPr>
            <w:r w:rsidRPr="00E42C35">
              <w:rPr>
                <w:rFonts w:ascii="Calibri" w:hAnsi="Calibri" w:cs="Calibri"/>
                <w:lang w:bidi="en-US"/>
              </w:rPr>
              <w:t xml:space="preserve">Removing the repeated wording aligns the housing limb with clean drafting principles used elsewhere in Rule 36, avoids potential interpretive inconsistencies if future amendments touch only one location, and keeps the </w:t>
            </w:r>
            <w:proofErr w:type="spellStart"/>
            <w:r w:rsidRPr="00E42C35">
              <w:rPr>
                <w:rFonts w:ascii="Calibri" w:hAnsi="Calibri" w:cs="Calibri"/>
                <w:lang w:bidi="en-US"/>
              </w:rPr>
              <w:lastRenderedPageBreak/>
              <w:t>rulebase</w:t>
            </w:r>
            <w:proofErr w:type="spellEnd"/>
            <w:r w:rsidRPr="00E42C35">
              <w:rPr>
                <w:rFonts w:ascii="Calibri" w:hAnsi="Calibri" w:cs="Calibri"/>
                <w:lang w:bidi="en-US"/>
              </w:rPr>
              <w:t xml:space="preserve"> easier to maintain. The legal effect remains unchanged because the standalone definition in 36(7)(b) continues to govern; the clause would simply stipulate that the commencement date must be on or after 1 April 2011.</w:t>
            </w:r>
          </w:p>
          <w:p w14:paraId="6B61C998" w14:textId="517FC15C" w:rsidR="003E0A4E" w:rsidRPr="00E42C35" w:rsidRDefault="003E0A4E" w:rsidP="00836676">
            <w:pPr>
              <w:spacing w:after="120" w:line="276" w:lineRule="auto"/>
              <w:rPr>
                <w:rFonts w:ascii="Calibri" w:hAnsi="Calibri" w:cs="Calibri"/>
                <w:b/>
                <w:lang w:bidi="en-US"/>
              </w:rPr>
            </w:pPr>
            <w:r w:rsidRPr="00E42C35">
              <w:rPr>
                <w:rFonts w:ascii="Calibri" w:hAnsi="Calibri" w:cs="Calibri"/>
                <w:b/>
                <w:lang w:bidi="en-US"/>
              </w:rPr>
              <w:t>Recommendation:</w:t>
            </w:r>
          </w:p>
          <w:p w14:paraId="7A53635A" w14:textId="2408217B" w:rsidR="00C32714" w:rsidRPr="00E42C35" w:rsidRDefault="00771D29" w:rsidP="00836676">
            <w:pPr>
              <w:pStyle w:val="ListParagraph"/>
              <w:numPr>
                <w:ilvl w:val="0"/>
                <w:numId w:val="5"/>
              </w:numPr>
              <w:spacing w:after="120" w:line="276" w:lineRule="auto"/>
              <w:contextualSpacing w:val="0"/>
              <w:rPr>
                <w:rFonts w:ascii="Calibri" w:hAnsi="Calibri" w:cs="Calibri"/>
                <w:lang w:bidi="en-US"/>
              </w:rPr>
            </w:pPr>
            <w:r w:rsidRPr="00E42C35">
              <w:rPr>
                <w:rFonts w:ascii="Calibri" w:hAnsi="Calibri" w:cs="Calibri"/>
                <w:lang w:bidi="en-US"/>
              </w:rPr>
              <w:t>Delete the embedded definitional phrase from Rule 36(5)(b) and rely on the dedicated definition in Rule 36(7)(b).</w:t>
            </w:r>
          </w:p>
        </w:tc>
      </w:tr>
      <w:tr w:rsidR="00AE1653" w:rsidRPr="00E42C35" w14:paraId="2B2EEF7F" w14:textId="77777777" w:rsidTr="000813D3">
        <w:trPr>
          <w:trHeight w:val="20"/>
        </w:trPr>
        <w:tc>
          <w:tcPr>
            <w:tcW w:w="846" w:type="dxa"/>
            <w:tcBorders>
              <w:top w:val="single" w:sz="4" w:space="0" w:color="auto"/>
              <w:left w:val="single" w:sz="4" w:space="0" w:color="auto"/>
              <w:bottom w:val="single" w:sz="4" w:space="0" w:color="auto"/>
              <w:right w:val="single" w:sz="4" w:space="0" w:color="auto"/>
            </w:tcBorders>
          </w:tcPr>
          <w:p w14:paraId="1A0F794D" w14:textId="77777777" w:rsidR="00AE1653" w:rsidRPr="00E42C35" w:rsidRDefault="00AE1653" w:rsidP="00836676">
            <w:pPr>
              <w:numPr>
                <w:ilvl w:val="0"/>
                <w:numId w:val="2"/>
              </w:numPr>
              <w:spacing w:after="120" w:line="276" w:lineRule="auto"/>
              <w:rPr>
                <w:rFonts w:ascii="Calibri" w:hAnsi="Calibri" w:cs="Calibri"/>
                <w:lang w:bidi="en-US"/>
              </w:rPr>
            </w:pPr>
          </w:p>
        </w:tc>
        <w:tc>
          <w:tcPr>
            <w:tcW w:w="2637" w:type="dxa"/>
            <w:tcBorders>
              <w:top w:val="single" w:sz="4" w:space="0" w:color="auto"/>
              <w:left w:val="single" w:sz="4" w:space="0" w:color="auto"/>
              <w:bottom w:val="single" w:sz="4" w:space="0" w:color="auto"/>
              <w:right w:val="single" w:sz="4" w:space="0" w:color="auto"/>
            </w:tcBorders>
          </w:tcPr>
          <w:p w14:paraId="7FB19989" w14:textId="77777777" w:rsidR="00197D01" w:rsidRPr="00E42C35" w:rsidRDefault="00197D01" w:rsidP="00836676">
            <w:pPr>
              <w:spacing w:after="120" w:line="276" w:lineRule="auto"/>
              <w:rPr>
                <w:rFonts w:ascii="Calibri" w:hAnsi="Calibri" w:cs="Calibri"/>
                <w:b/>
                <w:lang w:bidi="en-US"/>
              </w:rPr>
            </w:pPr>
            <w:r w:rsidRPr="00E42C35">
              <w:rPr>
                <w:rFonts w:ascii="Calibri" w:hAnsi="Calibri" w:cs="Calibri"/>
                <w:b/>
                <w:lang w:bidi="en-US"/>
              </w:rPr>
              <w:t>Remove duplication of definition of the term “date of commencement of operations” in Rule 36 of Draft IT Rules 2026.</w:t>
            </w:r>
          </w:p>
          <w:p w14:paraId="3FEAEBDF" w14:textId="77777777" w:rsidR="00192041" w:rsidRPr="00E42C35" w:rsidRDefault="00192041" w:rsidP="00836676">
            <w:pPr>
              <w:spacing w:after="120" w:line="276" w:lineRule="auto"/>
              <w:rPr>
                <w:rFonts w:ascii="Calibri" w:hAnsi="Calibri" w:cs="Calibri"/>
                <w:b/>
                <w:lang w:bidi="en-US"/>
              </w:rPr>
            </w:pPr>
          </w:p>
          <w:p w14:paraId="4F8A1844" w14:textId="59DC22D6" w:rsidR="00192041" w:rsidRPr="00E42C35" w:rsidRDefault="00192041" w:rsidP="00836676">
            <w:pPr>
              <w:spacing w:after="120" w:line="276" w:lineRule="auto"/>
              <w:rPr>
                <w:rFonts w:ascii="Calibri" w:hAnsi="Calibri" w:cs="Calibri"/>
                <w:b/>
                <w:lang w:bidi="en-US"/>
              </w:rPr>
            </w:pPr>
            <w:r w:rsidRPr="00E42C35">
              <w:rPr>
                <w:rFonts w:ascii="Calibri" w:hAnsi="Calibri" w:cs="Calibri"/>
                <w:b/>
                <w:lang w:bidi="en-US"/>
              </w:rPr>
              <w:t>Rule 11OB of IT Rules 1962 (referred in S. 35AD of the ITA 1961)</w:t>
            </w:r>
          </w:p>
          <w:p w14:paraId="5EAD4E52" w14:textId="000B81B1" w:rsidR="00AE1653" w:rsidRPr="00E42C35" w:rsidRDefault="00192041" w:rsidP="00836676">
            <w:pPr>
              <w:spacing w:after="120" w:line="276" w:lineRule="auto"/>
              <w:rPr>
                <w:rFonts w:ascii="Calibri" w:hAnsi="Calibri" w:cs="Calibri"/>
                <w:b/>
                <w:lang w:bidi="en-US"/>
              </w:rPr>
            </w:pPr>
            <w:r w:rsidRPr="00E42C35">
              <w:rPr>
                <w:rFonts w:ascii="Calibri" w:hAnsi="Calibri" w:cs="Calibri"/>
                <w:b/>
                <w:lang w:bidi="en-US"/>
              </w:rPr>
              <w:t>Rule 36 of Draft IT Rules 2026 (referred in S. 46 of the ITA 2025)</w:t>
            </w:r>
          </w:p>
        </w:tc>
        <w:tc>
          <w:tcPr>
            <w:tcW w:w="0" w:type="auto"/>
            <w:tcBorders>
              <w:top w:val="single" w:sz="4" w:space="0" w:color="auto"/>
              <w:left w:val="single" w:sz="4" w:space="0" w:color="auto"/>
              <w:bottom w:val="single" w:sz="4" w:space="0" w:color="auto"/>
              <w:right w:val="single" w:sz="4" w:space="0" w:color="auto"/>
            </w:tcBorders>
          </w:tcPr>
          <w:p w14:paraId="38D20A1F" w14:textId="77777777" w:rsidR="00AE1653" w:rsidRPr="00E42C35" w:rsidRDefault="004F1FAF" w:rsidP="00836676">
            <w:pPr>
              <w:spacing w:after="120" w:line="276" w:lineRule="auto"/>
              <w:rPr>
                <w:rFonts w:ascii="Calibri" w:hAnsi="Calibri" w:cs="Calibri"/>
                <w:b/>
                <w:lang w:bidi="en-US"/>
              </w:rPr>
            </w:pPr>
            <w:r w:rsidRPr="00E42C35">
              <w:rPr>
                <w:rFonts w:ascii="Calibri" w:hAnsi="Calibri" w:cs="Calibri"/>
                <w:b/>
                <w:lang w:bidi="en-US"/>
              </w:rPr>
              <w:t>Rationale:</w:t>
            </w:r>
          </w:p>
          <w:p w14:paraId="03E47F5B" w14:textId="1EBF10A7" w:rsidR="004F1FAF" w:rsidRPr="00E42C35" w:rsidRDefault="004F1FAF" w:rsidP="00836676">
            <w:pPr>
              <w:pStyle w:val="ListParagraph"/>
              <w:numPr>
                <w:ilvl w:val="0"/>
                <w:numId w:val="5"/>
              </w:numPr>
              <w:spacing w:after="120" w:line="276" w:lineRule="auto"/>
              <w:contextualSpacing w:val="0"/>
              <w:rPr>
                <w:rFonts w:ascii="Calibri" w:hAnsi="Calibri" w:cs="Calibri"/>
                <w:lang w:bidi="en-US"/>
              </w:rPr>
            </w:pPr>
            <w:r w:rsidRPr="00E42C35">
              <w:rPr>
                <w:rFonts w:ascii="Calibri" w:hAnsi="Calibri" w:cs="Calibri"/>
                <w:lang w:bidi="en-US"/>
              </w:rPr>
              <w:t xml:space="preserve">Redundant language in Rule 36(6)(c): The clause presently reads “the date of commencement of operations, being the date on which the commercial production of the unit commences, shall be on or after the 1st day of April 2014.” </w:t>
            </w:r>
          </w:p>
          <w:p w14:paraId="34505DF3" w14:textId="77777777" w:rsidR="004F1FAF" w:rsidRPr="00E42C35" w:rsidRDefault="004F1FAF" w:rsidP="00836676">
            <w:pPr>
              <w:pStyle w:val="ListParagraph"/>
              <w:numPr>
                <w:ilvl w:val="0"/>
                <w:numId w:val="5"/>
              </w:numPr>
              <w:spacing w:after="120" w:line="276" w:lineRule="auto"/>
              <w:contextualSpacing w:val="0"/>
              <w:rPr>
                <w:rFonts w:ascii="Calibri" w:hAnsi="Calibri" w:cs="Calibri"/>
                <w:b/>
                <w:lang w:bidi="en-US"/>
              </w:rPr>
            </w:pPr>
            <w:r w:rsidRPr="00E42C35">
              <w:rPr>
                <w:rFonts w:ascii="Calibri" w:hAnsi="Calibri" w:cs="Calibri"/>
                <w:lang w:bidi="en-US"/>
              </w:rPr>
              <w:t>However, Rule 36(8)(b) already defines “date of commencement of operations” for semiconductor units as “the date on which the commercial production of the unit commences.” This repeats the same definition in the operative condition, causing surplusage and an asymmetry vis à vis the housing limb (where the definition is housed only in its definitions sub rule 36(7)(b)).</w:t>
            </w:r>
          </w:p>
          <w:p w14:paraId="600B2DA2" w14:textId="77777777" w:rsidR="004F1FAF" w:rsidRPr="00E42C35" w:rsidRDefault="00720794" w:rsidP="00836676">
            <w:pPr>
              <w:pStyle w:val="ListParagraph"/>
              <w:numPr>
                <w:ilvl w:val="0"/>
                <w:numId w:val="5"/>
              </w:numPr>
              <w:spacing w:after="120" w:line="276" w:lineRule="auto"/>
              <w:contextualSpacing w:val="0"/>
              <w:rPr>
                <w:rFonts w:ascii="Calibri" w:hAnsi="Calibri" w:cs="Calibri"/>
                <w:lang w:bidi="en-US"/>
              </w:rPr>
            </w:pPr>
            <w:r w:rsidRPr="00E42C35">
              <w:rPr>
                <w:rFonts w:ascii="Calibri" w:hAnsi="Calibri" w:cs="Calibri"/>
                <w:lang w:bidi="en-US"/>
              </w:rPr>
              <w:t>This duplication might create drafting inconsistency and is unlike the affordable housing limb, where the definition appears only in Rule 36(7)(b). Removing the repeated phrase will streamline the rule, avoid interpretive conflict, and maintain parallelism. The revised clause would simply state that the “date of commencement of operations shall be on or after 1 April 2014,” relying on the definition in 36(8)(b).</w:t>
            </w:r>
          </w:p>
          <w:p w14:paraId="7A4C9348" w14:textId="77777777" w:rsidR="00720794" w:rsidRPr="00E42C35" w:rsidRDefault="00720794" w:rsidP="00836676">
            <w:pPr>
              <w:spacing w:after="120" w:line="276" w:lineRule="auto"/>
              <w:rPr>
                <w:rFonts w:ascii="Calibri" w:hAnsi="Calibri" w:cs="Calibri"/>
                <w:b/>
                <w:lang w:bidi="en-US"/>
              </w:rPr>
            </w:pPr>
            <w:r w:rsidRPr="00E42C35">
              <w:rPr>
                <w:rFonts w:ascii="Calibri" w:hAnsi="Calibri" w:cs="Calibri"/>
                <w:b/>
                <w:lang w:bidi="en-US"/>
              </w:rPr>
              <w:t>Recommendation:</w:t>
            </w:r>
          </w:p>
          <w:p w14:paraId="39A28757" w14:textId="5C8FAA68" w:rsidR="00720794" w:rsidRPr="00E42C35" w:rsidRDefault="00EA64CC" w:rsidP="00836676">
            <w:pPr>
              <w:pStyle w:val="ListParagraph"/>
              <w:numPr>
                <w:ilvl w:val="0"/>
                <w:numId w:val="6"/>
              </w:numPr>
              <w:spacing w:after="120" w:line="276" w:lineRule="auto"/>
              <w:contextualSpacing w:val="0"/>
              <w:rPr>
                <w:rFonts w:ascii="Calibri" w:hAnsi="Calibri" w:cs="Calibri"/>
                <w:lang w:bidi="en-US"/>
              </w:rPr>
            </w:pPr>
            <w:r w:rsidRPr="00E42C35">
              <w:rPr>
                <w:rFonts w:ascii="Calibri" w:hAnsi="Calibri" w:cs="Calibri"/>
                <w:lang w:bidi="en-US"/>
              </w:rPr>
              <w:t>Delete the embedded parenthetical in Rule 36(6)(c) and rely on the definitions limb.</w:t>
            </w:r>
          </w:p>
        </w:tc>
      </w:tr>
      <w:tr w:rsidR="00AE1653" w:rsidRPr="00E42C35" w14:paraId="31B2AC1D" w14:textId="77777777" w:rsidTr="000813D3">
        <w:trPr>
          <w:trHeight w:val="20"/>
        </w:trPr>
        <w:tc>
          <w:tcPr>
            <w:tcW w:w="846" w:type="dxa"/>
            <w:tcBorders>
              <w:top w:val="single" w:sz="4" w:space="0" w:color="auto"/>
              <w:left w:val="single" w:sz="4" w:space="0" w:color="auto"/>
              <w:bottom w:val="single" w:sz="4" w:space="0" w:color="auto"/>
              <w:right w:val="single" w:sz="4" w:space="0" w:color="auto"/>
            </w:tcBorders>
          </w:tcPr>
          <w:p w14:paraId="03452E6D" w14:textId="77777777" w:rsidR="00AE1653" w:rsidRPr="00E42C35" w:rsidRDefault="00AE1653" w:rsidP="00836676">
            <w:pPr>
              <w:numPr>
                <w:ilvl w:val="0"/>
                <w:numId w:val="2"/>
              </w:numPr>
              <w:spacing w:after="120" w:line="276" w:lineRule="auto"/>
              <w:rPr>
                <w:rFonts w:ascii="Calibri" w:hAnsi="Calibri" w:cs="Calibri"/>
                <w:lang w:bidi="en-US"/>
              </w:rPr>
            </w:pPr>
          </w:p>
        </w:tc>
        <w:tc>
          <w:tcPr>
            <w:tcW w:w="2637" w:type="dxa"/>
            <w:tcBorders>
              <w:top w:val="single" w:sz="4" w:space="0" w:color="auto"/>
              <w:left w:val="single" w:sz="4" w:space="0" w:color="auto"/>
              <w:bottom w:val="single" w:sz="4" w:space="0" w:color="auto"/>
              <w:right w:val="single" w:sz="4" w:space="0" w:color="auto"/>
            </w:tcBorders>
          </w:tcPr>
          <w:p w14:paraId="4F9823CB" w14:textId="77777777" w:rsidR="007626A0" w:rsidRPr="00E42C35" w:rsidRDefault="007626A0" w:rsidP="00836676">
            <w:pPr>
              <w:spacing w:after="120" w:line="276" w:lineRule="auto"/>
              <w:rPr>
                <w:rFonts w:ascii="Calibri" w:hAnsi="Calibri" w:cs="Calibri"/>
                <w:b/>
                <w:lang w:bidi="en-US"/>
              </w:rPr>
            </w:pPr>
            <w:r w:rsidRPr="00E42C35">
              <w:rPr>
                <w:rFonts w:ascii="Calibri" w:hAnsi="Calibri" w:cs="Calibri"/>
                <w:b/>
                <w:lang w:bidi="en-US"/>
              </w:rPr>
              <w:t>Rectification of incorrect reference to section no.</w:t>
            </w:r>
          </w:p>
          <w:p w14:paraId="254970C4" w14:textId="4860C3CB" w:rsidR="00AE1653" w:rsidRPr="00E42C35" w:rsidRDefault="003E5BE8" w:rsidP="00836676">
            <w:pPr>
              <w:spacing w:after="120" w:line="276" w:lineRule="auto"/>
              <w:rPr>
                <w:rFonts w:ascii="Calibri" w:hAnsi="Calibri" w:cs="Calibri"/>
                <w:b/>
                <w:lang w:bidi="en-US"/>
              </w:rPr>
            </w:pPr>
            <w:r w:rsidRPr="00E42C35">
              <w:rPr>
                <w:rFonts w:ascii="Calibri" w:hAnsi="Calibri" w:cs="Calibri"/>
                <w:b/>
                <w:lang w:bidi="en-US"/>
              </w:rPr>
              <w:lastRenderedPageBreak/>
              <w:t xml:space="preserve">Rule 6ABBA of </w:t>
            </w:r>
            <w:r w:rsidR="00224EE1" w:rsidRPr="00E42C35">
              <w:rPr>
                <w:rFonts w:ascii="Calibri" w:hAnsi="Calibri" w:cs="Calibri"/>
                <w:b/>
                <w:lang w:bidi="en-US"/>
              </w:rPr>
              <w:t>IT</w:t>
            </w:r>
            <w:r w:rsidRPr="00E42C35">
              <w:rPr>
                <w:rFonts w:ascii="Calibri" w:hAnsi="Calibri" w:cs="Calibri"/>
                <w:b/>
                <w:lang w:bidi="en-US"/>
              </w:rPr>
              <w:t xml:space="preserve"> Rules 1962</w:t>
            </w:r>
            <w:r w:rsidR="00B07D2B" w:rsidRPr="00E42C35">
              <w:rPr>
                <w:rFonts w:ascii="Calibri" w:hAnsi="Calibri" w:cs="Calibri"/>
                <w:b/>
                <w:lang w:bidi="en-US"/>
              </w:rPr>
              <w:t xml:space="preserve"> </w:t>
            </w:r>
          </w:p>
          <w:p w14:paraId="43440140" w14:textId="03351040" w:rsidR="003E5BE8" w:rsidRPr="00E42C35" w:rsidRDefault="00224EE1" w:rsidP="00836676">
            <w:pPr>
              <w:spacing w:after="120" w:line="276" w:lineRule="auto"/>
              <w:rPr>
                <w:rFonts w:ascii="Calibri" w:hAnsi="Calibri" w:cs="Calibri"/>
                <w:b/>
                <w:lang w:bidi="en-US"/>
              </w:rPr>
            </w:pPr>
            <w:r w:rsidRPr="00E42C35">
              <w:rPr>
                <w:rFonts w:ascii="Calibri" w:hAnsi="Calibri" w:cs="Calibri"/>
                <w:b/>
                <w:lang w:bidi="en-US"/>
              </w:rPr>
              <w:t>Rule 48 of Draft IT Rules 2026</w:t>
            </w:r>
          </w:p>
          <w:p w14:paraId="1012C7C5" w14:textId="77777777" w:rsidR="007626A0" w:rsidRPr="00E42C35" w:rsidRDefault="007626A0" w:rsidP="00836676">
            <w:pPr>
              <w:spacing w:after="120" w:line="276" w:lineRule="auto"/>
              <w:rPr>
                <w:rFonts w:ascii="Calibri" w:hAnsi="Calibri" w:cs="Calibri"/>
                <w:b/>
                <w:lang w:bidi="en-US"/>
              </w:rPr>
            </w:pPr>
          </w:p>
        </w:tc>
        <w:tc>
          <w:tcPr>
            <w:tcW w:w="0" w:type="auto"/>
            <w:tcBorders>
              <w:top w:val="single" w:sz="4" w:space="0" w:color="auto"/>
              <w:left w:val="single" w:sz="4" w:space="0" w:color="auto"/>
              <w:bottom w:val="single" w:sz="4" w:space="0" w:color="auto"/>
              <w:right w:val="single" w:sz="4" w:space="0" w:color="auto"/>
            </w:tcBorders>
          </w:tcPr>
          <w:p w14:paraId="59CAAD70" w14:textId="77777777" w:rsidR="00AE1653" w:rsidRPr="00E42C35" w:rsidRDefault="00C35B10" w:rsidP="00836676">
            <w:pPr>
              <w:spacing w:after="120" w:line="276" w:lineRule="auto"/>
              <w:rPr>
                <w:rFonts w:ascii="Calibri" w:hAnsi="Calibri" w:cs="Calibri"/>
                <w:b/>
                <w:lang w:bidi="en-US"/>
              </w:rPr>
            </w:pPr>
            <w:r w:rsidRPr="00E42C35">
              <w:rPr>
                <w:rFonts w:ascii="Calibri" w:hAnsi="Calibri" w:cs="Calibri"/>
                <w:b/>
                <w:lang w:bidi="en-US"/>
              </w:rPr>
              <w:lastRenderedPageBreak/>
              <w:t>Rationale:</w:t>
            </w:r>
          </w:p>
          <w:p w14:paraId="733A4FC0" w14:textId="173DB8B6" w:rsidR="000E6614" w:rsidRPr="00E42C35" w:rsidRDefault="000E6614" w:rsidP="00836676">
            <w:pPr>
              <w:pStyle w:val="ListParagraph"/>
              <w:numPr>
                <w:ilvl w:val="0"/>
                <w:numId w:val="6"/>
              </w:numPr>
              <w:spacing w:after="120" w:line="276" w:lineRule="auto"/>
              <w:contextualSpacing w:val="0"/>
              <w:rPr>
                <w:rFonts w:ascii="Calibri" w:hAnsi="Calibri" w:cs="Calibri"/>
                <w:lang w:bidi="en-US"/>
              </w:rPr>
            </w:pPr>
            <w:r w:rsidRPr="00E42C35">
              <w:rPr>
                <w:rFonts w:ascii="Calibri" w:hAnsi="Calibri" w:cs="Calibri"/>
                <w:lang w:bidi="en-US"/>
              </w:rPr>
              <w:lastRenderedPageBreak/>
              <w:t xml:space="preserve">Rule 48 of the draft IT Rules 2026 defines other electronic modes of payment for the purpose inter-alia Schedule VIII [Table: </w:t>
            </w:r>
            <w:r w:rsidRPr="00E42C35">
              <w:rPr>
                <w:rFonts w:ascii="Calibri" w:hAnsi="Calibri" w:cs="Calibri"/>
                <w:bCs/>
                <w:lang w:bidi="en-US"/>
              </w:rPr>
              <w:t>S</w:t>
            </w:r>
            <w:r w:rsidR="00602452" w:rsidRPr="00E42C35">
              <w:rPr>
                <w:rFonts w:ascii="Calibri" w:hAnsi="Calibri" w:cs="Calibri"/>
                <w:bCs/>
                <w:lang w:bidi="en-US"/>
              </w:rPr>
              <w:t>l</w:t>
            </w:r>
            <w:r w:rsidRPr="00E42C35">
              <w:rPr>
                <w:rFonts w:ascii="Calibri" w:hAnsi="Calibri" w:cs="Calibri"/>
                <w:bCs/>
                <w:lang w:bidi="en-US"/>
              </w:rPr>
              <w:t>.</w:t>
            </w:r>
            <w:r w:rsidR="00602452" w:rsidRPr="00E42C35">
              <w:rPr>
                <w:rFonts w:ascii="Calibri" w:hAnsi="Calibri" w:cs="Calibri"/>
                <w:bCs/>
                <w:lang w:bidi="en-US"/>
              </w:rPr>
              <w:t xml:space="preserve"> </w:t>
            </w:r>
            <w:r w:rsidRPr="00E42C35">
              <w:rPr>
                <w:rFonts w:ascii="Calibri" w:hAnsi="Calibri" w:cs="Calibri"/>
                <w:lang w:bidi="en-US"/>
              </w:rPr>
              <w:t>No</w:t>
            </w:r>
            <w:r w:rsidR="00602452" w:rsidRPr="00E42C35">
              <w:rPr>
                <w:rFonts w:ascii="Calibri" w:hAnsi="Calibri" w:cs="Calibri"/>
                <w:bCs/>
                <w:lang w:bidi="en-US"/>
              </w:rPr>
              <w:t>.</w:t>
            </w:r>
            <w:r w:rsidRPr="00E42C35">
              <w:rPr>
                <w:rFonts w:ascii="Calibri" w:hAnsi="Calibri" w:cs="Calibri"/>
                <w:b/>
                <w:lang w:bidi="en-US"/>
              </w:rPr>
              <w:t xml:space="preserve"> 1 </w:t>
            </w:r>
            <w:r w:rsidRPr="00E42C35">
              <w:rPr>
                <w:rFonts w:ascii="Calibri" w:hAnsi="Calibri" w:cs="Calibri"/>
                <w:b/>
                <w:u w:val="single"/>
                <w:lang w:bidi="en-US"/>
              </w:rPr>
              <w:t>clause (e)</w:t>
            </w:r>
            <w:r w:rsidRPr="00E42C35">
              <w:rPr>
                <w:rFonts w:ascii="Calibri" w:hAnsi="Calibri" w:cs="Calibri"/>
                <w:b/>
                <w:lang w:bidi="en-US"/>
              </w:rPr>
              <w:t xml:space="preserve"> of</w:t>
            </w:r>
            <w:r w:rsidRPr="00E42C35">
              <w:rPr>
                <w:rFonts w:ascii="Calibri" w:hAnsi="Calibri" w:cs="Calibri"/>
                <w:lang w:bidi="en-US"/>
              </w:rPr>
              <w:t xml:space="preserve"> column (D)]</w:t>
            </w:r>
          </w:p>
          <w:p w14:paraId="323D422E" w14:textId="77777777" w:rsidR="000814A9" w:rsidRPr="00E42C35" w:rsidRDefault="00C35B10" w:rsidP="00836676">
            <w:pPr>
              <w:pStyle w:val="ListParagraph"/>
              <w:numPr>
                <w:ilvl w:val="0"/>
                <w:numId w:val="6"/>
              </w:numPr>
              <w:spacing w:after="120" w:line="276" w:lineRule="auto"/>
              <w:contextualSpacing w:val="0"/>
              <w:rPr>
                <w:rFonts w:ascii="Calibri" w:hAnsi="Calibri" w:cs="Calibri"/>
                <w:lang w:bidi="en-US"/>
              </w:rPr>
            </w:pPr>
            <w:r w:rsidRPr="00E42C35">
              <w:rPr>
                <w:rFonts w:ascii="Calibri" w:hAnsi="Calibri" w:cs="Calibri"/>
                <w:lang w:bidi="en-US"/>
              </w:rPr>
              <w:t>Schedule VIII to ITA 2025 provides for income not to be included in total income of political party and electoral trust. Column D of Sr. No. 1 provides for conditions to be satisfied to be eligible for exemption. Clause (d) &amp; (e) of Column D reads as follows:</w:t>
            </w:r>
          </w:p>
          <w:p w14:paraId="6F0DF01F" w14:textId="77777777" w:rsidR="000814A9" w:rsidRPr="00E42C35" w:rsidRDefault="000814A9" w:rsidP="00836676">
            <w:pPr>
              <w:pStyle w:val="ListParagraph"/>
              <w:spacing w:after="120" w:line="276" w:lineRule="auto"/>
              <w:contextualSpacing w:val="0"/>
              <w:rPr>
                <w:rFonts w:ascii="Calibri" w:hAnsi="Calibri" w:cs="Calibri"/>
                <w:i/>
                <w:lang w:bidi="en-US"/>
              </w:rPr>
            </w:pPr>
            <w:r w:rsidRPr="00E42C35">
              <w:rPr>
                <w:rFonts w:ascii="Calibri" w:hAnsi="Calibri" w:cs="Calibri"/>
                <w:i/>
                <w:lang w:bidi="en-US"/>
              </w:rPr>
              <w:t xml:space="preserve">“(d) no donation exceeding ₹ 2,000 is received by such political party otherwise than by an account payee cheque drawn on a bank or an account payee bank draft or use of electronic clearing system through a bank account or through such other electronic mode as prescribed or through electoral bond; </w:t>
            </w:r>
          </w:p>
          <w:p w14:paraId="6213A5F8" w14:textId="77777777" w:rsidR="00C35B10" w:rsidRPr="00E42C35" w:rsidRDefault="000814A9" w:rsidP="00836676">
            <w:pPr>
              <w:pStyle w:val="ListParagraph"/>
              <w:spacing w:after="120" w:line="276" w:lineRule="auto"/>
              <w:contextualSpacing w:val="0"/>
              <w:rPr>
                <w:rFonts w:ascii="Calibri" w:hAnsi="Calibri" w:cs="Calibri"/>
                <w:i/>
                <w:lang w:bidi="en-US"/>
              </w:rPr>
            </w:pPr>
            <w:r w:rsidRPr="00E42C35">
              <w:rPr>
                <w:rFonts w:ascii="Calibri" w:hAnsi="Calibri" w:cs="Calibri"/>
                <w:i/>
                <w:lang w:bidi="en-US"/>
              </w:rPr>
              <w:t>(e) the treasurer of such political party or any other person authorised by that political party in this behalf submits a report under section 29C (3) of the Representation of the People Act, 1951 (43 of 1951) for such tax year;”</w:t>
            </w:r>
          </w:p>
          <w:p w14:paraId="030FD336" w14:textId="77777777" w:rsidR="000814A9" w:rsidRPr="00E42C35" w:rsidRDefault="00EC3EB5" w:rsidP="00836676">
            <w:pPr>
              <w:pStyle w:val="ListParagraph"/>
              <w:numPr>
                <w:ilvl w:val="0"/>
                <w:numId w:val="6"/>
              </w:numPr>
              <w:spacing w:after="120" w:line="276" w:lineRule="auto"/>
              <w:contextualSpacing w:val="0"/>
              <w:rPr>
                <w:rFonts w:ascii="Calibri" w:hAnsi="Calibri" w:cs="Calibri"/>
                <w:lang w:bidi="en-US"/>
              </w:rPr>
            </w:pPr>
            <w:r w:rsidRPr="00E42C35">
              <w:rPr>
                <w:rFonts w:ascii="Calibri" w:hAnsi="Calibri" w:cs="Calibri"/>
                <w:lang w:bidi="en-US"/>
              </w:rPr>
              <w:t>As can be seen above, there is no reference to other electronic modes in clause (e). Thus, the reference is misplaced, and clause (d) should be referred.</w:t>
            </w:r>
          </w:p>
          <w:p w14:paraId="02BF89E7" w14:textId="77777777" w:rsidR="005D56A3" w:rsidRPr="00E42C35" w:rsidRDefault="005D56A3" w:rsidP="00836676">
            <w:pPr>
              <w:spacing w:after="120" w:line="276" w:lineRule="auto"/>
              <w:rPr>
                <w:rFonts w:ascii="Calibri" w:hAnsi="Calibri" w:cs="Calibri"/>
                <w:b/>
                <w:lang w:bidi="en-US"/>
              </w:rPr>
            </w:pPr>
            <w:r w:rsidRPr="00E42C35">
              <w:rPr>
                <w:rFonts w:ascii="Calibri" w:hAnsi="Calibri" w:cs="Calibri"/>
                <w:b/>
                <w:lang w:bidi="en-US"/>
              </w:rPr>
              <w:t>Recommendation:</w:t>
            </w:r>
          </w:p>
          <w:p w14:paraId="3B867E93" w14:textId="00F30672" w:rsidR="005D56A3" w:rsidRPr="00E42C35" w:rsidRDefault="005D56A3" w:rsidP="00836676">
            <w:pPr>
              <w:pStyle w:val="ListParagraph"/>
              <w:numPr>
                <w:ilvl w:val="0"/>
                <w:numId w:val="6"/>
              </w:numPr>
              <w:spacing w:after="120" w:line="276" w:lineRule="auto"/>
              <w:contextualSpacing w:val="0"/>
              <w:rPr>
                <w:rFonts w:ascii="Calibri" w:hAnsi="Calibri" w:cs="Calibri"/>
                <w:lang w:bidi="en-US"/>
              </w:rPr>
            </w:pPr>
            <w:r w:rsidRPr="00E42C35">
              <w:rPr>
                <w:rFonts w:ascii="Calibri" w:hAnsi="Calibri" w:cs="Calibri"/>
                <w:lang w:bidi="en-US"/>
              </w:rPr>
              <w:t xml:space="preserve">To ensure internal consistency, it is recommended that the incorrect reference made in Rule 48 be rectified by substituting </w:t>
            </w:r>
            <w:r w:rsidR="00F37068" w:rsidRPr="00E42C35">
              <w:rPr>
                <w:rFonts w:ascii="Calibri" w:hAnsi="Calibri" w:cs="Calibri"/>
                <w:lang w:bidi="en-US"/>
              </w:rPr>
              <w:t xml:space="preserve">“[Table: </w:t>
            </w:r>
            <w:proofErr w:type="spellStart"/>
            <w:r w:rsidR="00F37068" w:rsidRPr="00E42C35">
              <w:rPr>
                <w:rFonts w:ascii="Calibri" w:hAnsi="Calibri" w:cs="Calibri"/>
                <w:lang w:bidi="en-US"/>
              </w:rPr>
              <w:t>Si.No</w:t>
            </w:r>
            <w:proofErr w:type="spellEnd"/>
            <w:r w:rsidR="00F37068" w:rsidRPr="00E42C35">
              <w:rPr>
                <w:rFonts w:ascii="Calibri" w:hAnsi="Calibri" w:cs="Calibri"/>
                <w:lang w:bidi="en-US"/>
              </w:rPr>
              <w:t xml:space="preserve"> 1 </w:t>
            </w:r>
            <w:r w:rsidR="00F37068" w:rsidRPr="00E42C35">
              <w:rPr>
                <w:rFonts w:ascii="Calibri" w:hAnsi="Calibri" w:cs="Calibri"/>
                <w:b/>
                <w:lang w:bidi="en-US"/>
              </w:rPr>
              <w:t>clause (e)</w:t>
            </w:r>
            <w:r w:rsidR="00F37068" w:rsidRPr="00E42C35">
              <w:rPr>
                <w:rFonts w:ascii="Calibri" w:hAnsi="Calibri" w:cs="Calibri"/>
                <w:lang w:bidi="en-US"/>
              </w:rPr>
              <w:t xml:space="preserve"> of column (D)]” with “[Table: </w:t>
            </w:r>
            <w:proofErr w:type="spellStart"/>
            <w:r w:rsidR="00F37068" w:rsidRPr="00E42C35">
              <w:rPr>
                <w:rFonts w:ascii="Calibri" w:hAnsi="Calibri" w:cs="Calibri"/>
                <w:lang w:bidi="en-US"/>
              </w:rPr>
              <w:t>Si.No</w:t>
            </w:r>
            <w:proofErr w:type="spellEnd"/>
            <w:r w:rsidR="00F37068" w:rsidRPr="00E42C35">
              <w:rPr>
                <w:rFonts w:ascii="Calibri" w:hAnsi="Calibri" w:cs="Calibri"/>
                <w:lang w:bidi="en-US"/>
              </w:rPr>
              <w:t xml:space="preserve"> 1 </w:t>
            </w:r>
            <w:r w:rsidR="00F37068" w:rsidRPr="00E42C35">
              <w:rPr>
                <w:rFonts w:ascii="Calibri" w:hAnsi="Calibri" w:cs="Calibri"/>
                <w:b/>
                <w:lang w:bidi="en-US"/>
              </w:rPr>
              <w:t>clause (d)</w:t>
            </w:r>
            <w:r w:rsidR="00F37068" w:rsidRPr="00E42C35">
              <w:rPr>
                <w:rFonts w:ascii="Calibri" w:hAnsi="Calibri" w:cs="Calibri"/>
                <w:lang w:bidi="en-US"/>
              </w:rPr>
              <w:t xml:space="preserve"> of column (D)]”</w:t>
            </w:r>
          </w:p>
        </w:tc>
      </w:tr>
      <w:tr w:rsidR="00AE1653" w:rsidRPr="00E42C35" w14:paraId="1227CEA5" w14:textId="77777777" w:rsidTr="000813D3">
        <w:trPr>
          <w:trHeight w:val="20"/>
        </w:trPr>
        <w:tc>
          <w:tcPr>
            <w:tcW w:w="846" w:type="dxa"/>
            <w:tcBorders>
              <w:top w:val="single" w:sz="4" w:space="0" w:color="auto"/>
              <w:left w:val="single" w:sz="4" w:space="0" w:color="auto"/>
              <w:bottom w:val="single" w:sz="4" w:space="0" w:color="auto"/>
              <w:right w:val="single" w:sz="4" w:space="0" w:color="auto"/>
            </w:tcBorders>
          </w:tcPr>
          <w:p w14:paraId="654BB7B8" w14:textId="77777777" w:rsidR="00AE1653" w:rsidRPr="00E42C35" w:rsidRDefault="00AE1653" w:rsidP="00836676">
            <w:pPr>
              <w:numPr>
                <w:ilvl w:val="0"/>
                <w:numId w:val="2"/>
              </w:numPr>
              <w:spacing w:after="120" w:line="276" w:lineRule="auto"/>
              <w:rPr>
                <w:rFonts w:ascii="Calibri" w:hAnsi="Calibri" w:cs="Calibri"/>
                <w:lang w:bidi="en-US"/>
              </w:rPr>
            </w:pPr>
          </w:p>
        </w:tc>
        <w:tc>
          <w:tcPr>
            <w:tcW w:w="2637" w:type="dxa"/>
            <w:tcBorders>
              <w:top w:val="single" w:sz="4" w:space="0" w:color="auto"/>
              <w:left w:val="single" w:sz="4" w:space="0" w:color="auto"/>
              <w:bottom w:val="single" w:sz="4" w:space="0" w:color="auto"/>
              <w:right w:val="single" w:sz="4" w:space="0" w:color="auto"/>
            </w:tcBorders>
          </w:tcPr>
          <w:p w14:paraId="30CE15A8" w14:textId="77777777" w:rsidR="00AE1653" w:rsidRPr="00E42C35" w:rsidRDefault="00EF2A29" w:rsidP="00836676">
            <w:pPr>
              <w:spacing w:after="120" w:line="276" w:lineRule="auto"/>
              <w:rPr>
                <w:rFonts w:ascii="Calibri" w:hAnsi="Calibri" w:cs="Calibri"/>
                <w:b/>
                <w:lang w:bidi="en-US"/>
              </w:rPr>
            </w:pPr>
            <w:r w:rsidRPr="00E42C35">
              <w:rPr>
                <w:rFonts w:ascii="Calibri" w:hAnsi="Calibri" w:cs="Calibri"/>
                <w:b/>
                <w:lang w:bidi="en-US"/>
              </w:rPr>
              <w:t>Erron</w:t>
            </w:r>
            <w:r w:rsidR="0010209D" w:rsidRPr="00E42C35">
              <w:rPr>
                <w:rFonts w:ascii="Calibri" w:hAnsi="Calibri" w:cs="Calibri"/>
                <w:b/>
                <w:lang w:bidi="en-US"/>
              </w:rPr>
              <w:t>eous reference to old/existing rules to be removed</w:t>
            </w:r>
          </w:p>
          <w:p w14:paraId="47155BA4" w14:textId="699B875F" w:rsidR="0010209D" w:rsidRPr="00E42C35" w:rsidRDefault="00AE5EEC" w:rsidP="00836676">
            <w:pPr>
              <w:spacing w:after="120" w:line="276" w:lineRule="auto"/>
              <w:rPr>
                <w:rFonts w:ascii="Calibri" w:hAnsi="Calibri" w:cs="Calibri"/>
                <w:b/>
              </w:rPr>
            </w:pPr>
            <w:r w:rsidRPr="00E42C35">
              <w:rPr>
                <w:rFonts w:ascii="Calibri" w:hAnsi="Calibri" w:cs="Calibri"/>
                <w:b/>
              </w:rPr>
              <w:t>Rule 6H</w:t>
            </w:r>
            <w:r w:rsidR="003D1CCD" w:rsidRPr="00E42C35">
              <w:rPr>
                <w:rFonts w:ascii="Calibri" w:hAnsi="Calibri" w:cs="Calibri"/>
                <w:b/>
              </w:rPr>
              <w:t xml:space="preserve"> of IT Rules 1962</w:t>
            </w:r>
            <w:r w:rsidRPr="00E42C35">
              <w:rPr>
                <w:rFonts w:ascii="Calibri" w:hAnsi="Calibri" w:cs="Calibri"/>
                <w:b/>
              </w:rPr>
              <w:t xml:space="preserve"> (referred in S. 50B(3)</w:t>
            </w:r>
            <w:r w:rsidR="003D1CCD" w:rsidRPr="00E42C35">
              <w:rPr>
                <w:rFonts w:ascii="Calibri" w:hAnsi="Calibri" w:cs="Calibri"/>
                <w:b/>
              </w:rPr>
              <w:t xml:space="preserve"> of ITA 1961</w:t>
            </w:r>
            <w:r w:rsidRPr="00E42C35">
              <w:rPr>
                <w:rFonts w:ascii="Calibri" w:hAnsi="Calibri" w:cs="Calibri"/>
                <w:b/>
              </w:rPr>
              <w:t>)</w:t>
            </w:r>
          </w:p>
          <w:p w14:paraId="24D3F266" w14:textId="41696B3C" w:rsidR="00AE5EEC" w:rsidRPr="00E42C35" w:rsidRDefault="003D1CCD" w:rsidP="00836676">
            <w:pPr>
              <w:spacing w:after="120" w:line="276" w:lineRule="auto"/>
              <w:rPr>
                <w:rFonts w:ascii="Calibri" w:hAnsi="Calibri" w:cs="Calibri"/>
                <w:b/>
                <w:lang w:bidi="en-US"/>
              </w:rPr>
            </w:pPr>
            <w:r w:rsidRPr="00E42C35">
              <w:rPr>
                <w:rFonts w:ascii="Calibri" w:hAnsi="Calibri" w:cs="Calibri"/>
                <w:b/>
              </w:rPr>
              <w:lastRenderedPageBreak/>
              <w:t>Rule 54 of Draft IT Rules 2026 (referred in S. 77(4) of ITA 2025)</w:t>
            </w:r>
          </w:p>
        </w:tc>
        <w:tc>
          <w:tcPr>
            <w:tcW w:w="0" w:type="auto"/>
            <w:tcBorders>
              <w:top w:val="single" w:sz="4" w:space="0" w:color="auto"/>
              <w:left w:val="single" w:sz="4" w:space="0" w:color="auto"/>
              <w:bottom w:val="single" w:sz="4" w:space="0" w:color="auto"/>
              <w:right w:val="single" w:sz="4" w:space="0" w:color="auto"/>
            </w:tcBorders>
          </w:tcPr>
          <w:p w14:paraId="4F83300A" w14:textId="77777777" w:rsidR="00AE1653" w:rsidRPr="00E42C35" w:rsidRDefault="00E67A28" w:rsidP="00836676">
            <w:pPr>
              <w:spacing w:after="120" w:line="276" w:lineRule="auto"/>
              <w:rPr>
                <w:rFonts w:ascii="Calibri" w:hAnsi="Calibri" w:cs="Calibri"/>
                <w:b/>
                <w:lang w:bidi="en-US"/>
              </w:rPr>
            </w:pPr>
            <w:r w:rsidRPr="00E42C35">
              <w:rPr>
                <w:rFonts w:ascii="Calibri" w:hAnsi="Calibri" w:cs="Calibri"/>
                <w:b/>
                <w:lang w:bidi="en-US"/>
              </w:rPr>
              <w:lastRenderedPageBreak/>
              <w:t>Rationale:</w:t>
            </w:r>
          </w:p>
          <w:p w14:paraId="4F44E8A5" w14:textId="1B9BFC24" w:rsidR="00B4187F" w:rsidRPr="00E42C35" w:rsidRDefault="00B4187F" w:rsidP="00836676">
            <w:pPr>
              <w:pStyle w:val="ListParagraph"/>
              <w:numPr>
                <w:ilvl w:val="0"/>
                <w:numId w:val="6"/>
              </w:numPr>
              <w:spacing w:after="120" w:line="276" w:lineRule="auto"/>
              <w:contextualSpacing w:val="0"/>
              <w:rPr>
                <w:rFonts w:ascii="Calibri" w:hAnsi="Calibri" w:cs="Calibri"/>
                <w:lang w:bidi="en-US"/>
              </w:rPr>
            </w:pPr>
            <w:r w:rsidRPr="00E42C35">
              <w:rPr>
                <w:rFonts w:ascii="Calibri" w:hAnsi="Calibri" w:cs="Calibri"/>
                <w:lang w:bidi="en-US"/>
              </w:rPr>
              <w:t xml:space="preserve">The revised Rule 54 of the Draft IT Rules, 2026, mistakenly starts with the text "6H." – which actually belongs to the existing Rule 6H under the erstwhile IT Rules, 1962. Although Rule 54 is meant to be independent in the new framework, this error causes confusion by incorrectly connecting it to the previous numbering system. </w:t>
            </w:r>
          </w:p>
          <w:p w14:paraId="4355532D" w14:textId="37DD8116" w:rsidR="00B4187F" w:rsidRPr="00E42C35" w:rsidRDefault="00B4187F" w:rsidP="00836676">
            <w:pPr>
              <w:spacing w:after="120" w:line="276" w:lineRule="auto"/>
              <w:rPr>
                <w:rFonts w:ascii="Calibri" w:hAnsi="Calibri" w:cs="Calibri"/>
                <w:b/>
                <w:lang w:bidi="en-US"/>
              </w:rPr>
            </w:pPr>
            <w:r w:rsidRPr="00E42C35">
              <w:rPr>
                <w:rFonts w:ascii="Calibri" w:hAnsi="Calibri" w:cs="Calibri"/>
                <w:b/>
                <w:lang w:bidi="en-US"/>
              </w:rPr>
              <w:t>Recommendation:</w:t>
            </w:r>
          </w:p>
          <w:p w14:paraId="720703C0" w14:textId="29AC3A4A" w:rsidR="00E67A28" w:rsidRPr="00E42C35" w:rsidRDefault="00B4187F" w:rsidP="00836676">
            <w:pPr>
              <w:pStyle w:val="ListParagraph"/>
              <w:numPr>
                <w:ilvl w:val="0"/>
                <w:numId w:val="6"/>
              </w:numPr>
              <w:spacing w:after="120" w:line="276" w:lineRule="auto"/>
              <w:contextualSpacing w:val="0"/>
              <w:rPr>
                <w:rFonts w:ascii="Calibri" w:hAnsi="Calibri" w:cs="Calibri"/>
                <w:lang w:bidi="en-US"/>
              </w:rPr>
            </w:pPr>
            <w:r w:rsidRPr="00E42C35">
              <w:rPr>
                <w:rFonts w:ascii="Calibri" w:hAnsi="Calibri" w:cs="Calibri"/>
                <w:lang w:bidi="en-US"/>
              </w:rPr>
              <w:lastRenderedPageBreak/>
              <w:t>The residual reference “6H.” should be deleted from revised Rule 54 to ensure clarity, accuracy, and proper alignment with the structure of the 2026 Rules.</w:t>
            </w:r>
          </w:p>
        </w:tc>
      </w:tr>
      <w:tr w:rsidR="00AE1653" w:rsidRPr="00E42C35" w14:paraId="1D94996E" w14:textId="77777777" w:rsidTr="000813D3">
        <w:trPr>
          <w:trHeight w:val="20"/>
        </w:trPr>
        <w:tc>
          <w:tcPr>
            <w:tcW w:w="846" w:type="dxa"/>
            <w:tcBorders>
              <w:top w:val="single" w:sz="4" w:space="0" w:color="auto"/>
              <w:left w:val="single" w:sz="4" w:space="0" w:color="auto"/>
              <w:bottom w:val="single" w:sz="4" w:space="0" w:color="auto"/>
              <w:right w:val="single" w:sz="4" w:space="0" w:color="auto"/>
            </w:tcBorders>
          </w:tcPr>
          <w:p w14:paraId="6DFABA8D" w14:textId="77777777" w:rsidR="00AE1653" w:rsidRPr="00E42C35" w:rsidRDefault="00AE1653" w:rsidP="00836676">
            <w:pPr>
              <w:numPr>
                <w:ilvl w:val="0"/>
                <w:numId w:val="2"/>
              </w:numPr>
              <w:spacing w:after="120" w:line="276" w:lineRule="auto"/>
              <w:rPr>
                <w:rFonts w:ascii="Calibri" w:hAnsi="Calibri" w:cs="Calibri"/>
                <w:lang w:bidi="en-US"/>
              </w:rPr>
            </w:pPr>
          </w:p>
        </w:tc>
        <w:tc>
          <w:tcPr>
            <w:tcW w:w="2637" w:type="dxa"/>
            <w:tcBorders>
              <w:top w:val="single" w:sz="4" w:space="0" w:color="auto"/>
              <w:left w:val="single" w:sz="4" w:space="0" w:color="auto"/>
              <w:bottom w:val="single" w:sz="4" w:space="0" w:color="auto"/>
              <w:right w:val="single" w:sz="4" w:space="0" w:color="auto"/>
            </w:tcBorders>
          </w:tcPr>
          <w:p w14:paraId="5C9D3B22" w14:textId="77777777" w:rsidR="00D71424" w:rsidRPr="00E42C35" w:rsidRDefault="00D71424" w:rsidP="00836676">
            <w:pPr>
              <w:spacing w:after="120" w:line="276" w:lineRule="auto"/>
              <w:rPr>
                <w:rFonts w:ascii="Calibri" w:hAnsi="Calibri" w:cs="Calibri"/>
                <w:b/>
                <w:lang w:bidi="en-US"/>
              </w:rPr>
            </w:pPr>
            <w:r w:rsidRPr="00E42C35">
              <w:rPr>
                <w:rFonts w:ascii="Calibri" w:hAnsi="Calibri" w:cs="Calibri"/>
                <w:b/>
                <w:lang w:bidi="en-US"/>
              </w:rPr>
              <w:t>Rectification of incorrect reference to Rule no.</w:t>
            </w:r>
          </w:p>
          <w:p w14:paraId="7CFF094B" w14:textId="77777777" w:rsidR="008C06EF" w:rsidRPr="00E42C35" w:rsidRDefault="007321F3" w:rsidP="00836676">
            <w:pPr>
              <w:spacing w:after="120" w:line="276" w:lineRule="auto"/>
              <w:rPr>
                <w:rFonts w:ascii="Calibri" w:hAnsi="Calibri" w:cs="Calibri"/>
                <w:b/>
                <w:lang w:bidi="en-US"/>
              </w:rPr>
            </w:pPr>
            <w:r w:rsidRPr="00E42C35">
              <w:rPr>
                <w:rFonts w:ascii="Calibri" w:hAnsi="Calibri" w:cs="Calibri"/>
                <w:b/>
                <w:lang w:bidi="en-US"/>
              </w:rPr>
              <w:t xml:space="preserve">Rule 10B of IT Rules 1962 </w:t>
            </w:r>
          </w:p>
          <w:p w14:paraId="46D3AA5C" w14:textId="46E2A833" w:rsidR="00AE1653" w:rsidRPr="00E42C35" w:rsidRDefault="007321F3" w:rsidP="00836676">
            <w:pPr>
              <w:spacing w:after="120" w:line="276" w:lineRule="auto"/>
              <w:rPr>
                <w:rFonts w:ascii="Calibri" w:hAnsi="Calibri" w:cs="Calibri"/>
                <w:b/>
                <w:lang w:bidi="en-US"/>
              </w:rPr>
            </w:pPr>
            <w:r w:rsidRPr="00E42C35">
              <w:rPr>
                <w:rFonts w:ascii="Calibri" w:hAnsi="Calibri" w:cs="Calibri"/>
                <w:b/>
                <w:lang w:bidi="en-US"/>
              </w:rPr>
              <w:t xml:space="preserve">Rule </w:t>
            </w:r>
            <w:r w:rsidR="00060F30" w:rsidRPr="00E42C35">
              <w:rPr>
                <w:rFonts w:ascii="Calibri" w:hAnsi="Calibri" w:cs="Calibri"/>
                <w:b/>
                <w:lang w:bidi="en-US"/>
              </w:rPr>
              <w:t>79 of the Draft IT Rules 2026</w:t>
            </w:r>
          </w:p>
        </w:tc>
        <w:tc>
          <w:tcPr>
            <w:tcW w:w="0" w:type="auto"/>
            <w:tcBorders>
              <w:top w:val="single" w:sz="4" w:space="0" w:color="auto"/>
              <w:left w:val="single" w:sz="4" w:space="0" w:color="auto"/>
              <w:bottom w:val="single" w:sz="4" w:space="0" w:color="auto"/>
              <w:right w:val="single" w:sz="4" w:space="0" w:color="auto"/>
            </w:tcBorders>
          </w:tcPr>
          <w:p w14:paraId="50D79803" w14:textId="77777777" w:rsidR="008C06EF" w:rsidRPr="00E42C35" w:rsidRDefault="00AD52A4" w:rsidP="00836676">
            <w:pPr>
              <w:spacing w:after="120" w:line="276" w:lineRule="auto"/>
              <w:rPr>
                <w:rFonts w:ascii="Calibri" w:hAnsi="Calibri" w:cs="Calibri"/>
                <w:b/>
                <w:lang w:bidi="en-US"/>
              </w:rPr>
            </w:pPr>
            <w:r w:rsidRPr="00E42C35">
              <w:rPr>
                <w:rFonts w:ascii="Calibri" w:hAnsi="Calibri" w:cs="Calibri"/>
                <w:b/>
                <w:lang w:bidi="en-US"/>
              </w:rPr>
              <w:t>Rationale:</w:t>
            </w:r>
          </w:p>
          <w:p w14:paraId="0D8AE83B" w14:textId="547746AE" w:rsidR="00AD52A4" w:rsidRPr="00E42C35" w:rsidRDefault="00AD52A4" w:rsidP="00836676">
            <w:pPr>
              <w:pStyle w:val="ListParagraph"/>
              <w:numPr>
                <w:ilvl w:val="0"/>
                <w:numId w:val="6"/>
              </w:numPr>
              <w:spacing w:after="120" w:line="276" w:lineRule="auto"/>
              <w:contextualSpacing w:val="0"/>
              <w:rPr>
                <w:rFonts w:ascii="Calibri" w:hAnsi="Calibri" w:cs="Calibri"/>
                <w:lang w:bidi="en-US"/>
              </w:rPr>
            </w:pPr>
            <w:r w:rsidRPr="00E42C35">
              <w:rPr>
                <w:rFonts w:ascii="Calibri" w:hAnsi="Calibri" w:cs="Calibri"/>
                <w:lang w:bidi="en-US"/>
              </w:rPr>
              <w:t>Rule 79(5) states that in a case where the most appropriate method for determination of the arm's length price of an international transaction or a specified domestic transaction is resale price method or cost plus method or transactional net margin method, then, irrespective of anything contained in sub-rule (10), the data to be used for analysing the comparability of an uncontrolled transaction with an international transaction or a specified domestic transaction shall be...</w:t>
            </w:r>
          </w:p>
          <w:p w14:paraId="77F7C19E" w14:textId="77777777" w:rsidR="00AD52A4" w:rsidRPr="00E42C35" w:rsidRDefault="00AD52A4" w:rsidP="00836676">
            <w:pPr>
              <w:pStyle w:val="ListParagraph"/>
              <w:numPr>
                <w:ilvl w:val="0"/>
                <w:numId w:val="6"/>
              </w:numPr>
              <w:spacing w:after="120" w:line="276" w:lineRule="auto"/>
              <w:contextualSpacing w:val="0"/>
              <w:rPr>
                <w:rFonts w:ascii="Calibri" w:hAnsi="Calibri" w:cs="Calibri"/>
                <w:b/>
                <w:lang w:bidi="en-US"/>
              </w:rPr>
            </w:pPr>
            <w:r w:rsidRPr="00E42C35">
              <w:rPr>
                <w:rFonts w:ascii="Calibri" w:hAnsi="Calibri" w:cs="Calibri"/>
                <w:lang w:bidi="en-US"/>
              </w:rPr>
              <w:t>Correction - sub-rule (10) should be substituted with sub-rule (4)</w:t>
            </w:r>
          </w:p>
          <w:p w14:paraId="571C6E08" w14:textId="77777777" w:rsidR="008B6AA9" w:rsidRPr="00E42C35" w:rsidRDefault="008B6AA9" w:rsidP="00836676">
            <w:pPr>
              <w:spacing w:after="120" w:line="276" w:lineRule="auto"/>
              <w:rPr>
                <w:rFonts w:ascii="Calibri" w:hAnsi="Calibri" w:cs="Calibri"/>
                <w:b/>
                <w:lang w:bidi="en-US"/>
              </w:rPr>
            </w:pPr>
            <w:r w:rsidRPr="00E42C35">
              <w:rPr>
                <w:rFonts w:ascii="Calibri" w:hAnsi="Calibri" w:cs="Calibri"/>
                <w:b/>
                <w:lang w:bidi="en-US"/>
              </w:rPr>
              <w:t>Recommendation:</w:t>
            </w:r>
          </w:p>
          <w:p w14:paraId="413B5E11" w14:textId="515AFFF7" w:rsidR="00AE1653" w:rsidRPr="00E42C35" w:rsidRDefault="0076597D" w:rsidP="00836676">
            <w:pPr>
              <w:pStyle w:val="ListParagraph"/>
              <w:numPr>
                <w:ilvl w:val="0"/>
                <w:numId w:val="8"/>
              </w:numPr>
              <w:spacing w:after="120" w:line="276" w:lineRule="auto"/>
              <w:contextualSpacing w:val="0"/>
              <w:rPr>
                <w:rFonts w:ascii="Calibri" w:hAnsi="Calibri" w:cs="Calibri"/>
                <w:lang w:bidi="en-US"/>
              </w:rPr>
            </w:pPr>
            <w:r w:rsidRPr="00E42C35">
              <w:rPr>
                <w:rFonts w:ascii="Calibri" w:hAnsi="Calibri" w:cs="Calibri"/>
                <w:lang w:bidi="en-US"/>
              </w:rPr>
              <w:t>Correction – In Rule 79, sub-rule (10) should be substituted with sub-rule (4)</w:t>
            </w:r>
          </w:p>
        </w:tc>
      </w:tr>
      <w:tr w:rsidR="00AE1653" w:rsidRPr="00E42C35" w14:paraId="43AC5A11" w14:textId="77777777" w:rsidTr="000813D3">
        <w:trPr>
          <w:trHeight w:val="20"/>
        </w:trPr>
        <w:tc>
          <w:tcPr>
            <w:tcW w:w="846" w:type="dxa"/>
            <w:tcBorders>
              <w:top w:val="single" w:sz="4" w:space="0" w:color="auto"/>
              <w:left w:val="single" w:sz="4" w:space="0" w:color="auto"/>
              <w:bottom w:val="single" w:sz="4" w:space="0" w:color="auto"/>
              <w:right w:val="single" w:sz="4" w:space="0" w:color="auto"/>
            </w:tcBorders>
          </w:tcPr>
          <w:p w14:paraId="2992C4D6" w14:textId="77777777" w:rsidR="00AE1653" w:rsidRPr="00E42C35" w:rsidRDefault="00AE1653" w:rsidP="00836676">
            <w:pPr>
              <w:numPr>
                <w:ilvl w:val="0"/>
                <w:numId w:val="2"/>
              </w:numPr>
              <w:spacing w:after="120" w:line="276" w:lineRule="auto"/>
              <w:rPr>
                <w:rFonts w:ascii="Calibri" w:hAnsi="Calibri" w:cs="Calibri"/>
                <w:lang w:bidi="en-US"/>
              </w:rPr>
            </w:pPr>
          </w:p>
        </w:tc>
        <w:tc>
          <w:tcPr>
            <w:tcW w:w="2637" w:type="dxa"/>
            <w:tcBorders>
              <w:top w:val="single" w:sz="4" w:space="0" w:color="auto"/>
              <w:left w:val="single" w:sz="4" w:space="0" w:color="auto"/>
              <w:bottom w:val="single" w:sz="4" w:space="0" w:color="auto"/>
              <w:right w:val="single" w:sz="4" w:space="0" w:color="auto"/>
            </w:tcBorders>
          </w:tcPr>
          <w:p w14:paraId="4A3436BB" w14:textId="77777777" w:rsidR="00E07320" w:rsidRPr="00E42C35" w:rsidRDefault="00E07320" w:rsidP="00E07320">
            <w:pPr>
              <w:spacing w:after="120" w:line="276" w:lineRule="auto"/>
              <w:rPr>
                <w:rFonts w:ascii="Calibri" w:hAnsi="Calibri" w:cs="Calibri"/>
                <w:b/>
                <w:lang w:bidi="en-US"/>
              </w:rPr>
            </w:pPr>
            <w:r w:rsidRPr="00E42C35">
              <w:rPr>
                <w:rFonts w:ascii="Calibri" w:hAnsi="Calibri" w:cs="Calibri"/>
                <w:b/>
                <w:lang w:bidi="en-US"/>
              </w:rPr>
              <w:t>Rectification of incorrect reference to Rule no.</w:t>
            </w:r>
          </w:p>
          <w:p w14:paraId="585F03A1" w14:textId="77777777" w:rsidR="00AE1653" w:rsidRPr="00E42C35" w:rsidRDefault="002414D3" w:rsidP="00836676">
            <w:pPr>
              <w:spacing w:after="120" w:line="276" w:lineRule="auto"/>
              <w:rPr>
                <w:rFonts w:ascii="Calibri" w:hAnsi="Calibri" w:cs="Calibri"/>
                <w:b/>
                <w:lang w:bidi="en-US"/>
              </w:rPr>
            </w:pPr>
            <w:r w:rsidRPr="00E42C35">
              <w:rPr>
                <w:rFonts w:ascii="Calibri" w:hAnsi="Calibri" w:cs="Calibri"/>
                <w:b/>
                <w:lang w:bidi="en-US"/>
              </w:rPr>
              <w:t>Rule 21AJA of IT Rules 1962 (Section 10(4D) of ITA 1961)</w:t>
            </w:r>
          </w:p>
          <w:p w14:paraId="7E960F18" w14:textId="30D9B671" w:rsidR="002414D3" w:rsidRPr="00E42C35" w:rsidRDefault="00216C2C" w:rsidP="00836676">
            <w:pPr>
              <w:spacing w:after="120" w:line="276" w:lineRule="auto"/>
              <w:rPr>
                <w:rFonts w:ascii="Calibri" w:hAnsi="Calibri" w:cs="Calibri"/>
                <w:b/>
                <w:lang w:bidi="en-US"/>
              </w:rPr>
            </w:pPr>
            <w:r w:rsidRPr="00E42C35">
              <w:rPr>
                <w:rFonts w:ascii="Calibri" w:hAnsi="Calibri" w:cs="Calibri"/>
                <w:b/>
                <w:lang w:bidi="en-US"/>
              </w:rPr>
              <w:t>Rule 142 of Draft IT Rules 1962 (Schedule VI Note 1(g)(ii)(B) to ITA 2025)</w:t>
            </w:r>
          </w:p>
        </w:tc>
        <w:tc>
          <w:tcPr>
            <w:tcW w:w="0" w:type="auto"/>
            <w:tcBorders>
              <w:top w:val="single" w:sz="4" w:space="0" w:color="auto"/>
              <w:left w:val="single" w:sz="4" w:space="0" w:color="auto"/>
              <w:bottom w:val="single" w:sz="4" w:space="0" w:color="auto"/>
              <w:right w:val="single" w:sz="4" w:space="0" w:color="auto"/>
            </w:tcBorders>
          </w:tcPr>
          <w:p w14:paraId="1C0A5636" w14:textId="77777777" w:rsidR="00AE1653" w:rsidRPr="00E42C35" w:rsidRDefault="0069696F" w:rsidP="00836676">
            <w:pPr>
              <w:spacing w:after="120" w:line="276" w:lineRule="auto"/>
              <w:rPr>
                <w:rFonts w:ascii="Calibri" w:hAnsi="Calibri" w:cs="Calibri"/>
                <w:b/>
                <w:lang w:bidi="en-US"/>
              </w:rPr>
            </w:pPr>
            <w:r w:rsidRPr="00E42C35">
              <w:rPr>
                <w:rFonts w:ascii="Calibri" w:hAnsi="Calibri" w:cs="Calibri"/>
                <w:b/>
                <w:lang w:bidi="en-US"/>
              </w:rPr>
              <w:t>Rationale:</w:t>
            </w:r>
          </w:p>
          <w:p w14:paraId="7DDC2CC7" w14:textId="77777777" w:rsidR="0069696F" w:rsidRPr="00E42C35" w:rsidRDefault="0069696F" w:rsidP="00624BBC">
            <w:pPr>
              <w:pStyle w:val="ListParagraph"/>
              <w:numPr>
                <w:ilvl w:val="0"/>
                <w:numId w:val="8"/>
              </w:numPr>
              <w:spacing w:after="120" w:line="276" w:lineRule="auto"/>
              <w:contextualSpacing w:val="0"/>
              <w:rPr>
                <w:rFonts w:ascii="Calibri" w:hAnsi="Calibri" w:cs="Calibri"/>
                <w:bCs/>
                <w:lang w:bidi="en-US"/>
              </w:rPr>
            </w:pPr>
            <w:r w:rsidRPr="00E42C35">
              <w:rPr>
                <w:rFonts w:ascii="Calibri" w:hAnsi="Calibri" w:cs="Calibri"/>
                <w:bCs/>
                <w:lang w:bidi="en-US"/>
              </w:rPr>
              <w:t>In Rule 142(2) refers that exemption would be available only upon satisfaction of conditions specified in sub-rule (3) and (4). However, there is sub-rule (3) does not have any conditions and there is no sub-rule (4) in Rule 142. The condition regarding filling of Form 70 is specified in Rule 141(3).</w:t>
            </w:r>
          </w:p>
          <w:p w14:paraId="75FF01E1" w14:textId="7C617101" w:rsidR="00E07320" w:rsidRPr="00E42C35" w:rsidRDefault="00E07320" w:rsidP="00E07320">
            <w:pPr>
              <w:spacing w:after="120" w:line="276" w:lineRule="auto"/>
              <w:rPr>
                <w:rFonts w:ascii="Calibri" w:hAnsi="Calibri" w:cs="Calibri"/>
                <w:b/>
                <w:lang w:bidi="en-US"/>
              </w:rPr>
            </w:pPr>
            <w:r w:rsidRPr="00E42C35">
              <w:rPr>
                <w:rFonts w:ascii="Calibri" w:hAnsi="Calibri" w:cs="Calibri"/>
                <w:b/>
                <w:lang w:bidi="en-US"/>
              </w:rPr>
              <w:t>Recommendation:</w:t>
            </w:r>
          </w:p>
          <w:p w14:paraId="5DCE0540" w14:textId="04071A0F" w:rsidR="0069696F" w:rsidRPr="00E42C35" w:rsidRDefault="00E07320" w:rsidP="00624BBC">
            <w:pPr>
              <w:pStyle w:val="ListParagraph"/>
              <w:numPr>
                <w:ilvl w:val="0"/>
                <w:numId w:val="8"/>
              </w:numPr>
              <w:spacing w:after="120" w:line="276" w:lineRule="auto"/>
              <w:contextualSpacing w:val="0"/>
              <w:rPr>
                <w:rFonts w:ascii="Calibri" w:hAnsi="Calibri" w:cs="Calibri"/>
                <w:bCs/>
                <w:lang w:bidi="en-US"/>
              </w:rPr>
            </w:pPr>
            <w:r w:rsidRPr="00E42C35">
              <w:rPr>
                <w:rFonts w:ascii="Calibri" w:hAnsi="Calibri" w:cs="Calibri"/>
                <w:bCs/>
                <w:lang w:bidi="en-US"/>
              </w:rPr>
              <w:t>In Rule 142(2), referencing of sub-rule to be updated to ‘sub-rule (3) of Rule 141’</w:t>
            </w:r>
          </w:p>
        </w:tc>
      </w:tr>
      <w:tr w:rsidR="00DF7281" w:rsidRPr="00E42C35" w14:paraId="733F299E" w14:textId="77777777" w:rsidTr="000813D3">
        <w:trPr>
          <w:trHeight w:val="20"/>
        </w:trPr>
        <w:tc>
          <w:tcPr>
            <w:tcW w:w="846" w:type="dxa"/>
            <w:tcBorders>
              <w:top w:val="single" w:sz="4" w:space="0" w:color="auto"/>
              <w:left w:val="single" w:sz="4" w:space="0" w:color="auto"/>
              <w:bottom w:val="single" w:sz="4" w:space="0" w:color="auto"/>
              <w:right w:val="single" w:sz="4" w:space="0" w:color="auto"/>
            </w:tcBorders>
          </w:tcPr>
          <w:p w14:paraId="36FAD9D3" w14:textId="77777777" w:rsidR="00DF7281" w:rsidRPr="00E42C35" w:rsidRDefault="00DF7281" w:rsidP="00836676">
            <w:pPr>
              <w:numPr>
                <w:ilvl w:val="0"/>
                <w:numId w:val="2"/>
              </w:numPr>
              <w:spacing w:after="120" w:line="276" w:lineRule="auto"/>
              <w:rPr>
                <w:rFonts w:ascii="Calibri" w:hAnsi="Calibri" w:cs="Calibri"/>
                <w:lang w:bidi="en-US"/>
              </w:rPr>
            </w:pPr>
          </w:p>
        </w:tc>
        <w:tc>
          <w:tcPr>
            <w:tcW w:w="2637" w:type="dxa"/>
            <w:tcBorders>
              <w:top w:val="single" w:sz="4" w:space="0" w:color="auto"/>
              <w:left w:val="single" w:sz="4" w:space="0" w:color="auto"/>
              <w:bottom w:val="single" w:sz="4" w:space="0" w:color="auto"/>
              <w:right w:val="single" w:sz="4" w:space="0" w:color="auto"/>
            </w:tcBorders>
          </w:tcPr>
          <w:p w14:paraId="112E5AC5" w14:textId="77777777" w:rsidR="00DF7281" w:rsidRPr="00E42C35" w:rsidRDefault="00DF7281" w:rsidP="00836676">
            <w:pPr>
              <w:spacing w:after="120" w:line="276" w:lineRule="auto"/>
              <w:rPr>
                <w:rFonts w:ascii="Calibri" w:hAnsi="Calibri" w:cs="Calibri"/>
                <w:b/>
                <w:lang w:bidi="en-US"/>
              </w:rPr>
            </w:pPr>
            <w:r w:rsidRPr="00E42C35">
              <w:rPr>
                <w:rFonts w:ascii="Calibri" w:eastAsia="Times New Roman" w:hAnsi="Calibri" w:cs="Calibri"/>
                <w:b/>
                <w:color w:val="000000"/>
                <w:kern w:val="0"/>
                <w:lang w:eastAsia="en-IN"/>
                <w14:ligatures w14:val="none"/>
              </w:rPr>
              <w:t>Faceless assessment framework</w:t>
            </w:r>
          </w:p>
          <w:p w14:paraId="1C0A9BA4" w14:textId="77777777" w:rsidR="00DF7281" w:rsidRPr="00E42C35" w:rsidRDefault="00DF7281" w:rsidP="00836676">
            <w:pPr>
              <w:spacing w:after="120" w:line="276" w:lineRule="auto"/>
              <w:rPr>
                <w:rFonts w:ascii="Calibri" w:eastAsia="Times New Roman" w:hAnsi="Calibri" w:cs="Calibri"/>
                <w:b/>
                <w:color w:val="000000"/>
                <w:kern w:val="0"/>
                <w:lang w:eastAsia="en-IN"/>
                <w14:ligatures w14:val="none"/>
              </w:rPr>
            </w:pPr>
            <w:r w:rsidRPr="00E42C35">
              <w:rPr>
                <w:rFonts w:ascii="Calibri" w:eastAsia="Times New Roman" w:hAnsi="Calibri" w:cs="Calibri"/>
                <w:b/>
                <w:color w:val="000000"/>
                <w:kern w:val="0"/>
                <w:lang w:eastAsia="en-IN"/>
                <w14:ligatures w14:val="none"/>
              </w:rPr>
              <w:lastRenderedPageBreak/>
              <w:t>Section 144B of the Income Tax Act, 1961, Rule 176 of Draft IT Rules 2026</w:t>
            </w:r>
          </w:p>
          <w:p w14:paraId="508353C9" w14:textId="77777777" w:rsidR="00DF7281" w:rsidRPr="00E42C35" w:rsidRDefault="00DF7281" w:rsidP="00836676">
            <w:pPr>
              <w:spacing w:after="120" w:line="276" w:lineRule="auto"/>
              <w:rPr>
                <w:rFonts w:ascii="Calibri" w:hAnsi="Calibri" w:cs="Calibri"/>
                <w:b/>
                <w:lang w:bidi="en-US"/>
              </w:rPr>
            </w:pPr>
          </w:p>
        </w:tc>
        <w:tc>
          <w:tcPr>
            <w:tcW w:w="0" w:type="auto"/>
            <w:tcBorders>
              <w:top w:val="single" w:sz="4" w:space="0" w:color="auto"/>
              <w:left w:val="single" w:sz="4" w:space="0" w:color="auto"/>
              <w:bottom w:val="single" w:sz="4" w:space="0" w:color="auto"/>
              <w:right w:val="single" w:sz="4" w:space="0" w:color="auto"/>
            </w:tcBorders>
          </w:tcPr>
          <w:p w14:paraId="5E01AAA8" w14:textId="77777777" w:rsidR="00DF7281" w:rsidRPr="00E42C35" w:rsidRDefault="00DF7281" w:rsidP="00836676">
            <w:pPr>
              <w:spacing w:after="120" w:line="276" w:lineRule="auto"/>
              <w:rPr>
                <w:rFonts w:ascii="Calibri" w:hAnsi="Calibri" w:cs="Calibri"/>
                <w:b/>
                <w:lang w:bidi="en-US"/>
              </w:rPr>
            </w:pPr>
            <w:r w:rsidRPr="00E42C35">
              <w:rPr>
                <w:rFonts w:ascii="Calibri" w:hAnsi="Calibri" w:cs="Calibri"/>
                <w:b/>
                <w:lang w:bidi="en-US"/>
              </w:rPr>
              <w:lastRenderedPageBreak/>
              <w:t xml:space="preserve">Rationale </w:t>
            </w:r>
          </w:p>
          <w:p w14:paraId="00F173CD" w14:textId="77777777" w:rsidR="00DF7281" w:rsidRPr="00E42C35" w:rsidRDefault="00DF7281" w:rsidP="00836676">
            <w:pPr>
              <w:numPr>
                <w:ilvl w:val="0"/>
                <w:numId w:val="3"/>
              </w:numPr>
              <w:spacing w:after="120" w:line="276" w:lineRule="auto"/>
              <w:rPr>
                <w:rFonts w:ascii="Calibri" w:eastAsia="Times New Roman" w:hAnsi="Calibri" w:cs="Calibri"/>
                <w:color w:val="000000"/>
                <w:kern w:val="0"/>
                <w:lang w:eastAsia="en-IN"/>
                <w14:ligatures w14:val="none"/>
              </w:rPr>
            </w:pPr>
            <w:r w:rsidRPr="00E42C35">
              <w:rPr>
                <w:rFonts w:ascii="Calibri" w:eastAsia="Times New Roman" w:hAnsi="Calibri" w:cs="Calibri"/>
                <w:color w:val="000000"/>
                <w:kern w:val="0"/>
                <w:lang w:eastAsia="en-IN"/>
                <w14:ligatures w14:val="none"/>
              </w:rPr>
              <w:lastRenderedPageBreak/>
              <w:t>Draft Rule 176 operationalises the faceless assessment framework under the Income-tax Act, 2025. However, certain drafting inconsistencies require correction to ensure procedural clarity and alignment with legislative intent.</w:t>
            </w:r>
          </w:p>
          <w:p w14:paraId="3A86D81A" w14:textId="77777777" w:rsidR="00DF7281" w:rsidRPr="00E42C35" w:rsidRDefault="00DF7281" w:rsidP="00836676">
            <w:pPr>
              <w:numPr>
                <w:ilvl w:val="0"/>
                <w:numId w:val="3"/>
              </w:numPr>
              <w:spacing w:after="120" w:line="276" w:lineRule="auto"/>
              <w:rPr>
                <w:rFonts w:ascii="Calibri" w:eastAsia="Times New Roman" w:hAnsi="Calibri" w:cs="Calibri"/>
                <w:color w:val="000000"/>
                <w:kern w:val="0"/>
                <w:lang w:eastAsia="en-IN"/>
                <w14:ligatures w14:val="none"/>
              </w:rPr>
            </w:pPr>
            <w:r w:rsidRPr="00E42C35">
              <w:rPr>
                <w:rFonts w:ascii="Calibri" w:eastAsia="Times New Roman" w:hAnsi="Calibri" w:cs="Calibri"/>
                <w:color w:val="000000"/>
                <w:kern w:val="0"/>
                <w:lang w:eastAsia="en-IN"/>
                <w14:ligatures w14:val="none"/>
              </w:rPr>
              <w:t xml:space="preserve">Rule 176(2)(i) provides that the Assessment Unit shall serve a notice under section 271 upon the </w:t>
            </w:r>
            <w:proofErr w:type="spellStart"/>
            <w:r w:rsidRPr="00E42C35">
              <w:rPr>
                <w:rFonts w:ascii="Calibri" w:eastAsia="Times New Roman" w:hAnsi="Calibri" w:cs="Calibri"/>
                <w:color w:val="000000"/>
                <w:kern w:val="0"/>
                <w:lang w:eastAsia="en-IN"/>
                <w14:ligatures w14:val="none"/>
              </w:rPr>
              <w:t>assessee</w:t>
            </w:r>
            <w:proofErr w:type="spellEnd"/>
            <w:r w:rsidRPr="00E42C35">
              <w:rPr>
                <w:rFonts w:ascii="Calibri" w:eastAsia="Times New Roman" w:hAnsi="Calibri" w:cs="Calibri"/>
                <w:color w:val="000000"/>
                <w:kern w:val="0"/>
                <w:lang w:eastAsia="en-IN"/>
                <w14:ligatures w14:val="none"/>
              </w:rPr>
              <w:t xml:space="preserve"> referred to in sub-rule (3)(h), calling upon the </w:t>
            </w:r>
            <w:proofErr w:type="spellStart"/>
            <w:r w:rsidRPr="00E42C35">
              <w:rPr>
                <w:rFonts w:ascii="Calibri" w:eastAsia="Times New Roman" w:hAnsi="Calibri" w:cs="Calibri"/>
                <w:color w:val="000000"/>
                <w:kern w:val="0"/>
                <w:lang w:eastAsia="en-IN"/>
                <w14:ligatures w14:val="none"/>
              </w:rPr>
              <w:t>assessee</w:t>
            </w:r>
            <w:proofErr w:type="spellEnd"/>
            <w:r w:rsidRPr="00E42C35">
              <w:rPr>
                <w:rFonts w:ascii="Calibri" w:eastAsia="Times New Roman" w:hAnsi="Calibri" w:cs="Calibri"/>
                <w:color w:val="000000"/>
                <w:kern w:val="0"/>
                <w:lang w:eastAsia="en-IN"/>
                <w14:ligatures w14:val="none"/>
              </w:rPr>
              <w:t xml:space="preserve"> to show cause as to why the assessment should not be completed to the best of judgment. However, the reference to sub-rule (3)(h) appears to be incorrect, as sub-rule (2)(h) deals with </w:t>
            </w:r>
            <w:proofErr w:type="spellStart"/>
            <w:r w:rsidRPr="00E42C35">
              <w:rPr>
                <w:rFonts w:ascii="Calibri" w:eastAsia="Times New Roman" w:hAnsi="Calibri" w:cs="Calibri"/>
                <w:color w:val="000000"/>
                <w:kern w:val="0"/>
                <w:lang w:eastAsia="en-IN"/>
                <w14:ligatures w14:val="none"/>
              </w:rPr>
              <w:t>assessees</w:t>
            </w:r>
            <w:proofErr w:type="spellEnd"/>
            <w:r w:rsidRPr="00E42C35">
              <w:rPr>
                <w:rFonts w:ascii="Calibri" w:eastAsia="Times New Roman" w:hAnsi="Calibri" w:cs="Calibri"/>
                <w:color w:val="000000"/>
                <w:kern w:val="0"/>
                <w:lang w:eastAsia="en-IN"/>
                <w14:ligatures w14:val="none"/>
              </w:rPr>
              <w:t xml:space="preserve"> who fail to comply with notices issued under the faceless assessment procedure. This is an apparent typographical error by referring to sub-rule (3)(h), whereas the relevant category of </w:t>
            </w:r>
            <w:proofErr w:type="spellStart"/>
            <w:r w:rsidRPr="00E42C35">
              <w:rPr>
                <w:rFonts w:ascii="Calibri" w:eastAsia="Times New Roman" w:hAnsi="Calibri" w:cs="Calibri"/>
                <w:color w:val="000000"/>
                <w:kern w:val="0"/>
                <w:lang w:eastAsia="en-IN"/>
                <w14:ligatures w14:val="none"/>
              </w:rPr>
              <w:t>assessees</w:t>
            </w:r>
            <w:proofErr w:type="spellEnd"/>
            <w:r w:rsidRPr="00E42C35">
              <w:rPr>
                <w:rFonts w:ascii="Calibri" w:eastAsia="Times New Roman" w:hAnsi="Calibri" w:cs="Calibri"/>
                <w:color w:val="000000"/>
                <w:kern w:val="0"/>
                <w:lang w:eastAsia="en-IN"/>
                <w14:ligatures w14:val="none"/>
              </w:rPr>
              <w:t>—those who fail to comply with notices—is covered under sub-rule (2)(h).</w:t>
            </w:r>
          </w:p>
          <w:p w14:paraId="143DEFF2" w14:textId="77777777" w:rsidR="00DF7281" w:rsidRPr="00E42C35" w:rsidRDefault="00DF7281" w:rsidP="00836676">
            <w:pPr>
              <w:spacing w:after="120" w:line="276" w:lineRule="auto"/>
              <w:rPr>
                <w:rFonts w:ascii="Calibri" w:eastAsia="Times New Roman" w:hAnsi="Calibri" w:cs="Calibri"/>
                <w:b/>
                <w:color w:val="000000"/>
                <w:kern w:val="0"/>
                <w:lang w:eastAsia="en-IN"/>
                <w14:ligatures w14:val="none"/>
              </w:rPr>
            </w:pPr>
            <w:r w:rsidRPr="00E42C35">
              <w:rPr>
                <w:rFonts w:ascii="Calibri" w:eastAsia="Times New Roman" w:hAnsi="Calibri" w:cs="Calibri"/>
                <w:b/>
                <w:color w:val="000000"/>
                <w:kern w:val="0"/>
                <w:lang w:eastAsia="en-IN"/>
                <w14:ligatures w14:val="none"/>
              </w:rPr>
              <w:t>Recommendation</w:t>
            </w:r>
          </w:p>
          <w:p w14:paraId="59322195" w14:textId="32E1EAA0" w:rsidR="00DF7281" w:rsidRPr="00E42C35" w:rsidRDefault="00DF7281" w:rsidP="00836676">
            <w:pPr>
              <w:numPr>
                <w:ilvl w:val="0"/>
                <w:numId w:val="3"/>
              </w:numPr>
              <w:spacing w:after="120" w:line="276" w:lineRule="auto"/>
              <w:rPr>
                <w:rFonts w:ascii="Calibri" w:hAnsi="Calibri" w:cs="Calibri"/>
                <w:b/>
                <w:lang w:bidi="en-US"/>
              </w:rPr>
            </w:pPr>
            <w:r w:rsidRPr="00E42C35">
              <w:rPr>
                <w:rFonts w:ascii="Calibri" w:eastAsia="Times New Roman" w:hAnsi="Calibri" w:cs="Calibri"/>
                <w:color w:val="000000"/>
                <w:kern w:val="0"/>
                <w:lang w:eastAsia="en-IN"/>
                <w14:ligatures w14:val="none"/>
              </w:rPr>
              <w:t>Recommend correction of the incorrect cross-reference in Rule 176(2)(i) from sub-rule (3)(h) to sub-rule (2)(h). Further, recommend suitable amendment to Rule 176(2)(x) to align with the Finance Bill, 2026 by providing for issuance of a single consolidated order for assessment and penalty.</w:t>
            </w:r>
          </w:p>
        </w:tc>
      </w:tr>
      <w:tr w:rsidR="00DF7281" w:rsidRPr="00E42C35" w14:paraId="39471322" w14:textId="77777777" w:rsidTr="000813D3">
        <w:trPr>
          <w:trHeight w:val="20"/>
        </w:trPr>
        <w:tc>
          <w:tcPr>
            <w:tcW w:w="846" w:type="dxa"/>
            <w:tcBorders>
              <w:top w:val="single" w:sz="4" w:space="0" w:color="auto"/>
              <w:left w:val="single" w:sz="4" w:space="0" w:color="auto"/>
              <w:bottom w:val="single" w:sz="4" w:space="0" w:color="auto"/>
              <w:right w:val="single" w:sz="4" w:space="0" w:color="auto"/>
            </w:tcBorders>
          </w:tcPr>
          <w:p w14:paraId="44E10686" w14:textId="77777777" w:rsidR="00DF7281" w:rsidRPr="00E42C35" w:rsidRDefault="00DF7281" w:rsidP="00836676">
            <w:pPr>
              <w:numPr>
                <w:ilvl w:val="0"/>
                <w:numId w:val="2"/>
              </w:numPr>
              <w:spacing w:after="120" w:line="276" w:lineRule="auto"/>
              <w:rPr>
                <w:rFonts w:ascii="Calibri" w:hAnsi="Calibri" w:cs="Calibri"/>
                <w:lang w:bidi="en-US"/>
              </w:rPr>
            </w:pPr>
          </w:p>
        </w:tc>
        <w:tc>
          <w:tcPr>
            <w:tcW w:w="2637" w:type="dxa"/>
            <w:tcBorders>
              <w:top w:val="single" w:sz="4" w:space="0" w:color="auto"/>
              <w:left w:val="single" w:sz="4" w:space="0" w:color="auto"/>
              <w:bottom w:val="single" w:sz="4" w:space="0" w:color="auto"/>
              <w:right w:val="single" w:sz="4" w:space="0" w:color="auto"/>
            </w:tcBorders>
          </w:tcPr>
          <w:p w14:paraId="593F67D7" w14:textId="7EC138F1" w:rsidR="00602452" w:rsidRPr="00E42C35" w:rsidRDefault="00602452" w:rsidP="00602452">
            <w:pPr>
              <w:spacing w:after="120" w:line="276" w:lineRule="auto"/>
              <w:rPr>
                <w:rFonts w:ascii="Calibri" w:hAnsi="Calibri" w:cs="Calibri"/>
                <w:b/>
              </w:rPr>
            </w:pPr>
            <w:r w:rsidRPr="00E42C35">
              <w:rPr>
                <w:rFonts w:ascii="Calibri" w:hAnsi="Calibri" w:cs="Calibri"/>
                <w:b/>
              </w:rPr>
              <w:t>Report of audit in the case of registered non-profit organisations under section 348 of ITA 2025</w:t>
            </w:r>
          </w:p>
          <w:p w14:paraId="689542CE" w14:textId="77777777" w:rsidR="00602452" w:rsidRPr="00E42C35" w:rsidRDefault="00602452" w:rsidP="00836676">
            <w:pPr>
              <w:spacing w:after="120" w:line="276" w:lineRule="auto"/>
              <w:rPr>
                <w:rFonts w:ascii="Calibri" w:hAnsi="Calibri" w:cs="Calibri"/>
                <w:b/>
              </w:rPr>
            </w:pPr>
          </w:p>
          <w:p w14:paraId="19DECE9D" w14:textId="77777777" w:rsidR="004F6EAE" w:rsidRPr="00E42C35" w:rsidRDefault="00C774A2" w:rsidP="00836676">
            <w:pPr>
              <w:spacing w:after="120" w:line="276" w:lineRule="auto"/>
              <w:rPr>
                <w:rFonts w:ascii="Calibri" w:hAnsi="Calibri" w:cs="Calibri"/>
                <w:b/>
              </w:rPr>
            </w:pPr>
            <w:r w:rsidRPr="00E42C35">
              <w:rPr>
                <w:rFonts w:ascii="Calibri" w:hAnsi="Calibri" w:cs="Calibri"/>
                <w:b/>
              </w:rPr>
              <w:t>Section 12A(1)(b)(ii) of ITA 1961</w:t>
            </w:r>
          </w:p>
          <w:p w14:paraId="07C42849" w14:textId="5F97E049" w:rsidR="00C774A2" w:rsidRPr="00E42C35" w:rsidRDefault="00E122AB" w:rsidP="00836676">
            <w:pPr>
              <w:spacing w:after="120" w:line="276" w:lineRule="auto"/>
              <w:rPr>
                <w:rFonts w:ascii="Calibri" w:hAnsi="Calibri" w:cs="Calibri"/>
                <w:b/>
                <w:lang w:bidi="en-US"/>
              </w:rPr>
            </w:pPr>
            <w:r w:rsidRPr="00E42C35">
              <w:rPr>
                <w:rFonts w:ascii="Calibri" w:hAnsi="Calibri" w:cs="Calibri"/>
                <w:b/>
              </w:rPr>
              <w:t>Rule 188 of Draft IT Rules 2026 read with section 348 of ITA 2025</w:t>
            </w:r>
          </w:p>
        </w:tc>
        <w:tc>
          <w:tcPr>
            <w:tcW w:w="0" w:type="auto"/>
            <w:tcBorders>
              <w:top w:val="single" w:sz="4" w:space="0" w:color="auto"/>
              <w:left w:val="single" w:sz="4" w:space="0" w:color="auto"/>
              <w:bottom w:val="single" w:sz="4" w:space="0" w:color="auto"/>
              <w:right w:val="single" w:sz="4" w:space="0" w:color="auto"/>
            </w:tcBorders>
          </w:tcPr>
          <w:p w14:paraId="579EB244" w14:textId="60BB4519" w:rsidR="00C04E00" w:rsidRPr="00E42C35" w:rsidRDefault="00C04E00" w:rsidP="00836676">
            <w:pPr>
              <w:spacing w:after="120" w:line="276" w:lineRule="auto"/>
              <w:ind w:right="137"/>
              <w:rPr>
                <w:rFonts w:ascii="Calibri" w:eastAsia="Aptos" w:hAnsi="Calibri" w:cs="Calibri"/>
                <w:b/>
              </w:rPr>
            </w:pPr>
            <w:r w:rsidRPr="00E42C35">
              <w:rPr>
                <w:rFonts w:ascii="Calibri" w:eastAsia="Aptos" w:hAnsi="Calibri" w:cs="Calibri"/>
                <w:b/>
              </w:rPr>
              <w:t>Rationale</w:t>
            </w:r>
          </w:p>
          <w:p w14:paraId="33E1AEF3" w14:textId="6BE0C880" w:rsidR="00A86A52" w:rsidRPr="00E42C35" w:rsidRDefault="00A86A52" w:rsidP="00836676">
            <w:pPr>
              <w:numPr>
                <w:ilvl w:val="0"/>
                <w:numId w:val="3"/>
              </w:numPr>
              <w:spacing w:after="120" w:line="276" w:lineRule="auto"/>
              <w:rPr>
                <w:rFonts w:ascii="Calibri" w:hAnsi="Calibri" w:cs="Calibri"/>
              </w:rPr>
            </w:pPr>
            <w:r w:rsidRPr="00E42C35">
              <w:rPr>
                <w:rFonts w:ascii="Calibri" w:eastAsia="Aptos" w:hAnsi="Calibri" w:cs="Calibri"/>
              </w:rPr>
              <w:t>Rule 17B read with Section 12A(1)(b)(ii) of the Income-tax Act, 1961 presently specifies Forms 10B and 10BB for furnishing the audit report. Rule 18B of the Draft Income-tax Rules, 2026 proposes Form 112 as the prescribed format for submission of the audit report. Form 112 structures the required disclosures through a series of schedules.</w:t>
            </w:r>
          </w:p>
          <w:p w14:paraId="2785447D" w14:textId="745D4DA1" w:rsidR="004B5B79" w:rsidRPr="00E42C35" w:rsidRDefault="00A86A52" w:rsidP="00836676">
            <w:pPr>
              <w:numPr>
                <w:ilvl w:val="0"/>
                <w:numId w:val="3"/>
              </w:numPr>
              <w:spacing w:after="120" w:line="276" w:lineRule="auto"/>
              <w:rPr>
                <w:rFonts w:ascii="Calibri" w:hAnsi="Calibri" w:cs="Calibri"/>
                <w:b/>
                <w:lang w:bidi="en-US"/>
              </w:rPr>
            </w:pPr>
            <w:r w:rsidRPr="00E42C35">
              <w:rPr>
                <w:rFonts w:ascii="Calibri" w:eastAsia="Aptos" w:hAnsi="Calibri" w:cs="Calibri"/>
              </w:rPr>
              <w:t>However, the numbering of these schedules is not sequential, and certain schedule number C appears to have been inadvertently omitted.</w:t>
            </w:r>
            <w:r w:rsidR="00784DBC" w:rsidRPr="00E42C35">
              <w:rPr>
                <w:rFonts w:ascii="Calibri" w:eastAsia="Aptos" w:hAnsi="Calibri" w:cs="Calibri"/>
              </w:rPr>
              <w:t xml:space="preserve"> </w:t>
            </w:r>
            <w:r w:rsidR="002A619C" w:rsidRPr="00E42C35">
              <w:rPr>
                <w:rFonts w:ascii="Calibri" w:hAnsi="Calibri" w:cs="Calibri"/>
              </w:rPr>
              <w:t>Although this appears to be a drafting or formatting oversight, it may lead to practical challenges in implementation.</w:t>
            </w:r>
          </w:p>
          <w:p w14:paraId="19B2B287" w14:textId="745D88BB" w:rsidR="00C04E00" w:rsidRPr="00E42C35" w:rsidRDefault="00C04E00" w:rsidP="00836676">
            <w:pPr>
              <w:spacing w:after="120" w:line="276" w:lineRule="auto"/>
              <w:rPr>
                <w:rFonts w:ascii="Calibri" w:eastAsia="Aptos" w:hAnsi="Calibri" w:cs="Calibri"/>
                <w:b/>
                <w:lang w:bidi="en-US"/>
              </w:rPr>
            </w:pPr>
            <w:r w:rsidRPr="00E42C35">
              <w:rPr>
                <w:rFonts w:ascii="Calibri" w:eastAsia="Aptos" w:hAnsi="Calibri" w:cs="Calibri"/>
                <w:b/>
                <w:lang w:bidi="en-US"/>
              </w:rPr>
              <w:t>Recommendation</w:t>
            </w:r>
          </w:p>
          <w:p w14:paraId="0B4A37B0" w14:textId="2DEC5074" w:rsidR="004B5B79" w:rsidRPr="00E42C35" w:rsidRDefault="00D51BC1" w:rsidP="00836676">
            <w:pPr>
              <w:numPr>
                <w:ilvl w:val="0"/>
                <w:numId w:val="3"/>
              </w:numPr>
              <w:spacing w:after="120" w:line="276" w:lineRule="auto"/>
              <w:rPr>
                <w:rFonts w:ascii="Calibri" w:hAnsi="Calibri" w:cs="Calibri"/>
                <w:b/>
                <w:lang w:bidi="en-US"/>
              </w:rPr>
            </w:pPr>
            <w:r w:rsidRPr="00E42C35">
              <w:rPr>
                <w:rFonts w:ascii="Calibri" w:hAnsi="Calibri" w:cs="Calibri"/>
              </w:rPr>
              <w:lastRenderedPageBreak/>
              <w:t xml:space="preserve">It is therefore </w:t>
            </w:r>
            <w:r w:rsidRPr="00E42C35">
              <w:rPr>
                <w:rFonts w:ascii="Calibri" w:eastAsia="Aptos" w:hAnsi="Calibri" w:cs="Calibri"/>
              </w:rPr>
              <w:t>recommended</w:t>
            </w:r>
            <w:r w:rsidRPr="00E42C35">
              <w:rPr>
                <w:rFonts w:ascii="Calibri" w:hAnsi="Calibri" w:cs="Calibri"/>
              </w:rPr>
              <w:t xml:space="preserve"> that Form 112 be reviewed and appropriately amended to ensure complete and sequential numbering of all schedules. Rectifying the numbering structure would </w:t>
            </w:r>
            <w:r w:rsidR="009470F7" w:rsidRPr="00E42C35">
              <w:rPr>
                <w:rFonts w:ascii="Calibri" w:eastAsiaTheme="minorEastAsia" w:hAnsi="Calibri" w:cs="Calibri"/>
              </w:rPr>
              <w:t xml:space="preserve">remove ambiguity, </w:t>
            </w:r>
            <w:r w:rsidRPr="00E42C35">
              <w:rPr>
                <w:rFonts w:ascii="Calibri" w:hAnsi="Calibri" w:cs="Calibri"/>
              </w:rPr>
              <w:t>improve clarity, promote consistency in reporting, and facilitate smoother compliance</w:t>
            </w:r>
            <w:r w:rsidR="009470F7" w:rsidRPr="00E42C35">
              <w:rPr>
                <w:rFonts w:ascii="Calibri" w:hAnsi="Calibri" w:cs="Calibri"/>
              </w:rPr>
              <w:t xml:space="preserve"> and </w:t>
            </w:r>
            <w:r w:rsidRPr="00E42C35">
              <w:rPr>
                <w:rFonts w:ascii="Calibri" w:hAnsi="Calibri" w:cs="Calibri"/>
              </w:rPr>
              <w:t>administrative processing</w:t>
            </w:r>
            <w:r w:rsidR="004B5B79" w:rsidRPr="00E42C35">
              <w:rPr>
                <w:rFonts w:ascii="Calibri" w:eastAsiaTheme="minorEastAsia" w:hAnsi="Calibri" w:cs="Calibri"/>
              </w:rPr>
              <w:t>.</w:t>
            </w:r>
          </w:p>
        </w:tc>
      </w:tr>
      <w:tr w:rsidR="00DF7281" w:rsidRPr="00E42C35" w14:paraId="2212A042" w14:textId="77777777" w:rsidTr="000813D3">
        <w:trPr>
          <w:trHeight w:val="20"/>
        </w:trPr>
        <w:tc>
          <w:tcPr>
            <w:tcW w:w="846" w:type="dxa"/>
            <w:tcBorders>
              <w:top w:val="single" w:sz="4" w:space="0" w:color="auto"/>
              <w:left w:val="single" w:sz="4" w:space="0" w:color="auto"/>
              <w:bottom w:val="single" w:sz="4" w:space="0" w:color="auto"/>
              <w:right w:val="single" w:sz="4" w:space="0" w:color="auto"/>
            </w:tcBorders>
          </w:tcPr>
          <w:p w14:paraId="0DF8B97D" w14:textId="77777777" w:rsidR="00DF7281" w:rsidRPr="00E42C35" w:rsidRDefault="00DF7281" w:rsidP="00836676">
            <w:pPr>
              <w:numPr>
                <w:ilvl w:val="0"/>
                <w:numId w:val="2"/>
              </w:numPr>
              <w:spacing w:after="120" w:line="276" w:lineRule="auto"/>
              <w:rPr>
                <w:rFonts w:ascii="Calibri" w:hAnsi="Calibri" w:cs="Calibri"/>
                <w:lang w:bidi="en-US"/>
              </w:rPr>
            </w:pPr>
          </w:p>
        </w:tc>
        <w:tc>
          <w:tcPr>
            <w:tcW w:w="2637" w:type="dxa"/>
            <w:tcBorders>
              <w:top w:val="single" w:sz="4" w:space="0" w:color="auto"/>
              <w:left w:val="single" w:sz="4" w:space="0" w:color="auto"/>
              <w:bottom w:val="single" w:sz="4" w:space="0" w:color="auto"/>
              <w:right w:val="single" w:sz="4" w:space="0" w:color="auto"/>
            </w:tcBorders>
          </w:tcPr>
          <w:p w14:paraId="60B6F969" w14:textId="3C499609" w:rsidR="00602452" w:rsidRPr="00E42C35" w:rsidRDefault="00602452" w:rsidP="00602452">
            <w:pPr>
              <w:spacing w:after="120" w:line="276" w:lineRule="auto"/>
              <w:rPr>
                <w:rFonts w:ascii="Calibri" w:hAnsi="Calibri" w:cs="Calibri"/>
                <w:b/>
              </w:rPr>
            </w:pPr>
            <w:r w:rsidRPr="00E42C35">
              <w:rPr>
                <w:rFonts w:ascii="Calibri" w:hAnsi="Calibri" w:cs="Calibri"/>
                <w:b/>
              </w:rPr>
              <w:t>Method of valuation for the purposes of computing fair market value of assets and liabilities under section 352(2) of ITA 2025 for accreted income</w:t>
            </w:r>
          </w:p>
          <w:p w14:paraId="02253536" w14:textId="77777777" w:rsidR="00602452" w:rsidRPr="00E42C35" w:rsidRDefault="00602452" w:rsidP="00836676">
            <w:pPr>
              <w:spacing w:after="120" w:line="276" w:lineRule="auto"/>
              <w:rPr>
                <w:rFonts w:ascii="Calibri" w:hAnsi="Calibri" w:cs="Calibri"/>
                <w:b/>
              </w:rPr>
            </w:pPr>
          </w:p>
          <w:p w14:paraId="2D737FFE" w14:textId="766A19F5" w:rsidR="00DF7281" w:rsidRPr="00E42C35" w:rsidRDefault="00A77BC0" w:rsidP="00836676">
            <w:pPr>
              <w:spacing w:after="120" w:line="276" w:lineRule="auto"/>
              <w:rPr>
                <w:rFonts w:ascii="Calibri" w:hAnsi="Calibri" w:cs="Calibri"/>
                <w:b/>
              </w:rPr>
            </w:pPr>
            <w:r w:rsidRPr="00E42C35">
              <w:rPr>
                <w:rFonts w:ascii="Calibri" w:hAnsi="Calibri" w:cs="Calibri"/>
                <w:b/>
              </w:rPr>
              <w:t>Rule 17CB of IT Rules 1962 read with section 115TD of ITA 1961</w:t>
            </w:r>
          </w:p>
          <w:p w14:paraId="60478C57" w14:textId="3DA64DC1" w:rsidR="00A77BC0" w:rsidRPr="00E42C35" w:rsidRDefault="00F81E2A" w:rsidP="00836676">
            <w:pPr>
              <w:spacing w:after="120" w:line="276" w:lineRule="auto"/>
              <w:rPr>
                <w:rFonts w:ascii="Calibri" w:hAnsi="Calibri" w:cs="Calibri"/>
                <w:b/>
              </w:rPr>
            </w:pPr>
            <w:r w:rsidRPr="00E42C35">
              <w:rPr>
                <w:rFonts w:ascii="Calibri" w:hAnsi="Calibri" w:cs="Calibri"/>
                <w:b/>
              </w:rPr>
              <w:t>Rule 189 of Draft IT Rules 2026 read with section 352(2) of ITA 2025</w:t>
            </w:r>
          </w:p>
          <w:p w14:paraId="328CD38A" w14:textId="77777777" w:rsidR="00A77BC0" w:rsidRPr="00E42C35" w:rsidRDefault="00A77BC0" w:rsidP="00836676">
            <w:pPr>
              <w:spacing w:after="120" w:line="276" w:lineRule="auto"/>
              <w:rPr>
                <w:rFonts w:ascii="Calibri" w:hAnsi="Calibri" w:cs="Calibri"/>
                <w:b/>
              </w:rPr>
            </w:pPr>
          </w:p>
          <w:p w14:paraId="0663D0E4" w14:textId="77777777" w:rsidR="00A77BC0" w:rsidRPr="00E42C35" w:rsidRDefault="00A77BC0" w:rsidP="00836676">
            <w:pPr>
              <w:spacing w:after="120" w:line="276" w:lineRule="auto"/>
              <w:rPr>
                <w:rFonts w:ascii="Calibri" w:hAnsi="Calibri" w:cs="Calibri"/>
                <w:b/>
              </w:rPr>
            </w:pPr>
          </w:p>
          <w:p w14:paraId="19F09C3F" w14:textId="10B1BDA0" w:rsidR="00A77BC0" w:rsidRPr="00E42C35" w:rsidRDefault="00A77BC0" w:rsidP="00836676">
            <w:pPr>
              <w:spacing w:after="120" w:line="276" w:lineRule="auto"/>
              <w:rPr>
                <w:rFonts w:ascii="Calibri" w:hAnsi="Calibri" w:cs="Calibri"/>
                <w:b/>
                <w:lang w:bidi="en-US"/>
              </w:rPr>
            </w:pPr>
          </w:p>
        </w:tc>
        <w:tc>
          <w:tcPr>
            <w:tcW w:w="0" w:type="auto"/>
            <w:tcBorders>
              <w:top w:val="single" w:sz="4" w:space="0" w:color="auto"/>
              <w:left w:val="single" w:sz="4" w:space="0" w:color="auto"/>
              <w:bottom w:val="single" w:sz="4" w:space="0" w:color="auto"/>
              <w:right w:val="single" w:sz="4" w:space="0" w:color="auto"/>
            </w:tcBorders>
          </w:tcPr>
          <w:p w14:paraId="7A37AB45" w14:textId="77777777" w:rsidR="00A9680C" w:rsidRPr="00E42C35" w:rsidRDefault="00A9680C" w:rsidP="00836676">
            <w:pPr>
              <w:spacing w:after="120" w:line="276" w:lineRule="auto"/>
              <w:ind w:right="137"/>
              <w:rPr>
                <w:rFonts w:ascii="Calibri" w:eastAsia="Aptos" w:hAnsi="Calibri" w:cs="Calibri"/>
                <w:b/>
              </w:rPr>
            </w:pPr>
            <w:r w:rsidRPr="00E42C35">
              <w:rPr>
                <w:rFonts w:ascii="Calibri" w:eastAsia="Aptos" w:hAnsi="Calibri" w:cs="Calibri"/>
                <w:b/>
              </w:rPr>
              <w:t>Rationale</w:t>
            </w:r>
          </w:p>
          <w:p w14:paraId="5EB28078" w14:textId="1CF97799" w:rsidR="00E22100" w:rsidRPr="00E42C35" w:rsidRDefault="00B04B72" w:rsidP="00836676">
            <w:pPr>
              <w:pStyle w:val="ListParagraph"/>
              <w:numPr>
                <w:ilvl w:val="0"/>
                <w:numId w:val="3"/>
              </w:numPr>
              <w:spacing w:after="120" w:line="276" w:lineRule="auto"/>
              <w:contextualSpacing w:val="0"/>
              <w:rPr>
                <w:rFonts w:ascii="Calibri" w:eastAsiaTheme="minorEastAsia" w:hAnsi="Calibri" w:cs="Calibri"/>
              </w:rPr>
            </w:pPr>
            <w:r w:rsidRPr="00E42C35">
              <w:rPr>
                <w:rFonts w:ascii="Calibri" w:eastAsiaTheme="minorEastAsia" w:hAnsi="Calibri" w:cs="Calibri"/>
              </w:rPr>
              <w:t>Rule 17CB sets out the method for determining the fair market value of a charitable trust’s assets for computing accreted income under Section 115TD, which levies exit tax when a trust ceases to be eligible for exemption—such as on conversion, or dissolution without proper asset transfer.</w:t>
            </w:r>
          </w:p>
          <w:p w14:paraId="4F509AF3" w14:textId="1BA9DDE6" w:rsidR="00E22100" w:rsidRPr="00E42C35" w:rsidRDefault="00E22100" w:rsidP="00836676">
            <w:pPr>
              <w:pStyle w:val="ListParagraph"/>
              <w:numPr>
                <w:ilvl w:val="0"/>
                <w:numId w:val="3"/>
              </w:numPr>
              <w:spacing w:after="120" w:line="276" w:lineRule="auto"/>
              <w:contextualSpacing w:val="0"/>
              <w:rPr>
                <w:rFonts w:ascii="Calibri" w:eastAsiaTheme="minorEastAsia" w:hAnsi="Calibri" w:cs="Calibri"/>
              </w:rPr>
            </w:pPr>
            <w:r w:rsidRPr="00E42C35">
              <w:rPr>
                <w:rFonts w:ascii="Calibri" w:eastAsiaTheme="minorEastAsia" w:hAnsi="Calibri" w:cs="Calibri"/>
              </w:rPr>
              <w:t>Accreted income becomes taxable when a charitable trust loses its exempt status due to events such as conversion into a non</w:t>
            </w:r>
            <w:r w:rsidRPr="00E42C35">
              <w:rPr>
                <w:rFonts w:ascii="Cambria Math" w:eastAsiaTheme="minorEastAsia" w:hAnsi="Cambria Math" w:cs="Cambria Math"/>
              </w:rPr>
              <w:t>‑</w:t>
            </w:r>
            <w:r w:rsidRPr="00E42C35">
              <w:rPr>
                <w:rFonts w:ascii="Calibri" w:eastAsiaTheme="minorEastAsia" w:hAnsi="Calibri" w:cs="Calibri"/>
              </w:rPr>
              <w:t>charitable form, merger with a non</w:t>
            </w:r>
            <w:r w:rsidRPr="00E42C35">
              <w:rPr>
                <w:rFonts w:ascii="Cambria Math" w:eastAsiaTheme="minorEastAsia" w:hAnsi="Cambria Math" w:cs="Cambria Math"/>
              </w:rPr>
              <w:t>‑</w:t>
            </w:r>
            <w:r w:rsidRPr="00E42C35">
              <w:rPr>
                <w:rFonts w:ascii="Calibri" w:eastAsiaTheme="minorEastAsia" w:hAnsi="Calibri" w:cs="Calibri"/>
              </w:rPr>
              <w:t xml:space="preserve">charitable entity, or dissolution without transferring its assets to another eligible charitable institution. </w:t>
            </w:r>
          </w:p>
          <w:p w14:paraId="4283E94C" w14:textId="7725D5F2" w:rsidR="00B04B72" w:rsidRPr="00E42C35" w:rsidRDefault="00B04B72" w:rsidP="00836676">
            <w:pPr>
              <w:numPr>
                <w:ilvl w:val="0"/>
                <w:numId w:val="3"/>
              </w:numPr>
              <w:spacing w:after="120" w:line="276" w:lineRule="auto"/>
              <w:rPr>
                <w:rFonts w:ascii="Calibri" w:eastAsiaTheme="minorEastAsia" w:hAnsi="Calibri" w:cs="Calibri"/>
              </w:rPr>
            </w:pPr>
            <w:r w:rsidRPr="00E42C35">
              <w:rPr>
                <w:rFonts w:ascii="Calibri" w:eastAsiaTheme="minorEastAsia" w:hAnsi="Calibri" w:cs="Calibri"/>
              </w:rPr>
              <w:t xml:space="preserve">Similarly, Rule 189 read with section 352(2) of the ITA 2025 provides the </w:t>
            </w:r>
            <w:r w:rsidR="00C470F7" w:rsidRPr="00E42C35">
              <w:rPr>
                <w:rFonts w:ascii="Calibri" w:eastAsiaTheme="minorEastAsia" w:hAnsi="Calibri" w:cs="Calibri"/>
              </w:rPr>
              <w:t>valuation rules to be followed for determining the fair market value of assets</w:t>
            </w:r>
            <w:r w:rsidRPr="00E42C35">
              <w:rPr>
                <w:rFonts w:ascii="Calibri" w:eastAsiaTheme="minorEastAsia" w:hAnsi="Calibri" w:cs="Calibri"/>
              </w:rPr>
              <w:t xml:space="preserve"> aligned with this section. </w:t>
            </w:r>
          </w:p>
          <w:p w14:paraId="0A74E172" w14:textId="3579D71E" w:rsidR="00A9680C" w:rsidRPr="00E42C35" w:rsidRDefault="00984AFA" w:rsidP="00836676">
            <w:pPr>
              <w:numPr>
                <w:ilvl w:val="0"/>
                <w:numId w:val="3"/>
              </w:numPr>
              <w:spacing w:after="120" w:line="276" w:lineRule="auto"/>
              <w:rPr>
                <w:rFonts w:ascii="Calibri" w:hAnsi="Calibri" w:cs="Calibri"/>
                <w:b/>
                <w:lang w:bidi="en-US"/>
              </w:rPr>
            </w:pPr>
            <w:r w:rsidRPr="00E42C35">
              <w:rPr>
                <w:rFonts w:ascii="Calibri" w:eastAsiaTheme="minorEastAsia" w:hAnsi="Calibri" w:cs="Calibri"/>
              </w:rPr>
              <w:t>However, an inconsistency appears within Rule 189(2)(IV).</w:t>
            </w:r>
            <w:r w:rsidR="00B04B72" w:rsidRPr="00E42C35">
              <w:rPr>
                <w:rFonts w:ascii="Calibri" w:eastAsiaTheme="minorEastAsia" w:hAnsi="Calibri" w:cs="Calibri"/>
              </w:rPr>
              <w:t xml:space="preserve"> Rule 189(2)(IV) uses the wrong cross</w:t>
            </w:r>
            <w:r w:rsidR="00B04B72" w:rsidRPr="00E42C35">
              <w:rPr>
                <w:rFonts w:ascii="Cambria Math" w:eastAsiaTheme="minorEastAsia" w:hAnsi="Cambria Math" w:cs="Cambria Math"/>
              </w:rPr>
              <w:t>‑</w:t>
            </w:r>
            <w:r w:rsidR="00B04B72" w:rsidRPr="00E42C35">
              <w:rPr>
                <w:rFonts w:ascii="Calibri" w:eastAsiaTheme="minorEastAsia" w:hAnsi="Calibri" w:cs="Calibri"/>
              </w:rPr>
              <w:t>reference when describing how to value ‘other assets.’ It points to clauses (a), (b) and (c)</w:t>
            </w:r>
            <w:r w:rsidR="00721EBC" w:rsidRPr="00E42C35">
              <w:rPr>
                <w:rFonts w:ascii="Calibri" w:eastAsiaTheme="minorEastAsia" w:hAnsi="Calibri" w:cs="Calibri"/>
              </w:rPr>
              <w:t xml:space="preserve"> when specifying the valuation approach for ‘other assets’,</w:t>
            </w:r>
            <w:r w:rsidR="00B04B72" w:rsidRPr="00E42C35">
              <w:rPr>
                <w:rFonts w:ascii="Calibri" w:eastAsiaTheme="minorEastAsia" w:hAnsi="Calibri" w:cs="Calibri"/>
              </w:rPr>
              <w:t xml:space="preserve"> </w:t>
            </w:r>
            <w:r w:rsidR="006E28C5" w:rsidRPr="00E42C35">
              <w:rPr>
                <w:rFonts w:ascii="Calibri" w:eastAsiaTheme="minorEastAsia" w:hAnsi="Calibri" w:cs="Calibri"/>
              </w:rPr>
              <w:t>whereas</w:t>
            </w:r>
            <w:r w:rsidR="00B04B72" w:rsidRPr="00E42C35">
              <w:rPr>
                <w:rFonts w:ascii="Calibri" w:eastAsiaTheme="minorEastAsia" w:hAnsi="Calibri" w:cs="Calibri"/>
              </w:rPr>
              <w:t xml:space="preserve"> the correct references should be (I), (II) and (III). This incorrect reference can create confusion for taxpayers as well as the tax department</w:t>
            </w:r>
            <w:r w:rsidR="00806021" w:rsidRPr="00E42C35">
              <w:rPr>
                <w:rFonts w:ascii="Calibri" w:eastAsiaTheme="minorEastAsia" w:hAnsi="Calibri" w:cs="Calibri"/>
              </w:rPr>
              <w:t xml:space="preserve"> as it disrupts the internal consistency of the valuation structure and may lead to practical difficulties in interpreting the rule correctly</w:t>
            </w:r>
            <w:r w:rsidR="00B04B72" w:rsidRPr="00E42C35">
              <w:rPr>
                <w:rFonts w:ascii="Calibri" w:eastAsiaTheme="minorEastAsia" w:hAnsi="Calibri" w:cs="Calibri"/>
              </w:rPr>
              <w:t>.</w:t>
            </w:r>
          </w:p>
          <w:p w14:paraId="59BE89F4" w14:textId="77777777" w:rsidR="00A9680C" w:rsidRPr="00E42C35" w:rsidRDefault="00A9680C" w:rsidP="00836676">
            <w:pPr>
              <w:spacing w:after="120" w:line="276" w:lineRule="auto"/>
              <w:rPr>
                <w:rFonts w:ascii="Calibri" w:eastAsia="Aptos" w:hAnsi="Calibri" w:cs="Calibri"/>
                <w:b/>
                <w:lang w:bidi="en-US"/>
              </w:rPr>
            </w:pPr>
            <w:r w:rsidRPr="00E42C35">
              <w:rPr>
                <w:rFonts w:ascii="Calibri" w:eastAsia="Aptos" w:hAnsi="Calibri" w:cs="Calibri"/>
                <w:b/>
                <w:lang w:bidi="en-US"/>
              </w:rPr>
              <w:t>Recommendation</w:t>
            </w:r>
          </w:p>
          <w:p w14:paraId="3EA6DA54" w14:textId="6C0EF593" w:rsidR="00A9680C" w:rsidRPr="00E42C35" w:rsidRDefault="00DB4A71" w:rsidP="00836676">
            <w:pPr>
              <w:numPr>
                <w:ilvl w:val="0"/>
                <w:numId w:val="3"/>
              </w:numPr>
              <w:spacing w:after="120" w:line="276" w:lineRule="auto"/>
              <w:rPr>
                <w:rFonts w:ascii="Calibri" w:hAnsi="Calibri" w:cs="Calibri"/>
                <w:b/>
                <w:lang w:bidi="en-US"/>
              </w:rPr>
            </w:pPr>
            <w:r w:rsidRPr="00E42C35">
              <w:rPr>
                <w:rFonts w:ascii="Calibri" w:eastAsiaTheme="minorEastAsia" w:hAnsi="Calibri" w:cs="Calibri"/>
              </w:rPr>
              <w:t>It is recommended that the cross</w:t>
            </w:r>
            <w:r w:rsidRPr="00E42C35">
              <w:rPr>
                <w:rFonts w:ascii="Cambria Math" w:eastAsiaTheme="minorEastAsia" w:hAnsi="Cambria Math" w:cs="Cambria Math"/>
              </w:rPr>
              <w:t>‑</w:t>
            </w:r>
            <w:r w:rsidRPr="00E42C35">
              <w:rPr>
                <w:rFonts w:ascii="Calibri" w:eastAsiaTheme="minorEastAsia" w:hAnsi="Calibri" w:cs="Calibri"/>
              </w:rPr>
              <w:t>reference in Rule 189(2)(IV) be corrected to refer to clauses (I), (II) and (III).</w:t>
            </w:r>
            <w:r w:rsidR="00840C51" w:rsidRPr="00E42C35">
              <w:rPr>
                <w:rFonts w:ascii="Calibri" w:eastAsiaTheme="minorEastAsia" w:hAnsi="Calibri" w:cs="Calibri"/>
              </w:rPr>
              <w:t xml:space="preserve"> </w:t>
            </w:r>
            <w:r w:rsidR="00B112B3" w:rsidRPr="00E42C35">
              <w:rPr>
                <w:rFonts w:ascii="Calibri" w:eastAsiaTheme="minorEastAsia" w:hAnsi="Calibri" w:cs="Calibri"/>
              </w:rPr>
              <w:t>Correcting the reference will ensure clarity, prevent misinterpretation, and maintain coherence across</w:t>
            </w:r>
            <w:r w:rsidRPr="00E42C35">
              <w:rPr>
                <w:rFonts w:ascii="Calibri" w:eastAsiaTheme="minorEastAsia" w:hAnsi="Calibri" w:cs="Calibri"/>
              </w:rPr>
              <w:t xml:space="preserve"> the valuation </w:t>
            </w:r>
            <w:r w:rsidR="00B112B3" w:rsidRPr="00E42C35">
              <w:rPr>
                <w:rFonts w:ascii="Calibri" w:eastAsiaTheme="minorEastAsia" w:hAnsi="Calibri" w:cs="Calibri"/>
              </w:rPr>
              <w:t>provisions. This small but essential amendment will support</w:t>
            </w:r>
            <w:r w:rsidRPr="00E42C35">
              <w:rPr>
                <w:rFonts w:ascii="Calibri" w:eastAsiaTheme="minorEastAsia" w:hAnsi="Calibri" w:cs="Calibri"/>
              </w:rPr>
              <w:t xml:space="preserve"> consistent</w:t>
            </w:r>
            <w:r w:rsidR="00B112B3" w:rsidRPr="00E42C35">
              <w:rPr>
                <w:rFonts w:ascii="Calibri" w:eastAsiaTheme="minorEastAsia" w:hAnsi="Calibri" w:cs="Calibri"/>
              </w:rPr>
              <w:t xml:space="preserve"> application of the rule and reduce ambiguity for all stakeholders involved</w:t>
            </w:r>
          </w:p>
        </w:tc>
      </w:tr>
      <w:tr w:rsidR="00FC34BE" w:rsidRPr="00E42C35" w14:paraId="37E2116C" w14:textId="77777777" w:rsidTr="000813D3">
        <w:trPr>
          <w:trHeight w:val="20"/>
        </w:trPr>
        <w:tc>
          <w:tcPr>
            <w:tcW w:w="846" w:type="dxa"/>
            <w:tcBorders>
              <w:top w:val="single" w:sz="4" w:space="0" w:color="auto"/>
              <w:left w:val="single" w:sz="4" w:space="0" w:color="auto"/>
              <w:bottom w:val="single" w:sz="4" w:space="0" w:color="auto"/>
              <w:right w:val="single" w:sz="4" w:space="0" w:color="auto"/>
            </w:tcBorders>
          </w:tcPr>
          <w:p w14:paraId="61A2DA65" w14:textId="77777777" w:rsidR="00FC34BE" w:rsidRPr="00E42C35" w:rsidRDefault="00FC34BE" w:rsidP="00836676">
            <w:pPr>
              <w:numPr>
                <w:ilvl w:val="0"/>
                <w:numId w:val="2"/>
              </w:numPr>
              <w:spacing w:after="120" w:line="276" w:lineRule="auto"/>
              <w:rPr>
                <w:rFonts w:ascii="Calibri" w:hAnsi="Calibri" w:cs="Calibri"/>
                <w:lang w:bidi="en-US"/>
              </w:rPr>
            </w:pPr>
          </w:p>
        </w:tc>
        <w:tc>
          <w:tcPr>
            <w:tcW w:w="2637" w:type="dxa"/>
            <w:tcBorders>
              <w:top w:val="single" w:sz="4" w:space="0" w:color="auto"/>
              <w:left w:val="single" w:sz="4" w:space="0" w:color="auto"/>
              <w:bottom w:val="single" w:sz="4" w:space="0" w:color="auto"/>
              <w:right w:val="single" w:sz="4" w:space="0" w:color="auto"/>
            </w:tcBorders>
          </w:tcPr>
          <w:p w14:paraId="105A3F79" w14:textId="038F9555" w:rsidR="00FC34BE" w:rsidRPr="00E42C35" w:rsidRDefault="008E1981" w:rsidP="00836676">
            <w:pPr>
              <w:spacing w:after="120" w:line="276" w:lineRule="auto"/>
              <w:rPr>
                <w:rFonts w:ascii="Calibri" w:hAnsi="Calibri" w:cs="Calibri"/>
                <w:b/>
              </w:rPr>
            </w:pPr>
            <w:r w:rsidRPr="00E42C35">
              <w:rPr>
                <w:rFonts w:ascii="Calibri" w:hAnsi="Calibri" w:cs="Calibri"/>
                <w:b/>
              </w:rPr>
              <w:t>Rule 44DAD of IT Rules 1962, (Section 245MA</w:t>
            </w:r>
            <w:r w:rsidR="00FA69E1" w:rsidRPr="00E42C35">
              <w:rPr>
                <w:rFonts w:ascii="Calibri" w:hAnsi="Calibri" w:cs="Calibri"/>
                <w:b/>
              </w:rPr>
              <w:t xml:space="preserve"> of ITA 1961</w:t>
            </w:r>
            <w:r w:rsidRPr="00E42C35">
              <w:rPr>
                <w:rFonts w:ascii="Calibri" w:hAnsi="Calibri" w:cs="Calibri"/>
                <w:b/>
              </w:rPr>
              <w:t>)</w:t>
            </w:r>
          </w:p>
          <w:p w14:paraId="33952C22" w14:textId="77777777" w:rsidR="00FA69E1" w:rsidRPr="00E42C35" w:rsidRDefault="00FA69E1" w:rsidP="00836676">
            <w:pPr>
              <w:spacing w:after="120" w:line="276" w:lineRule="auto"/>
              <w:rPr>
                <w:rFonts w:ascii="Calibri" w:hAnsi="Calibri" w:cs="Calibri"/>
                <w:b/>
              </w:rPr>
            </w:pPr>
          </w:p>
          <w:p w14:paraId="10687C3E" w14:textId="3E063A2C" w:rsidR="00FA69E1" w:rsidRPr="00E42C35" w:rsidRDefault="00FA69E1" w:rsidP="00836676">
            <w:pPr>
              <w:spacing w:after="120" w:line="276" w:lineRule="auto"/>
              <w:rPr>
                <w:rFonts w:ascii="Calibri" w:hAnsi="Calibri" w:cs="Calibri"/>
                <w:b/>
              </w:rPr>
            </w:pPr>
            <w:r w:rsidRPr="00E42C35">
              <w:rPr>
                <w:rFonts w:ascii="Calibri" w:hAnsi="Calibri" w:cs="Calibri"/>
                <w:b/>
              </w:rPr>
              <w:t>Rule 199 of Draft IT Rules 2026 (section 379 of ITA 2025)</w:t>
            </w:r>
          </w:p>
          <w:p w14:paraId="7F7BA0F1" w14:textId="77777777" w:rsidR="008E1981" w:rsidRPr="00E42C35" w:rsidRDefault="008E1981" w:rsidP="00836676">
            <w:pPr>
              <w:spacing w:after="120" w:line="276" w:lineRule="auto"/>
              <w:rPr>
                <w:rFonts w:ascii="Calibri" w:hAnsi="Calibri" w:cs="Calibri"/>
                <w:b/>
                <w:lang w:bidi="en-US"/>
              </w:rPr>
            </w:pPr>
          </w:p>
          <w:p w14:paraId="3FA132CD" w14:textId="77777777" w:rsidR="00FC34BE" w:rsidRPr="00E42C35" w:rsidRDefault="00FC34BE" w:rsidP="00836676">
            <w:pPr>
              <w:spacing w:after="120" w:line="276" w:lineRule="auto"/>
              <w:rPr>
                <w:rFonts w:ascii="Calibri" w:hAnsi="Calibri" w:cs="Calibri"/>
                <w:b/>
                <w:lang w:bidi="en-US"/>
              </w:rPr>
            </w:pPr>
          </w:p>
        </w:tc>
        <w:tc>
          <w:tcPr>
            <w:tcW w:w="0" w:type="auto"/>
            <w:tcBorders>
              <w:top w:val="single" w:sz="4" w:space="0" w:color="auto"/>
              <w:left w:val="single" w:sz="4" w:space="0" w:color="auto"/>
              <w:bottom w:val="single" w:sz="4" w:space="0" w:color="auto"/>
              <w:right w:val="single" w:sz="4" w:space="0" w:color="auto"/>
            </w:tcBorders>
          </w:tcPr>
          <w:p w14:paraId="1CF47374" w14:textId="538B101E" w:rsidR="00FC34BE" w:rsidRPr="00E42C35" w:rsidRDefault="00E151CA" w:rsidP="00836676">
            <w:pPr>
              <w:spacing w:after="120" w:line="276" w:lineRule="auto"/>
              <w:rPr>
                <w:rFonts w:ascii="Calibri" w:eastAsia="Times New Roman" w:hAnsi="Calibri" w:cs="Calibri"/>
                <w:b/>
                <w:bCs/>
                <w:color w:val="000000"/>
                <w:kern w:val="0"/>
                <w:lang w:eastAsia="en-IN"/>
                <w14:ligatures w14:val="none"/>
              </w:rPr>
            </w:pPr>
            <w:r w:rsidRPr="00E42C35">
              <w:rPr>
                <w:rFonts w:ascii="Calibri" w:eastAsia="Times New Roman" w:hAnsi="Calibri" w:cs="Calibri"/>
                <w:b/>
                <w:bCs/>
                <w:color w:val="000000"/>
                <w:kern w:val="0"/>
                <w:lang w:eastAsia="en-IN"/>
                <w14:ligatures w14:val="none"/>
              </w:rPr>
              <w:t xml:space="preserve">Rationale </w:t>
            </w:r>
          </w:p>
          <w:p w14:paraId="3B5A26EC" w14:textId="77777777" w:rsidR="00E151CA" w:rsidRPr="00E42C35" w:rsidRDefault="00E151CA" w:rsidP="00836676">
            <w:pPr>
              <w:spacing w:after="120" w:line="276" w:lineRule="auto"/>
              <w:rPr>
                <w:rFonts w:ascii="Calibri" w:eastAsia="Times New Roman" w:hAnsi="Calibri" w:cs="Calibri"/>
                <w:color w:val="000000"/>
                <w:kern w:val="0"/>
                <w:u w:val="single"/>
                <w:lang w:eastAsia="en-IN"/>
                <w14:ligatures w14:val="none"/>
              </w:rPr>
            </w:pPr>
            <w:r w:rsidRPr="00E42C35">
              <w:rPr>
                <w:rFonts w:ascii="Calibri" w:eastAsia="Times New Roman" w:hAnsi="Calibri" w:cs="Calibri"/>
                <w:color w:val="000000"/>
                <w:kern w:val="0"/>
                <w:u w:val="single"/>
                <w:lang w:eastAsia="en-IN"/>
                <w14:ligatures w14:val="none"/>
              </w:rPr>
              <w:t>Omission of Explanation in clause (i)(e) of Rule 199</w:t>
            </w:r>
          </w:p>
          <w:p w14:paraId="0C93FA6A" w14:textId="77777777" w:rsidR="00E151CA" w:rsidRPr="00E42C35" w:rsidRDefault="00E151CA" w:rsidP="00836676">
            <w:pPr>
              <w:pStyle w:val="ListParagraph"/>
              <w:numPr>
                <w:ilvl w:val="0"/>
                <w:numId w:val="3"/>
              </w:numPr>
              <w:spacing w:after="120" w:line="276" w:lineRule="auto"/>
              <w:contextualSpacing w:val="0"/>
              <w:rPr>
                <w:rFonts w:ascii="Calibri" w:eastAsia="Times New Roman" w:hAnsi="Calibri" w:cs="Calibri"/>
                <w:color w:val="000000"/>
                <w:kern w:val="0"/>
                <w:lang w:eastAsia="en-IN"/>
                <w14:ligatures w14:val="none"/>
              </w:rPr>
            </w:pPr>
            <w:r w:rsidRPr="00E42C35">
              <w:rPr>
                <w:rFonts w:ascii="Calibri" w:eastAsia="Times New Roman" w:hAnsi="Calibri" w:cs="Calibri"/>
                <w:color w:val="000000"/>
                <w:kern w:val="0"/>
                <w:lang w:eastAsia="en-IN"/>
                <w14:ligatures w14:val="none"/>
              </w:rPr>
              <w:t>Under the earlier Rule 44DAD (2022 regime), clause (ii)(e) expressly included an Explanation:</w:t>
            </w:r>
          </w:p>
          <w:p w14:paraId="23FA5D59" w14:textId="77777777" w:rsidR="00E151CA" w:rsidRPr="00E42C35" w:rsidRDefault="00E151CA" w:rsidP="00836676">
            <w:pPr>
              <w:pStyle w:val="ListParagraph"/>
              <w:spacing w:after="120" w:line="276" w:lineRule="auto"/>
              <w:ind w:left="1083"/>
              <w:contextualSpacing w:val="0"/>
              <w:rPr>
                <w:rFonts w:ascii="Calibri" w:eastAsia="Times New Roman" w:hAnsi="Calibri" w:cs="Calibri"/>
                <w:i/>
                <w:iCs/>
                <w:color w:val="000000"/>
                <w:kern w:val="0"/>
                <w:lang w:eastAsia="en-IN"/>
                <w14:ligatures w14:val="none"/>
              </w:rPr>
            </w:pPr>
            <w:r w:rsidRPr="00E42C35">
              <w:rPr>
                <w:rFonts w:ascii="Calibri" w:eastAsia="Times New Roman" w:hAnsi="Calibri" w:cs="Calibri"/>
                <w:i/>
                <w:iCs/>
                <w:color w:val="000000"/>
                <w:kern w:val="0"/>
                <w:lang w:eastAsia="en-IN"/>
                <w14:ligatures w14:val="none"/>
              </w:rPr>
              <w:t>“For the purposes of clause (e) of sub</w:t>
            </w:r>
            <w:r w:rsidRPr="00E42C35">
              <w:rPr>
                <w:rFonts w:ascii="Calibri" w:eastAsia="Times New Roman" w:hAnsi="Calibri" w:cs="Calibri"/>
                <w:i/>
                <w:iCs/>
                <w:color w:val="000000"/>
                <w:kern w:val="0"/>
                <w:lang w:eastAsia="en-IN"/>
                <w14:ligatures w14:val="none"/>
              </w:rPr>
              <w:noBreakHyphen/>
              <w:t>rule (ii), the variation in the specified order relating to default in deduction or collection of tax at source, shall refer to the amount on which tax has not been deducted or collected in accordance with the Act.”</w:t>
            </w:r>
          </w:p>
          <w:p w14:paraId="56DBD295" w14:textId="77777777" w:rsidR="00E151CA" w:rsidRPr="00E42C35" w:rsidRDefault="00E151CA" w:rsidP="00836676">
            <w:pPr>
              <w:pStyle w:val="ListParagraph"/>
              <w:numPr>
                <w:ilvl w:val="0"/>
                <w:numId w:val="3"/>
              </w:numPr>
              <w:spacing w:after="120" w:line="276" w:lineRule="auto"/>
              <w:contextualSpacing w:val="0"/>
              <w:rPr>
                <w:rFonts w:ascii="Calibri" w:eastAsia="Times New Roman" w:hAnsi="Calibri" w:cs="Calibri"/>
                <w:color w:val="000000"/>
                <w:kern w:val="0"/>
                <w:lang w:eastAsia="en-IN"/>
                <w14:ligatures w14:val="none"/>
              </w:rPr>
            </w:pPr>
            <w:r w:rsidRPr="00E42C35">
              <w:rPr>
                <w:rFonts w:ascii="Calibri" w:eastAsia="Times New Roman" w:hAnsi="Calibri" w:cs="Calibri"/>
                <w:color w:val="000000"/>
                <w:kern w:val="0"/>
                <w:lang w:eastAsia="en-IN"/>
                <w14:ligatures w14:val="none"/>
              </w:rPr>
              <w:t>Such explanation provided clarification on how to compute the “variation” in orders under section 201 (TDS default) and section 206C(6A) (TCS default) and ensured uniform treatment of TDS/TCS default cases, preventing officers from inflating the “variation” by including interest, consequential additions, etc.</w:t>
            </w:r>
          </w:p>
          <w:p w14:paraId="4A2A8142" w14:textId="77777777" w:rsidR="00E151CA" w:rsidRPr="00E42C35" w:rsidRDefault="00E151CA" w:rsidP="00836676">
            <w:pPr>
              <w:pStyle w:val="ListParagraph"/>
              <w:numPr>
                <w:ilvl w:val="0"/>
                <w:numId w:val="3"/>
              </w:numPr>
              <w:spacing w:after="120" w:line="276" w:lineRule="auto"/>
              <w:contextualSpacing w:val="0"/>
              <w:rPr>
                <w:rFonts w:ascii="Calibri" w:eastAsia="Times New Roman" w:hAnsi="Calibri" w:cs="Calibri"/>
                <w:color w:val="000000"/>
                <w:kern w:val="0"/>
                <w:lang w:eastAsia="en-IN"/>
                <w14:ligatures w14:val="none"/>
              </w:rPr>
            </w:pPr>
            <w:r w:rsidRPr="00E42C35">
              <w:rPr>
                <w:rFonts w:ascii="Calibri" w:eastAsia="Times New Roman" w:hAnsi="Calibri" w:cs="Calibri"/>
                <w:color w:val="000000"/>
                <w:kern w:val="0"/>
                <w:lang w:eastAsia="en-IN"/>
                <w14:ligatures w14:val="none"/>
              </w:rPr>
              <w:t>However, in the new Rule 199 (Definitions for Rule 196 to 198 under the Section 379 of IT Act 2025), the corresponding clause (i)(e) includes no such Explanation, and no equivalent clarification exists in the Rule.</w:t>
            </w:r>
          </w:p>
          <w:p w14:paraId="5BADA6BA" w14:textId="77777777" w:rsidR="00E151CA" w:rsidRPr="00E42C35" w:rsidRDefault="00E151CA" w:rsidP="00836676">
            <w:pPr>
              <w:pStyle w:val="ListParagraph"/>
              <w:numPr>
                <w:ilvl w:val="0"/>
                <w:numId w:val="3"/>
              </w:numPr>
              <w:spacing w:after="120" w:line="276" w:lineRule="auto"/>
              <w:contextualSpacing w:val="0"/>
              <w:rPr>
                <w:rFonts w:ascii="Calibri" w:eastAsia="Times New Roman" w:hAnsi="Calibri" w:cs="Calibri"/>
                <w:color w:val="000000"/>
                <w:kern w:val="0"/>
                <w:lang w:eastAsia="en-IN"/>
                <w14:ligatures w14:val="none"/>
              </w:rPr>
            </w:pPr>
            <w:r w:rsidRPr="00E42C35">
              <w:rPr>
                <w:rFonts w:ascii="Calibri" w:eastAsia="Times New Roman" w:hAnsi="Calibri" w:cs="Calibri"/>
                <w:color w:val="000000"/>
                <w:kern w:val="0"/>
                <w:lang w:eastAsia="en-IN"/>
                <w14:ligatures w14:val="none"/>
              </w:rPr>
              <w:t>Such omission creates material ambiguity because the term “aggregate sum of variations” is used identically in the new rule but is undefined—unlike the earlier rule.</w:t>
            </w:r>
          </w:p>
          <w:p w14:paraId="111A2C97" w14:textId="77777777" w:rsidR="00E151CA" w:rsidRPr="00E42C35" w:rsidRDefault="00E151CA" w:rsidP="00836676">
            <w:pPr>
              <w:spacing w:after="120" w:line="276" w:lineRule="auto"/>
              <w:rPr>
                <w:rFonts w:ascii="Calibri" w:eastAsia="Times New Roman" w:hAnsi="Calibri" w:cs="Calibri"/>
                <w:color w:val="000000"/>
                <w:kern w:val="0"/>
                <w:u w:val="single"/>
                <w:lang w:eastAsia="en-IN"/>
                <w14:ligatures w14:val="none"/>
              </w:rPr>
            </w:pPr>
            <w:r w:rsidRPr="00E42C35">
              <w:rPr>
                <w:rFonts w:ascii="Calibri" w:eastAsia="Times New Roman" w:hAnsi="Calibri" w:cs="Calibri"/>
                <w:color w:val="000000"/>
                <w:kern w:val="0"/>
                <w:u w:val="single"/>
                <w:lang w:eastAsia="en-IN"/>
                <w14:ligatures w14:val="none"/>
              </w:rPr>
              <w:t>Ambiguity in the ‘specific conditions’ for an Applicant under DRC regime in clause (ii)(E) of Rule 199:</w:t>
            </w:r>
          </w:p>
          <w:p w14:paraId="4ADF8DFF" w14:textId="77777777" w:rsidR="00E151CA" w:rsidRPr="00E42C35" w:rsidRDefault="00E151CA" w:rsidP="00836676">
            <w:pPr>
              <w:pStyle w:val="ListParagraph"/>
              <w:numPr>
                <w:ilvl w:val="0"/>
                <w:numId w:val="3"/>
              </w:numPr>
              <w:spacing w:after="120" w:line="276" w:lineRule="auto"/>
              <w:contextualSpacing w:val="0"/>
              <w:rPr>
                <w:rFonts w:ascii="Calibri" w:eastAsia="Times New Roman" w:hAnsi="Calibri" w:cs="Calibri"/>
                <w:color w:val="000000"/>
                <w:kern w:val="0"/>
                <w:lang w:eastAsia="en-IN"/>
                <w14:ligatures w14:val="none"/>
              </w:rPr>
            </w:pPr>
            <w:r w:rsidRPr="00E42C35">
              <w:rPr>
                <w:rFonts w:ascii="Calibri" w:eastAsia="Times New Roman" w:hAnsi="Calibri" w:cs="Calibri"/>
                <w:color w:val="000000"/>
                <w:kern w:val="0"/>
                <w:lang w:eastAsia="en-IN"/>
                <w14:ligatures w14:val="none"/>
              </w:rPr>
              <w:t>Clause (ii)(E) of Rule 199 states that a person is eligible only where proceedings under the Black Money Act (BMA) “have not been initiated” for the relevant tax year.</w:t>
            </w:r>
          </w:p>
          <w:p w14:paraId="1A094F38" w14:textId="77777777" w:rsidR="00E151CA" w:rsidRPr="00E42C35" w:rsidRDefault="00E151CA" w:rsidP="00836676">
            <w:pPr>
              <w:pStyle w:val="ListParagraph"/>
              <w:numPr>
                <w:ilvl w:val="0"/>
                <w:numId w:val="3"/>
              </w:numPr>
              <w:spacing w:after="120" w:line="276" w:lineRule="auto"/>
              <w:contextualSpacing w:val="0"/>
              <w:rPr>
                <w:rFonts w:ascii="Calibri" w:eastAsia="Times New Roman" w:hAnsi="Calibri" w:cs="Calibri"/>
                <w:color w:val="000000"/>
                <w:kern w:val="0"/>
                <w:lang w:eastAsia="en-IN"/>
                <w14:ligatures w14:val="none"/>
              </w:rPr>
            </w:pPr>
            <w:r w:rsidRPr="00E42C35">
              <w:rPr>
                <w:rFonts w:ascii="Calibri" w:eastAsia="Times New Roman" w:hAnsi="Calibri" w:cs="Calibri"/>
                <w:color w:val="000000"/>
                <w:kern w:val="0"/>
                <w:lang w:eastAsia="en-IN"/>
                <w14:ligatures w14:val="none"/>
              </w:rPr>
              <w:t>Relevant extract reproduced below:</w:t>
            </w:r>
          </w:p>
          <w:p w14:paraId="543533B8" w14:textId="77777777" w:rsidR="00E151CA" w:rsidRPr="00E42C35" w:rsidRDefault="00E151CA" w:rsidP="00836676">
            <w:pPr>
              <w:pStyle w:val="ListParagraph"/>
              <w:spacing w:after="120" w:line="276" w:lineRule="auto"/>
              <w:ind w:left="1083"/>
              <w:contextualSpacing w:val="0"/>
              <w:rPr>
                <w:rFonts w:ascii="Calibri" w:eastAsia="Times New Roman" w:hAnsi="Calibri" w:cs="Calibri"/>
                <w:i/>
                <w:iCs/>
                <w:color w:val="000000"/>
                <w:kern w:val="0"/>
                <w:lang w:eastAsia="en-IN"/>
                <w14:ligatures w14:val="none"/>
              </w:rPr>
            </w:pPr>
            <w:r w:rsidRPr="00E42C35">
              <w:rPr>
                <w:rFonts w:ascii="Calibri" w:eastAsia="Times New Roman" w:hAnsi="Calibri" w:cs="Calibri"/>
                <w:i/>
                <w:iCs/>
                <w:color w:val="000000"/>
                <w:kern w:val="0"/>
                <w:lang w:eastAsia="en-IN"/>
                <w14:ligatures w14:val="none"/>
              </w:rPr>
              <w:t>“(E) where he is not a person in respect of whom proceedings under the Black Money (Undisclosed Foreign Income and Assets) and Imposition of Tax Act, 2015 have not been initiated for the tax year for which resolution of dispute is sought.”</w:t>
            </w:r>
          </w:p>
          <w:p w14:paraId="6CCE3546" w14:textId="77777777" w:rsidR="00E151CA" w:rsidRPr="00E42C35" w:rsidRDefault="00E151CA" w:rsidP="00836676">
            <w:pPr>
              <w:pStyle w:val="ListParagraph"/>
              <w:numPr>
                <w:ilvl w:val="0"/>
                <w:numId w:val="3"/>
              </w:numPr>
              <w:spacing w:after="120" w:line="276" w:lineRule="auto"/>
              <w:contextualSpacing w:val="0"/>
              <w:rPr>
                <w:rFonts w:ascii="Calibri" w:eastAsia="Times New Roman" w:hAnsi="Calibri" w:cs="Calibri"/>
                <w:color w:val="000000"/>
                <w:kern w:val="0"/>
                <w:lang w:eastAsia="en-IN"/>
                <w14:ligatures w14:val="none"/>
              </w:rPr>
            </w:pPr>
            <w:r w:rsidRPr="00E42C35">
              <w:rPr>
                <w:rFonts w:ascii="Calibri" w:eastAsia="Times New Roman" w:hAnsi="Calibri" w:cs="Calibri"/>
                <w:color w:val="000000"/>
                <w:kern w:val="0"/>
                <w:lang w:eastAsia="en-IN"/>
                <w14:ligatures w14:val="none"/>
              </w:rPr>
              <w:t xml:space="preserve">Such draft, contains a double negative ~ </w:t>
            </w:r>
            <w:r w:rsidRPr="00E42C35">
              <w:rPr>
                <w:rFonts w:ascii="Calibri" w:eastAsia="Times New Roman" w:hAnsi="Calibri" w:cs="Calibri"/>
                <w:b/>
                <w:bCs/>
                <w:color w:val="000000"/>
                <w:kern w:val="0"/>
                <w:lang w:eastAsia="en-IN"/>
                <w14:ligatures w14:val="none"/>
              </w:rPr>
              <w:t>“is not a person” &amp; “in respect of whom proceedings… have not been initiated</w:t>
            </w:r>
            <w:r w:rsidRPr="00E42C35">
              <w:rPr>
                <w:rFonts w:ascii="Calibri" w:eastAsia="Times New Roman" w:hAnsi="Calibri" w:cs="Calibri"/>
                <w:color w:val="000000"/>
                <w:kern w:val="0"/>
                <w:lang w:eastAsia="en-IN"/>
                <w14:ligatures w14:val="none"/>
              </w:rPr>
              <w:t>”</w:t>
            </w:r>
          </w:p>
          <w:p w14:paraId="24D6E384" w14:textId="77777777" w:rsidR="00E151CA" w:rsidRPr="00E42C35" w:rsidRDefault="00E151CA" w:rsidP="00836676">
            <w:pPr>
              <w:pStyle w:val="ListParagraph"/>
              <w:numPr>
                <w:ilvl w:val="0"/>
                <w:numId w:val="3"/>
              </w:numPr>
              <w:spacing w:after="120" w:line="276" w:lineRule="auto"/>
              <w:contextualSpacing w:val="0"/>
              <w:rPr>
                <w:rFonts w:ascii="Calibri" w:eastAsia="Times New Roman" w:hAnsi="Calibri" w:cs="Calibri"/>
                <w:b/>
                <w:bCs/>
                <w:color w:val="000000"/>
                <w:kern w:val="0"/>
                <w:lang w:eastAsia="en-IN"/>
                <w14:ligatures w14:val="none"/>
              </w:rPr>
            </w:pPr>
            <w:r w:rsidRPr="00E42C35">
              <w:rPr>
                <w:rFonts w:ascii="Calibri" w:eastAsia="Times New Roman" w:hAnsi="Calibri" w:cs="Calibri"/>
                <w:color w:val="000000"/>
                <w:kern w:val="0"/>
                <w:lang w:eastAsia="en-IN"/>
                <w14:ligatures w14:val="none"/>
              </w:rPr>
              <w:lastRenderedPageBreak/>
              <w:t xml:space="preserve">On literal interpretation, clause means that taxpayer must be a person </w:t>
            </w:r>
            <w:r w:rsidRPr="00E42C35">
              <w:rPr>
                <w:rFonts w:ascii="Calibri" w:eastAsia="Times New Roman" w:hAnsi="Calibri" w:cs="Calibri"/>
                <w:b/>
                <w:bCs/>
                <w:color w:val="000000"/>
                <w:kern w:val="0"/>
                <w:lang w:eastAsia="en-IN"/>
                <w14:ligatures w14:val="none"/>
              </w:rPr>
              <w:t>in respect of whom BMA proceedings have been initiated—</w:t>
            </w:r>
            <w:r w:rsidRPr="00E42C35">
              <w:rPr>
                <w:rFonts w:ascii="Calibri" w:eastAsia="Times New Roman" w:hAnsi="Calibri" w:cs="Calibri"/>
                <w:color w:val="000000"/>
                <w:kern w:val="0"/>
                <w:lang w:eastAsia="en-IN"/>
                <w14:ligatures w14:val="none"/>
              </w:rPr>
              <w:t>because:</w:t>
            </w:r>
          </w:p>
          <w:p w14:paraId="1FDB4CE6" w14:textId="77777777" w:rsidR="004429B4" w:rsidRPr="00E42C35" w:rsidRDefault="00E151CA" w:rsidP="00836676">
            <w:pPr>
              <w:pStyle w:val="ListParagraph"/>
              <w:spacing w:after="120" w:line="276" w:lineRule="auto"/>
              <w:ind w:left="1225"/>
              <w:contextualSpacing w:val="0"/>
              <w:rPr>
                <w:rFonts w:ascii="Calibri" w:eastAsia="Times New Roman" w:hAnsi="Calibri" w:cs="Calibri"/>
                <w:color w:val="000000"/>
                <w:kern w:val="0"/>
                <w:lang w:eastAsia="en-IN"/>
                <w14:ligatures w14:val="none"/>
              </w:rPr>
            </w:pPr>
            <w:r w:rsidRPr="00E42C35">
              <w:rPr>
                <w:rFonts w:ascii="Calibri" w:eastAsia="Times New Roman" w:hAnsi="Calibri" w:cs="Calibri"/>
                <w:color w:val="000000"/>
                <w:kern w:val="0"/>
                <w:lang w:eastAsia="en-IN"/>
                <w14:ligatures w14:val="none"/>
              </w:rPr>
              <w:t>“Not a person in respect of whom proceedings have not been initiated”</w:t>
            </w:r>
            <w:r w:rsidRPr="00E42C35">
              <w:rPr>
                <w:rFonts w:ascii="Calibri" w:eastAsia="Times New Roman" w:hAnsi="Calibri" w:cs="Calibri"/>
                <w:color w:val="000000"/>
                <w:kern w:val="0"/>
                <w:lang w:eastAsia="en-IN"/>
                <w14:ligatures w14:val="none"/>
              </w:rPr>
              <w:br/>
            </w:r>
          </w:p>
          <w:p w14:paraId="342051E8" w14:textId="42FE35F9" w:rsidR="00E151CA" w:rsidRPr="00E42C35" w:rsidRDefault="00E151CA" w:rsidP="0076715C">
            <w:pPr>
              <w:pStyle w:val="ListParagraph"/>
              <w:spacing w:after="120" w:line="276" w:lineRule="auto"/>
              <w:contextualSpacing w:val="0"/>
              <w:rPr>
                <w:rFonts w:ascii="Calibri" w:eastAsia="Times New Roman" w:hAnsi="Calibri" w:cs="Calibri"/>
                <w:color w:val="000000"/>
                <w:kern w:val="0"/>
                <w:lang w:eastAsia="en-IN"/>
                <w14:ligatures w14:val="none"/>
              </w:rPr>
            </w:pPr>
            <w:r w:rsidRPr="00E42C35">
              <w:rPr>
                <w:rFonts w:ascii="Calibri" w:eastAsia="Times New Roman" w:hAnsi="Calibri" w:cs="Calibri"/>
                <w:color w:val="000000"/>
                <w:kern w:val="0"/>
                <w:lang w:eastAsia="en-IN"/>
                <w14:ligatures w14:val="none"/>
              </w:rPr>
              <w:t>logically resolves to:</w:t>
            </w:r>
            <w:r w:rsidRPr="00E42C35">
              <w:rPr>
                <w:rFonts w:ascii="Calibri" w:eastAsia="Times New Roman" w:hAnsi="Calibri" w:cs="Calibri"/>
                <w:color w:val="000000"/>
                <w:kern w:val="0"/>
                <w:lang w:eastAsia="en-IN"/>
                <w14:ligatures w14:val="none"/>
              </w:rPr>
              <w:br/>
              <w:t>“A person in respect of whom proceedings have been initiated.”</w:t>
            </w:r>
          </w:p>
          <w:p w14:paraId="0945A79F" w14:textId="5853A752" w:rsidR="00E151CA" w:rsidRPr="00E42C35" w:rsidRDefault="00E151CA" w:rsidP="00836676">
            <w:pPr>
              <w:pStyle w:val="ListParagraph"/>
              <w:numPr>
                <w:ilvl w:val="0"/>
                <w:numId w:val="3"/>
              </w:numPr>
              <w:spacing w:after="120" w:line="276" w:lineRule="auto"/>
              <w:contextualSpacing w:val="0"/>
              <w:rPr>
                <w:rFonts w:ascii="Calibri" w:eastAsia="Times New Roman" w:hAnsi="Calibri" w:cs="Calibri"/>
                <w:color w:val="000000"/>
                <w:kern w:val="0"/>
                <w:lang w:eastAsia="en-IN"/>
                <w14:ligatures w14:val="none"/>
              </w:rPr>
            </w:pPr>
            <w:r w:rsidRPr="00E42C35">
              <w:rPr>
                <w:rFonts w:ascii="Calibri" w:eastAsia="Times New Roman" w:hAnsi="Calibri" w:cs="Calibri"/>
                <w:color w:val="000000"/>
                <w:kern w:val="0"/>
                <w:lang w:eastAsia="en-IN"/>
                <w14:ligatures w14:val="none"/>
              </w:rPr>
              <w:t>This is opposite of the intended statutory purpose of DRC framework (which excludes persons with BMA proceedings) which is clearly expressed in erstwhile Rule 44DAD therefore suggesting an inclusion rather than an exclusion, thereby creating an internally contradictory definition of “specified person”</w:t>
            </w:r>
            <w:r w:rsidR="003B19E0" w:rsidRPr="00E42C35">
              <w:rPr>
                <w:rFonts w:ascii="Calibri" w:eastAsia="Times New Roman" w:hAnsi="Calibri" w:cs="Calibri"/>
                <w:color w:val="000000"/>
                <w:kern w:val="0"/>
                <w:lang w:eastAsia="en-IN"/>
                <w14:ligatures w14:val="none"/>
              </w:rPr>
              <w:t>.</w:t>
            </w:r>
          </w:p>
          <w:p w14:paraId="5ABFD0D6" w14:textId="07845E17" w:rsidR="003B19E0" w:rsidRPr="00E42C35" w:rsidRDefault="003B19E0" w:rsidP="00836676">
            <w:pPr>
              <w:spacing w:after="120" w:line="276" w:lineRule="auto"/>
              <w:rPr>
                <w:rFonts w:ascii="Calibri" w:eastAsia="Times New Roman" w:hAnsi="Calibri" w:cs="Calibri"/>
                <w:b/>
                <w:bCs/>
                <w:color w:val="000000"/>
                <w:kern w:val="0"/>
                <w:lang w:eastAsia="en-IN"/>
                <w14:ligatures w14:val="none"/>
              </w:rPr>
            </w:pPr>
            <w:r w:rsidRPr="00E42C35">
              <w:rPr>
                <w:rFonts w:ascii="Calibri" w:eastAsia="Times New Roman" w:hAnsi="Calibri" w:cs="Calibri"/>
                <w:b/>
                <w:bCs/>
                <w:color w:val="000000"/>
                <w:kern w:val="0"/>
                <w:lang w:eastAsia="en-IN"/>
                <w14:ligatures w14:val="none"/>
              </w:rPr>
              <w:t>Recommendation</w:t>
            </w:r>
          </w:p>
          <w:p w14:paraId="30B2A176" w14:textId="77777777" w:rsidR="003B19E0" w:rsidRPr="00E42C35" w:rsidRDefault="003B19E0" w:rsidP="00836676">
            <w:pPr>
              <w:pStyle w:val="ListParagraph"/>
              <w:numPr>
                <w:ilvl w:val="0"/>
                <w:numId w:val="3"/>
              </w:numPr>
              <w:spacing w:after="120" w:line="276" w:lineRule="auto"/>
              <w:contextualSpacing w:val="0"/>
              <w:rPr>
                <w:rFonts w:ascii="Calibri" w:eastAsia="Times New Roman" w:hAnsi="Calibri" w:cs="Calibri"/>
                <w:color w:val="000000"/>
                <w:kern w:val="0"/>
                <w:u w:val="single"/>
                <w:lang w:eastAsia="en-IN"/>
                <w14:ligatures w14:val="none"/>
              </w:rPr>
            </w:pPr>
            <w:r w:rsidRPr="00E42C35">
              <w:rPr>
                <w:rFonts w:ascii="Calibri" w:eastAsia="Times New Roman" w:hAnsi="Calibri" w:cs="Calibri"/>
                <w:color w:val="000000"/>
                <w:kern w:val="0"/>
                <w:u w:val="single"/>
                <w:lang w:eastAsia="en-IN"/>
                <w14:ligatures w14:val="none"/>
              </w:rPr>
              <w:t>Omission of Explanation in clause (i)(e) of Rule 199</w:t>
            </w:r>
          </w:p>
          <w:p w14:paraId="4FE90BED" w14:textId="77777777" w:rsidR="003B19E0" w:rsidRPr="00E42C35" w:rsidRDefault="003B19E0" w:rsidP="00836676">
            <w:pPr>
              <w:pStyle w:val="ListParagraph"/>
              <w:spacing w:after="120" w:line="276" w:lineRule="auto"/>
              <w:contextualSpacing w:val="0"/>
              <w:rPr>
                <w:rFonts w:ascii="Calibri" w:eastAsia="Times New Roman" w:hAnsi="Calibri" w:cs="Calibri"/>
                <w:color w:val="000000"/>
                <w:kern w:val="0"/>
                <w:lang w:eastAsia="en-IN"/>
                <w14:ligatures w14:val="none"/>
              </w:rPr>
            </w:pPr>
            <w:r w:rsidRPr="00E42C35">
              <w:rPr>
                <w:rFonts w:ascii="Calibri" w:eastAsia="Times New Roman" w:hAnsi="Calibri" w:cs="Calibri"/>
                <w:color w:val="000000"/>
                <w:kern w:val="0"/>
                <w:lang w:eastAsia="en-IN"/>
                <w14:ligatures w14:val="none"/>
              </w:rPr>
              <w:t>To maintain consistency with the earlier DRC design, ensure definitional continuity, and prevent arbitrary disqualification, it is recommended to reinstate or explicitly insert an Explanation in Rule 199 similar to the former Rule 44DAD text.</w:t>
            </w:r>
          </w:p>
          <w:p w14:paraId="28DFFDEA" w14:textId="77777777" w:rsidR="003B19E0" w:rsidRPr="00E42C35" w:rsidRDefault="003B19E0" w:rsidP="00836676">
            <w:pPr>
              <w:pStyle w:val="ListParagraph"/>
              <w:numPr>
                <w:ilvl w:val="0"/>
                <w:numId w:val="3"/>
              </w:numPr>
              <w:spacing w:after="120" w:line="276" w:lineRule="auto"/>
              <w:contextualSpacing w:val="0"/>
              <w:rPr>
                <w:rFonts w:ascii="Calibri" w:eastAsia="Times New Roman" w:hAnsi="Calibri" w:cs="Calibri"/>
                <w:color w:val="000000"/>
                <w:kern w:val="0"/>
                <w:lang w:eastAsia="en-IN"/>
                <w14:ligatures w14:val="none"/>
              </w:rPr>
            </w:pPr>
            <w:r w:rsidRPr="00E42C35">
              <w:rPr>
                <w:rFonts w:ascii="Calibri" w:eastAsia="Times New Roman" w:hAnsi="Calibri" w:cs="Calibri"/>
                <w:color w:val="000000"/>
                <w:kern w:val="0"/>
                <w:lang w:eastAsia="en-IN"/>
                <w14:ligatures w14:val="none"/>
              </w:rPr>
              <w:t>Proposed text:</w:t>
            </w:r>
          </w:p>
          <w:p w14:paraId="341CC0F7" w14:textId="1945A261" w:rsidR="003B19E0" w:rsidRPr="00E42C35" w:rsidRDefault="003B19E0" w:rsidP="00836676">
            <w:pPr>
              <w:pStyle w:val="ListParagraph"/>
              <w:spacing w:after="120" w:line="276" w:lineRule="auto"/>
              <w:contextualSpacing w:val="0"/>
              <w:rPr>
                <w:rFonts w:ascii="Calibri" w:eastAsia="Times New Roman" w:hAnsi="Calibri" w:cs="Calibri"/>
                <w:i/>
                <w:iCs/>
                <w:color w:val="000000"/>
                <w:kern w:val="0"/>
                <w:lang w:eastAsia="en-IN"/>
                <w14:ligatures w14:val="none"/>
              </w:rPr>
            </w:pPr>
            <w:r w:rsidRPr="00E42C35">
              <w:rPr>
                <w:rFonts w:ascii="Calibri" w:eastAsia="Times New Roman" w:hAnsi="Calibri" w:cs="Calibri"/>
                <w:i/>
                <w:iCs/>
                <w:color w:val="000000"/>
                <w:kern w:val="0"/>
                <w:lang w:eastAsia="en-IN"/>
                <w14:ligatures w14:val="none"/>
              </w:rPr>
              <w:t>“Explanation</w:t>
            </w:r>
            <w:r w:rsidR="009631A8" w:rsidRPr="00E42C35">
              <w:rPr>
                <w:rFonts w:ascii="Calibri" w:eastAsia="Times New Roman" w:hAnsi="Calibri" w:cs="Calibri"/>
                <w:i/>
                <w:iCs/>
                <w:color w:val="000000"/>
                <w:kern w:val="0"/>
                <w:lang w:eastAsia="en-IN"/>
                <w14:ligatures w14:val="none"/>
              </w:rPr>
              <w:t xml:space="preserve"> </w:t>
            </w:r>
            <w:r w:rsidRPr="00E42C35">
              <w:rPr>
                <w:rFonts w:ascii="Calibri" w:eastAsia="Times New Roman" w:hAnsi="Calibri" w:cs="Calibri"/>
                <w:i/>
                <w:iCs/>
                <w:color w:val="000000"/>
                <w:kern w:val="0"/>
                <w:lang w:eastAsia="en-IN"/>
                <w14:ligatures w14:val="none"/>
              </w:rPr>
              <w:t>—For the purposes of clause (i)(e), in respect of orders relating to default in deduction or collection of tax at source, the ‘variation’ shall mean only the amount on which tax has not been deducted or collected in accordance with the Act”</w:t>
            </w:r>
          </w:p>
          <w:p w14:paraId="4774DACE" w14:textId="77777777" w:rsidR="003B19E0" w:rsidRPr="00E42C35" w:rsidRDefault="003B19E0" w:rsidP="00836676">
            <w:pPr>
              <w:pStyle w:val="ListParagraph"/>
              <w:numPr>
                <w:ilvl w:val="0"/>
                <w:numId w:val="3"/>
              </w:numPr>
              <w:spacing w:after="120" w:line="276" w:lineRule="auto"/>
              <w:contextualSpacing w:val="0"/>
              <w:rPr>
                <w:rFonts w:ascii="Calibri" w:eastAsia="Times New Roman" w:hAnsi="Calibri" w:cs="Calibri"/>
                <w:color w:val="000000"/>
                <w:kern w:val="0"/>
                <w:u w:val="single"/>
                <w:lang w:eastAsia="en-IN"/>
                <w14:ligatures w14:val="none"/>
              </w:rPr>
            </w:pPr>
            <w:r w:rsidRPr="00E42C35">
              <w:rPr>
                <w:rFonts w:ascii="Calibri" w:eastAsia="Times New Roman" w:hAnsi="Calibri" w:cs="Calibri"/>
                <w:color w:val="000000"/>
                <w:kern w:val="0"/>
                <w:u w:val="single"/>
                <w:lang w:eastAsia="en-IN"/>
                <w14:ligatures w14:val="none"/>
              </w:rPr>
              <w:t>Ambiguity in the ‘specific conditions’ for an Applicant under DRC regime in clause (ii)(E) of Rule 199:</w:t>
            </w:r>
          </w:p>
          <w:p w14:paraId="68FAF3BD" w14:textId="77777777" w:rsidR="003B19E0" w:rsidRPr="00E42C35" w:rsidRDefault="003B19E0" w:rsidP="00836676">
            <w:pPr>
              <w:pStyle w:val="ListParagraph"/>
              <w:spacing w:after="120" w:line="276" w:lineRule="auto"/>
              <w:contextualSpacing w:val="0"/>
              <w:rPr>
                <w:rFonts w:ascii="Calibri" w:eastAsia="Times New Roman" w:hAnsi="Calibri" w:cs="Calibri"/>
                <w:color w:val="000000"/>
                <w:kern w:val="0"/>
                <w:lang w:eastAsia="en-IN"/>
                <w14:ligatures w14:val="none"/>
              </w:rPr>
            </w:pPr>
            <w:r w:rsidRPr="00E42C35">
              <w:rPr>
                <w:rFonts w:ascii="Calibri" w:eastAsia="Times New Roman" w:hAnsi="Calibri" w:cs="Calibri"/>
                <w:color w:val="000000"/>
                <w:kern w:val="0"/>
                <w:lang w:eastAsia="en-IN"/>
                <w14:ligatures w14:val="none"/>
              </w:rPr>
              <w:t>Redraft the Rule to align with the original intent and ensure the clause operates as an exclusion, not an inclusion.</w:t>
            </w:r>
          </w:p>
          <w:p w14:paraId="7E6590DE" w14:textId="77777777" w:rsidR="003B19E0" w:rsidRPr="00E42C35" w:rsidRDefault="003B19E0" w:rsidP="00836676">
            <w:pPr>
              <w:pStyle w:val="ListParagraph"/>
              <w:numPr>
                <w:ilvl w:val="0"/>
                <w:numId w:val="3"/>
              </w:numPr>
              <w:spacing w:after="120" w:line="276" w:lineRule="auto"/>
              <w:contextualSpacing w:val="0"/>
              <w:rPr>
                <w:rFonts w:ascii="Calibri" w:eastAsia="Times New Roman" w:hAnsi="Calibri" w:cs="Calibri"/>
                <w:color w:val="000000"/>
                <w:kern w:val="0"/>
                <w:lang w:eastAsia="en-IN"/>
                <w14:ligatures w14:val="none"/>
              </w:rPr>
            </w:pPr>
            <w:r w:rsidRPr="00E42C35">
              <w:rPr>
                <w:rFonts w:ascii="Calibri" w:eastAsia="Times New Roman" w:hAnsi="Calibri" w:cs="Calibri"/>
                <w:color w:val="000000"/>
                <w:kern w:val="0"/>
                <w:lang w:eastAsia="en-IN"/>
                <w14:ligatures w14:val="none"/>
              </w:rPr>
              <w:t>Proposed text:</w:t>
            </w:r>
          </w:p>
          <w:p w14:paraId="1973947B" w14:textId="77777777" w:rsidR="003B19E0" w:rsidRPr="00E42C35" w:rsidRDefault="003B19E0" w:rsidP="00836676">
            <w:pPr>
              <w:pStyle w:val="ListParagraph"/>
              <w:spacing w:after="120" w:line="276" w:lineRule="auto"/>
              <w:contextualSpacing w:val="0"/>
              <w:rPr>
                <w:rFonts w:ascii="Calibri" w:eastAsia="Times New Roman" w:hAnsi="Calibri" w:cs="Calibri"/>
                <w:i/>
                <w:iCs/>
                <w:color w:val="000000"/>
                <w:kern w:val="0"/>
                <w:lang w:eastAsia="en-IN"/>
                <w14:ligatures w14:val="none"/>
              </w:rPr>
            </w:pPr>
            <w:r w:rsidRPr="00E42C35">
              <w:rPr>
                <w:rFonts w:ascii="Calibri" w:eastAsia="Times New Roman" w:hAnsi="Calibri" w:cs="Calibri"/>
                <w:i/>
                <w:iCs/>
                <w:color w:val="000000"/>
                <w:kern w:val="0"/>
                <w:lang w:eastAsia="en-IN"/>
                <w14:ligatures w14:val="none"/>
              </w:rPr>
              <w:lastRenderedPageBreak/>
              <w:t>“(E) he is not a person in respect of whom proceedings under the Black Money (Undisclosed Foreign Income and Assets) and Imposition of Tax Act, 2015 have been initiated for the tax year for which dispute resolution is sought.”</w:t>
            </w:r>
          </w:p>
          <w:p w14:paraId="2626C1B5" w14:textId="2903D7BD" w:rsidR="00FC34BE" w:rsidRPr="00E42C35" w:rsidRDefault="003B19E0" w:rsidP="00836676">
            <w:pPr>
              <w:pStyle w:val="ListParagraph"/>
              <w:numPr>
                <w:ilvl w:val="0"/>
                <w:numId w:val="3"/>
              </w:numPr>
              <w:spacing w:after="120" w:line="276" w:lineRule="auto"/>
              <w:contextualSpacing w:val="0"/>
              <w:rPr>
                <w:rFonts w:ascii="Calibri" w:eastAsia="Times New Roman" w:hAnsi="Calibri" w:cs="Calibri"/>
                <w:color w:val="000000"/>
                <w:kern w:val="0"/>
                <w:lang w:eastAsia="en-IN"/>
                <w14:ligatures w14:val="none"/>
              </w:rPr>
            </w:pPr>
            <w:r w:rsidRPr="00E42C35">
              <w:rPr>
                <w:rFonts w:ascii="Calibri" w:eastAsia="Times New Roman" w:hAnsi="Calibri" w:cs="Calibri"/>
                <w:color w:val="000000"/>
                <w:kern w:val="0"/>
                <w:lang w:eastAsia="en-IN"/>
                <w14:ligatures w14:val="none"/>
              </w:rPr>
              <w:t>This removes double negative restoring clause’s original intent.</w:t>
            </w:r>
          </w:p>
        </w:tc>
      </w:tr>
      <w:tr w:rsidR="00DF7281" w:rsidRPr="00E42C35" w14:paraId="783DB67B" w14:textId="77777777" w:rsidTr="000813D3">
        <w:trPr>
          <w:trHeight w:val="20"/>
        </w:trPr>
        <w:tc>
          <w:tcPr>
            <w:tcW w:w="846" w:type="dxa"/>
            <w:tcBorders>
              <w:top w:val="single" w:sz="4" w:space="0" w:color="auto"/>
              <w:left w:val="single" w:sz="4" w:space="0" w:color="auto"/>
              <w:bottom w:val="single" w:sz="4" w:space="0" w:color="auto"/>
              <w:right w:val="single" w:sz="4" w:space="0" w:color="auto"/>
            </w:tcBorders>
          </w:tcPr>
          <w:p w14:paraId="02219E0B" w14:textId="77777777" w:rsidR="00DF7281" w:rsidRPr="00E42C35" w:rsidRDefault="00DF7281" w:rsidP="00836676">
            <w:pPr>
              <w:numPr>
                <w:ilvl w:val="0"/>
                <w:numId w:val="2"/>
              </w:numPr>
              <w:spacing w:after="120" w:line="276" w:lineRule="auto"/>
              <w:rPr>
                <w:rFonts w:ascii="Calibri" w:hAnsi="Calibri" w:cs="Calibri"/>
                <w:lang w:bidi="en-US"/>
              </w:rPr>
            </w:pPr>
          </w:p>
        </w:tc>
        <w:tc>
          <w:tcPr>
            <w:tcW w:w="2637" w:type="dxa"/>
            <w:tcBorders>
              <w:top w:val="single" w:sz="4" w:space="0" w:color="auto"/>
              <w:left w:val="single" w:sz="4" w:space="0" w:color="auto"/>
              <w:bottom w:val="single" w:sz="4" w:space="0" w:color="auto"/>
              <w:right w:val="single" w:sz="4" w:space="0" w:color="auto"/>
            </w:tcBorders>
          </w:tcPr>
          <w:p w14:paraId="378FBE54" w14:textId="77777777" w:rsidR="00DF7281" w:rsidRPr="00E42C35" w:rsidRDefault="00DF7281" w:rsidP="00836676">
            <w:pPr>
              <w:spacing w:after="120" w:line="276" w:lineRule="auto"/>
              <w:rPr>
                <w:rFonts w:ascii="Calibri" w:eastAsia="Times New Roman" w:hAnsi="Calibri" w:cs="Calibri"/>
                <w:b/>
                <w:color w:val="000000"/>
                <w:kern w:val="0"/>
                <w:lang w:eastAsia="en-IN"/>
                <w14:ligatures w14:val="none"/>
              </w:rPr>
            </w:pPr>
            <w:r w:rsidRPr="00E42C35">
              <w:rPr>
                <w:rFonts w:ascii="Calibri" w:eastAsia="Times New Roman" w:hAnsi="Calibri" w:cs="Calibri"/>
                <w:b/>
                <w:color w:val="000000"/>
                <w:kern w:val="0"/>
                <w:lang w:eastAsia="en-IN"/>
                <w14:ligatures w14:val="none"/>
              </w:rPr>
              <w:t>Application for grant of certificate for determination of appropriate proportion of sum (other than Salary), payable to non-resident, chargeable in case of the recipients</w:t>
            </w:r>
          </w:p>
          <w:p w14:paraId="20855C6F" w14:textId="77777777" w:rsidR="00DF7281" w:rsidRPr="00E42C35" w:rsidRDefault="00DF7281" w:rsidP="00836676">
            <w:pPr>
              <w:spacing w:after="120" w:line="276" w:lineRule="auto"/>
              <w:ind w:left="61"/>
              <w:rPr>
                <w:rFonts w:ascii="Calibri" w:eastAsia="Times New Roman" w:hAnsi="Calibri" w:cs="Calibri"/>
                <w:b/>
                <w:color w:val="000000"/>
                <w:kern w:val="0"/>
                <w:lang w:eastAsia="en-IN"/>
                <w14:ligatures w14:val="none"/>
              </w:rPr>
            </w:pPr>
          </w:p>
          <w:p w14:paraId="70B98B27" w14:textId="77777777" w:rsidR="00DF7281" w:rsidRPr="00E42C35" w:rsidRDefault="00DF7281" w:rsidP="00836676">
            <w:pPr>
              <w:spacing w:after="120" w:line="276" w:lineRule="auto"/>
              <w:rPr>
                <w:rFonts w:ascii="Calibri" w:hAnsi="Calibri" w:cs="Calibri"/>
                <w:b/>
              </w:rPr>
            </w:pPr>
            <w:r w:rsidRPr="00E42C35">
              <w:rPr>
                <w:rFonts w:ascii="Calibri" w:hAnsi="Calibri" w:cs="Calibri"/>
                <w:b/>
              </w:rPr>
              <w:t>Rule 29BA of IT Rules 1962 (Section 195 of ITA 1961)</w:t>
            </w:r>
          </w:p>
          <w:p w14:paraId="2E7EAD5D" w14:textId="77777777" w:rsidR="00DF7281" w:rsidRPr="00E42C35" w:rsidRDefault="00DF7281" w:rsidP="00836676">
            <w:pPr>
              <w:spacing w:after="120" w:line="276" w:lineRule="auto"/>
              <w:rPr>
                <w:rFonts w:ascii="Calibri" w:hAnsi="Calibri" w:cs="Calibri"/>
                <w:b/>
              </w:rPr>
            </w:pPr>
            <w:r w:rsidRPr="00E42C35">
              <w:rPr>
                <w:rFonts w:ascii="Calibri" w:hAnsi="Calibri" w:cs="Calibri"/>
                <w:b/>
              </w:rPr>
              <w:t>Rule 214 of Draft IT Rules 1962 (Section 395 of ITA 2025)</w:t>
            </w:r>
          </w:p>
          <w:p w14:paraId="4CCDA59F" w14:textId="77777777" w:rsidR="00DF7281" w:rsidRPr="00E42C35" w:rsidRDefault="00DF7281" w:rsidP="00836676">
            <w:pPr>
              <w:spacing w:after="120" w:line="276" w:lineRule="auto"/>
              <w:ind w:left="61"/>
              <w:rPr>
                <w:rFonts w:ascii="Calibri" w:eastAsia="Times New Roman" w:hAnsi="Calibri" w:cs="Calibri"/>
                <w:b/>
                <w:color w:val="000000"/>
                <w:kern w:val="0"/>
                <w:lang w:eastAsia="en-IN"/>
                <w14:ligatures w14:val="none"/>
              </w:rPr>
            </w:pPr>
          </w:p>
          <w:p w14:paraId="5EB8B368" w14:textId="77777777" w:rsidR="00DF7281" w:rsidRPr="00E42C35" w:rsidRDefault="00DF7281" w:rsidP="00836676">
            <w:pPr>
              <w:spacing w:after="120" w:line="276" w:lineRule="auto"/>
              <w:rPr>
                <w:rFonts w:ascii="Calibri" w:hAnsi="Calibri" w:cs="Calibri"/>
                <w:b/>
                <w:lang w:bidi="en-US"/>
              </w:rPr>
            </w:pPr>
          </w:p>
        </w:tc>
        <w:tc>
          <w:tcPr>
            <w:tcW w:w="0" w:type="auto"/>
            <w:tcBorders>
              <w:top w:val="single" w:sz="4" w:space="0" w:color="auto"/>
              <w:left w:val="single" w:sz="4" w:space="0" w:color="auto"/>
              <w:bottom w:val="single" w:sz="4" w:space="0" w:color="auto"/>
              <w:right w:val="single" w:sz="4" w:space="0" w:color="auto"/>
            </w:tcBorders>
          </w:tcPr>
          <w:p w14:paraId="0857A0A1" w14:textId="77777777" w:rsidR="00DF7281" w:rsidRPr="00E42C35" w:rsidRDefault="00DF7281" w:rsidP="00836676">
            <w:pPr>
              <w:spacing w:after="120" w:line="276" w:lineRule="auto"/>
              <w:rPr>
                <w:rFonts w:ascii="Calibri" w:hAnsi="Calibri" w:cs="Calibri"/>
                <w:b/>
                <w:lang w:bidi="en-US"/>
              </w:rPr>
            </w:pPr>
            <w:r w:rsidRPr="00E42C35">
              <w:rPr>
                <w:rFonts w:ascii="Calibri" w:hAnsi="Calibri" w:cs="Calibri"/>
                <w:b/>
                <w:lang w:bidi="en-US"/>
              </w:rPr>
              <w:t>Rationale</w:t>
            </w:r>
          </w:p>
          <w:p w14:paraId="0B0AF0D7" w14:textId="77777777" w:rsidR="00DF7281" w:rsidRPr="00E42C35" w:rsidRDefault="00DF7281" w:rsidP="00836676">
            <w:pPr>
              <w:numPr>
                <w:ilvl w:val="0"/>
                <w:numId w:val="3"/>
              </w:numPr>
              <w:spacing w:after="120" w:line="276" w:lineRule="auto"/>
              <w:rPr>
                <w:rFonts w:ascii="Calibri" w:hAnsi="Calibri" w:cs="Calibri"/>
                <w:b/>
                <w:u w:val="single"/>
              </w:rPr>
            </w:pPr>
            <w:r w:rsidRPr="00E42C35">
              <w:rPr>
                <w:rFonts w:ascii="Calibri" w:hAnsi="Calibri" w:cs="Calibri"/>
                <w:b/>
                <w:u w:val="single"/>
              </w:rPr>
              <w:t>Omission of reference to Electronic Filing and Verification (DSC/EVC)</w:t>
            </w:r>
          </w:p>
          <w:p w14:paraId="73E37762" w14:textId="77777777" w:rsidR="00DF7281" w:rsidRPr="00E42C35" w:rsidRDefault="00DF7281" w:rsidP="00836676">
            <w:pPr>
              <w:spacing w:after="120" w:line="276" w:lineRule="auto"/>
              <w:ind w:left="720"/>
              <w:rPr>
                <w:rFonts w:ascii="Calibri" w:hAnsi="Calibri" w:cs="Calibri"/>
              </w:rPr>
            </w:pPr>
            <w:r w:rsidRPr="00E42C35">
              <w:rPr>
                <w:rFonts w:ascii="Calibri" w:hAnsi="Calibri" w:cs="Calibri"/>
              </w:rPr>
              <w:t>The draft Rule 214(1) does not make reference for furnishing respective Form electronically and verified via DSC or electronic verification code (‘EVC’).</w:t>
            </w:r>
          </w:p>
          <w:p w14:paraId="4670E988" w14:textId="77777777" w:rsidR="00DF7281" w:rsidRPr="00E42C35" w:rsidRDefault="00DF7281" w:rsidP="00836676">
            <w:pPr>
              <w:numPr>
                <w:ilvl w:val="0"/>
                <w:numId w:val="3"/>
              </w:numPr>
              <w:spacing w:after="120" w:line="276" w:lineRule="auto"/>
              <w:rPr>
                <w:rFonts w:ascii="Calibri" w:hAnsi="Calibri" w:cs="Calibri"/>
                <w:b/>
                <w:u w:val="single"/>
              </w:rPr>
            </w:pPr>
            <w:r w:rsidRPr="00E42C35">
              <w:rPr>
                <w:rFonts w:ascii="Calibri" w:hAnsi="Calibri" w:cs="Calibri"/>
                <w:b/>
                <w:u w:val="single"/>
              </w:rPr>
              <w:t>Omission of system management role of PDGIT/DGIT (Systems)</w:t>
            </w:r>
          </w:p>
          <w:p w14:paraId="6496F994" w14:textId="77777777" w:rsidR="00DF7281" w:rsidRPr="00E42C35" w:rsidRDefault="00DF7281" w:rsidP="00836676">
            <w:pPr>
              <w:spacing w:after="120" w:line="276" w:lineRule="auto"/>
              <w:ind w:left="720"/>
              <w:rPr>
                <w:rFonts w:ascii="Calibri" w:hAnsi="Calibri" w:cs="Calibri"/>
              </w:rPr>
            </w:pPr>
            <w:r w:rsidRPr="00E42C35">
              <w:rPr>
                <w:rFonts w:ascii="Calibri" w:hAnsi="Calibri" w:cs="Calibri"/>
              </w:rPr>
              <w:t xml:space="preserve">No reference in draft Rule 214 vis-à-vis existing Rule 29BA relating to ‘PDGIT or DGIT (Systems) must create and manage all </w:t>
            </w:r>
            <w:r w:rsidRPr="00E42C35">
              <w:rPr>
                <w:rFonts w:ascii="Calibri" w:eastAsia="Times New Roman" w:hAnsi="Calibri" w:cs="Calibri"/>
                <w:color w:val="000000"/>
                <w:kern w:val="0"/>
                <w:lang w:eastAsia="en-IN"/>
                <w14:ligatures w14:val="none"/>
              </w:rPr>
              <w:t>technical</w:t>
            </w:r>
            <w:r w:rsidRPr="00E42C35">
              <w:rPr>
                <w:rFonts w:ascii="Calibri" w:hAnsi="Calibri" w:cs="Calibri"/>
              </w:rPr>
              <w:t xml:space="preserve"> systems, security processes, and data</w:t>
            </w:r>
            <w:r w:rsidRPr="00E42C35">
              <w:rPr>
                <w:rFonts w:ascii="Cambria Math" w:hAnsi="Cambria Math" w:cs="Cambria Math"/>
              </w:rPr>
              <w:t>‑</w:t>
            </w:r>
            <w:r w:rsidRPr="00E42C35">
              <w:rPr>
                <w:rFonts w:ascii="Calibri" w:hAnsi="Calibri" w:cs="Calibri"/>
              </w:rPr>
              <w:t>handling standards needed for safely receiving Form 15E and issuing the related certificate’.</w:t>
            </w:r>
          </w:p>
          <w:p w14:paraId="61E710BD" w14:textId="77777777" w:rsidR="00DF7281" w:rsidRPr="00E42C35" w:rsidRDefault="00DF7281" w:rsidP="00836676">
            <w:pPr>
              <w:numPr>
                <w:ilvl w:val="0"/>
                <w:numId w:val="3"/>
              </w:numPr>
              <w:spacing w:after="120" w:line="276" w:lineRule="auto"/>
              <w:rPr>
                <w:rFonts w:ascii="Calibri" w:hAnsi="Calibri" w:cs="Calibri"/>
                <w:b/>
                <w:u w:val="single"/>
              </w:rPr>
            </w:pPr>
            <w:r w:rsidRPr="00E42C35">
              <w:rPr>
                <w:rFonts w:ascii="Calibri" w:eastAsia="Times New Roman" w:hAnsi="Calibri" w:cs="Calibri"/>
                <w:b/>
                <w:color w:val="000000"/>
                <w:kern w:val="0"/>
                <w:u w:val="single"/>
                <w:lang w:eastAsia="en-IN"/>
                <w14:ligatures w14:val="none"/>
              </w:rPr>
              <w:t>Omission</w:t>
            </w:r>
            <w:r w:rsidRPr="00E42C35">
              <w:rPr>
                <w:rFonts w:ascii="Calibri" w:hAnsi="Calibri" w:cs="Calibri"/>
                <w:b/>
                <w:u w:val="single"/>
              </w:rPr>
              <w:t xml:space="preserve"> of reference to Electronic Filing and Verification (DSC/EVC)</w:t>
            </w:r>
          </w:p>
          <w:p w14:paraId="7AB04DFB" w14:textId="77777777" w:rsidR="00DF7281" w:rsidRPr="00E42C35" w:rsidRDefault="00DF7281" w:rsidP="00836676">
            <w:pPr>
              <w:spacing w:after="120" w:line="276" w:lineRule="auto"/>
              <w:ind w:left="720"/>
              <w:rPr>
                <w:rFonts w:ascii="Calibri" w:hAnsi="Calibri" w:cs="Calibri"/>
                <w:b/>
                <w:u w:val="single"/>
              </w:rPr>
            </w:pPr>
            <w:r w:rsidRPr="00E42C35">
              <w:rPr>
                <w:rFonts w:ascii="Calibri" w:hAnsi="Calibri" w:cs="Calibri"/>
              </w:rPr>
              <w:t>The omission of furnishing form electronically and verification via DSC or EVC appears unintentional.</w:t>
            </w:r>
          </w:p>
          <w:p w14:paraId="03BA0BE8" w14:textId="77777777" w:rsidR="00DF7281" w:rsidRPr="00E42C35" w:rsidRDefault="00DF7281" w:rsidP="00836676">
            <w:pPr>
              <w:spacing w:after="120" w:line="276" w:lineRule="auto"/>
              <w:rPr>
                <w:rFonts w:ascii="Calibri" w:hAnsi="Calibri" w:cs="Calibri"/>
                <w:lang w:bidi="en-US"/>
              </w:rPr>
            </w:pPr>
            <w:r w:rsidRPr="00E42C35">
              <w:rPr>
                <w:rFonts w:ascii="Calibri" w:hAnsi="Calibri" w:cs="Calibri"/>
                <w:b/>
                <w:lang w:bidi="en-US"/>
              </w:rPr>
              <w:t>Recommendation</w:t>
            </w:r>
          </w:p>
          <w:p w14:paraId="03943E88" w14:textId="77777777" w:rsidR="00DF7281" w:rsidRPr="00E42C35" w:rsidRDefault="00DF7281" w:rsidP="00836676">
            <w:pPr>
              <w:numPr>
                <w:ilvl w:val="0"/>
                <w:numId w:val="3"/>
              </w:numPr>
              <w:spacing w:after="120" w:line="276" w:lineRule="auto"/>
              <w:rPr>
                <w:rFonts w:ascii="Calibri" w:hAnsi="Calibri" w:cs="Calibri"/>
                <w:b/>
                <w:u w:val="single"/>
              </w:rPr>
            </w:pPr>
            <w:r w:rsidRPr="00E42C35">
              <w:rPr>
                <w:rFonts w:ascii="Calibri" w:eastAsia="Times New Roman" w:hAnsi="Calibri" w:cs="Calibri"/>
                <w:b/>
                <w:color w:val="000000"/>
                <w:kern w:val="0"/>
                <w:u w:val="single"/>
                <w:lang w:eastAsia="en-IN"/>
                <w14:ligatures w14:val="none"/>
              </w:rPr>
              <w:t>Omission</w:t>
            </w:r>
            <w:r w:rsidRPr="00E42C35">
              <w:rPr>
                <w:rFonts w:ascii="Calibri" w:hAnsi="Calibri" w:cs="Calibri"/>
                <w:b/>
                <w:u w:val="single"/>
              </w:rPr>
              <w:t xml:space="preserve"> of system management role of PDGIT/DGIT (Systems)</w:t>
            </w:r>
          </w:p>
          <w:p w14:paraId="6238E311" w14:textId="77777777" w:rsidR="00DF7281" w:rsidRPr="00E42C35" w:rsidRDefault="00DF7281" w:rsidP="00836676">
            <w:pPr>
              <w:spacing w:after="120" w:line="276" w:lineRule="auto"/>
              <w:ind w:left="720"/>
              <w:rPr>
                <w:rFonts w:ascii="Calibri" w:hAnsi="Calibri" w:cs="Calibri"/>
              </w:rPr>
            </w:pPr>
            <w:r w:rsidRPr="00E42C35">
              <w:rPr>
                <w:rFonts w:ascii="Calibri" w:eastAsia="Times New Roman" w:hAnsi="Calibri" w:cs="Calibri"/>
                <w:color w:val="000000"/>
                <w:kern w:val="0"/>
                <w:lang w:eastAsia="en-IN"/>
                <w14:ligatures w14:val="none"/>
              </w:rPr>
              <w:t>Provision</w:t>
            </w:r>
            <w:r w:rsidRPr="00E42C35">
              <w:rPr>
                <w:rFonts w:ascii="Calibri" w:hAnsi="Calibri" w:cs="Calibri"/>
              </w:rPr>
              <w:t xml:space="preserve"> on PDGIT/DGIT (Systems) oversight of Form 15E systems should be included in the draft rule. Whereas the procedures and formats have already been provided under the rules and form, the language used in the existing Rule 29BA(7) may be reinstated by removing reference to procedures and formats.</w:t>
            </w:r>
          </w:p>
          <w:p w14:paraId="51F06F76" w14:textId="77777777" w:rsidR="00DF7281" w:rsidRPr="00E42C35" w:rsidRDefault="00DF7281" w:rsidP="00836676">
            <w:pPr>
              <w:numPr>
                <w:ilvl w:val="0"/>
                <w:numId w:val="3"/>
              </w:numPr>
              <w:spacing w:after="120" w:line="276" w:lineRule="auto"/>
              <w:rPr>
                <w:rFonts w:ascii="Calibri" w:hAnsi="Calibri" w:cs="Calibri"/>
              </w:rPr>
            </w:pPr>
            <w:r w:rsidRPr="00E42C35">
              <w:rPr>
                <w:rFonts w:ascii="Calibri" w:hAnsi="Calibri" w:cs="Calibri"/>
                <w:b/>
                <w:u w:val="single"/>
              </w:rPr>
              <w:t>Proposed Text</w:t>
            </w:r>
          </w:p>
          <w:p w14:paraId="6EC78B73" w14:textId="10561857" w:rsidR="00DF7281" w:rsidRPr="00E42C35" w:rsidRDefault="00DF7281" w:rsidP="00836676">
            <w:pPr>
              <w:spacing w:after="120" w:line="276" w:lineRule="auto"/>
              <w:ind w:left="720"/>
              <w:rPr>
                <w:rFonts w:ascii="Calibri" w:hAnsi="Calibri" w:cs="Calibri"/>
              </w:rPr>
            </w:pPr>
            <w:r w:rsidRPr="00E42C35">
              <w:rPr>
                <w:rFonts w:ascii="Calibri" w:hAnsi="Calibri" w:cs="Calibri"/>
                <w:i/>
              </w:rPr>
              <w:lastRenderedPageBreak/>
              <w:t>“(6) The Principal Director General of Income-tax (Systems) or the Director General of Income-tax (Systems), as the case may be, shall lay down standards for ensuring secure capture and transmission of data and uploading of documents and the Principal Director General of Income-tax (Systems) or the Director General of Income-tax (Systems) shall also be responsible for evolving and implementing appropriate security, archival and retrieval policies in relation to the furnishing of Form No. 15E and issuance of Certificate under sub-rule (3).”</w:t>
            </w:r>
          </w:p>
        </w:tc>
      </w:tr>
      <w:tr w:rsidR="00DF7281" w:rsidRPr="00E42C35" w14:paraId="5A83DDCF" w14:textId="77777777" w:rsidTr="000813D3">
        <w:trPr>
          <w:trHeight w:val="20"/>
        </w:trPr>
        <w:tc>
          <w:tcPr>
            <w:tcW w:w="846" w:type="dxa"/>
            <w:tcBorders>
              <w:top w:val="single" w:sz="4" w:space="0" w:color="auto"/>
              <w:left w:val="single" w:sz="4" w:space="0" w:color="auto"/>
              <w:bottom w:val="single" w:sz="4" w:space="0" w:color="auto"/>
              <w:right w:val="single" w:sz="4" w:space="0" w:color="auto"/>
            </w:tcBorders>
          </w:tcPr>
          <w:p w14:paraId="7F19CE22" w14:textId="77777777" w:rsidR="00DF7281" w:rsidRPr="00E42C35" w:rsidRDefault="00DF7281" w:rsidP="00836676">
            <w:pPr>
              <w:numPr>
                <w:ilvl w:val="0"/>
                <w:numId w:val="2"/>
              </w:numPr>
              <w:spacing w:after="120" w:line="276" w:lineRule="auto"/>
              <w:rPr>
                <w:rFonts w:ascii="Calibri" w:hAnsi="Calibri" w:cs="Calibri"/>
                <w:lang w:bidi="en-US"/>
              </w:rPr>
            </w:pPr>
          </w:p>
        </w:tc>
        <w:tc>
          <w:tcPr>
            <w:tcW w:w="2637" w:type="dxa"/>
            <w:tcBorders>
              <w:top w:val="single" w:sz="4" w:space="0" w:color="auto"/>
              <w:left w:val="single" w:sz="4" w:space="0" w:color="auto"/>
              <w:bottom w:val="single" w:sz="4" w:space="0" w:color="auto"/>
              <w:right w:val="single" w:sz="4" w:space="0" w:color="auto"/>
            </w:tcBorders>
          </w:tcPr>
          <w:p w14:paraId="3B967A29" w14:textId="77777777" w:rsidR="007E1F14" w:rsidRPr="00E42C35" w:rsidRDefault="007E1F14" w:rsidP="00836676">
            <w:pPr>
              <w:spacing w:after="120" w:line="276" w:lineRule="auto"/>
              <w:ind w:left="61"/>
              <w:rPr>
                <w:rFonts w:ascii="Calibri" w:eastAsia="Times New Roman" w:hAnsi="Calibri" w:cs="Calibri"/>
                <w:b/>
                <w:color w:val="000000"/>
                <w:kern w:val="0"/>
                <w:lang w:eastAsia="en-IN"/>
                <w14:ligatures w14:val="none"/>
              </w:rPr>
            </w:pPr>
            <w:r w:rsidRPr="00E42C35">
              <w:rPr>
                <w:rFonts w:ascii="Calibri" w:eastAsia="Times New Roman" w:hAnsi="Calibri" w:cs="Calibri"/>
                <w:b/>
                <w:color w:val="000000"/>
                <w:kern w:val="0"/>
                <w:lang w:eastAsia="en-IN"/>
                <w14:ligatures w14:val="none"/>
              </w:rPr>
              <w:t>Rule 30/37CA  - Time and mode of payment to Government account of  tax deducted at source or tax paid under section 192(1A) or tax collected at source under Section 206C of the Income-tax Act, 1961</w:t>
            </w:r>
          </w:p>
          <w:p w14:paraId="1C05DBC0" w14:textId="18802086" w:rsidR="00DF7281" w:rsidRPr="00E42C35" w:rsidRDefault="00027BBC" w:rsidP="00836676">
            <w:pPr>
              <w:spacing w:after="120" w:line="276" w:lineRule="auto"/>
              <w:rPr>
                <w:rFonts w:ascii="Calibri" w:eastAsia="Times New Roman" w:hAnsi="Calibri" w:cs="Calibri"/>
                <w:b/>
                <w:color w:val="000000"/>
                <w:kern w:val="0"/>
                <w:lang w:eastAsia="en-IN"/>
                <w14:ligatures w14:val="none"/>
              </w:rPr>
            </w:pPr>
            <w:r w:rsidRPr="00E42C35">
              <w:rPr>
                <w:rFonts w:ascii="Calibri" w:eastAsia="Times New Roman" w:hAnsi="Calibri" w:cs="Calibri"/>
                <w:b/>
                <w:color w:val="000000"/>
                <w:kern w:val="0"/>
                <w:lang w:eastAsia="en-IN"/>
                <w14:ligatures w14:val="none"/>
              </w:rPr>
              <w:t>Rule 218 - Time and mode of payment to Government account of tax deducted or collected at source or tax paid under Section 392(2)(a)</w:t>
            </w:r>
          </w:p>
        </w:tc>
        <w:tc>
          <w:tcPr>
            <w:tcW w:w="0" w:type="auto"/>
            <w:tcBorders>
              <w:top w:val="single" w:sz="4" w:space="0" w:color="auto"/>
              <w:left w:val="single" w:sz="4" w:space="0" w:color="auto"/>
              <w:bottom w:val="single" w:sz="4" w:space="0" w:color="auto"/>
              <w:right w:val="single" w:sz="4" w:space="0" w:color="auto"/>
            </w:tcBorders>
          </w:tcPr>
          <w:p w14:paraId="2E9CEAE2" w14:textId="77777777" w:rsidR="00DF7281" w:rsidRPr="00E42C35" w:rsidRDefault="005B1AB3" w:rsidP="00836676">
            <w:pPr>
              <w:spacing w:after="120" w:line="276" w:lineRule="auto"/>
              <w:rPr>
                <w:rFonts w:ascii="Calibri" w:eastAsia="Times New Roman" w:hAnsi="Calibri" w:cs="Calibri"/>
                <w:b/>
                <w:bCs/>
                <w:color w:val="000000"/>
                <w:kern w:val="0"/>
                <w:lang w:eastAsia="en-IN"/>
                <w14:ligatures w14:val="none"/>
              </w:rPr>
            </w:pPr>
            <w:r w:rsidRPr="00E42C35">
              <w:rPr>
                <w:rFonts w:ascii="Calibri" w:eastAsia="Times New Roman" w:hAnsi="Calibri" w:cs="Calibri"/>
                <w:b/>
                <w:bCs/>
                <w:color w:val="000000"/>
                <w:kern w:val="0"/>
                <w:lang w:eastAsia="en-IN"/>
                <w14:ligatures w14:val="none"/>
              </w:rPr>
              <w:t xml:space="preserve">Rationale </w:t>
            </w:r>
          </w:p>
          <w:p w14:paraId="52078584" w14:textId="77777777" w:rsidR="005B0304" w:rsidRPr="00E42C35" w:rsidRDefault="005B1AB3" w:rsidP="00836676">
            <w:pPr>
              <w:numPr>
                <w:ilvl w:val="0"/>
                <w:numId w:val="3"/>
              </w:numPr>
              <w:spacing w:after="120" w:line="276" w:lineRule="auto"/>
              <w:rPr>
                <w:rFonts w:ascii="Calibri" w:eastAsia="Times New Roman" w:hAnsi="Calibri" w:cs="Calibri"/>
                <w:color w:val="000000"/>
                <w:kern w:val="0"/>
                <w:lang w:eastAsia="en-IN"/>
                <w14:ligatures w14:val="none"/>
              </w:rPr>
            </w:pPr>
            <w:r w:rsidRPr="00E42C35">
              <w:rPr>
                <w:rFonts w:ascii="Calibri" w:eastAsia="Times New Roman" w:hAnsi="Calibri" w:cs="Calibri"/>
                <w:color w:val="000000"/>
                <w:kern w:val="0"/>
                <w:lang w:eastAsia="en-IN"/>
                <w14:ligatures w14:val="none"/>
              </w:rPr>
              <w:t xml:space="preserve">There is no substantial change in the rule except time limit for payment of TCS pertaining to the month of March has been extended till April 30 in line with TDS provisions. </w:t>
            </w:r>
          </w:p>
          <w:p w14:paraId="4AC72088" w14:textId="0C27B538" w:rsidR="005B0304" w:rsidRPr="00E42C35" w:rsidRDefault="005B1AB3" w:rsidP="00836676">
            <w:pPr>
              <w:numPr>
                <w:ilvl w:val="0"/>
                <w:numId w:val="3"/>
              </w:numPr>
              <w:spacing w:after="120" w:line="276" w:lineRule="auto"/>
              <w:rPr>
                <w:rFonts w:ascii="Calibri" w:eastAsia="Times New Roman" w:hAnsi="Calibri" w:cs="Calibri"/>
                <w:color w:val="000000"/>
                <w:kern w:val="0"/>
                <w:lang w:eastAsia="en-IN"/>
                <w14:ligatures w14:val="none"/>
              </w:rPr>
            </w:pPr>
            <w:r w:rsidRPr="00E42C35">
              <w:rPr>
                <w:rFonts w:ascii="Calibri" w:eastAsia="Times New Roman" w:hAnsi="Calibri" w:cs="Calibri"/>
                <w:color w:val="000000"/>
                <w:kern w:val="0"/>
                <w:lang w:eastAsia="en-IN"/>
                <w14:ligatures w14:val="none"/>
              </w:rPr>
              <w:t>Draft Rule 218(3), does not provide extended time limit of 30 days from end of the month for deposit of TDS deducted by Individual / HUF on commission (excluding insurance commission) or brokerage (as covered in erstwhile section 194M)</w:t>
            </w:r>
            <w:r w:rsidR="00421661" w:rsidRPr="00E42C35">
              <w:rPr>
                <w:rFonts w:ascii="Calibri" w:eastAsia="Times New Roman" w:hAnsi="Calibri" w:cs="Calibri"/>
                <w:color w:val="000000"/>
                <w:kern w:val="0"/>
                <w:lang w:eastAsia="en-IN"/>
                <w14:ligatures w14:val="none"/>
              </w:rPr>
              <w:t xml:space="preserve">. This appears to be inadvertent error since existing Rule </w:t>
            </w:r>
            <w:r w:rsidR="000977B4" w:rsidRPr="00E42C35">
              <w:rPr>
                <w:rFonts w:ascii="Calibri" w:eastAsia="Times New Roman" w:hAnsi="Calibri" w:cs="Calibri"/>
                <w:color w:val="000000"/>
                <w:kern w:val="0"/>
                <w:lang w:eastAsia="en-IN"/>
                <w14:ligatures w14:val="none"/>
              </w:rPr>
              <w:t xml:space="preserve">30(2C) covers such payments. </w:t>
            </w:r>
            <w:r w:rsidRPr="00E42C35">
              <w:rPr>
                <w:rFonts w:ascii="Calibri" w:eastAsia="Times New Roman" w:hAnsi="Calibri" w:cs="Calibri"/>
                <w:color w:val="000000"/>
                <w:kern w:val="0"/>
                <w:lang w:eastAsia="en-IN"/>
                <w14:ligatures w14:val="none"/>
              </w:rPr>
              <w:t xml:space="preserve"> </w:t>
            </w:r>
            <w:r w:rsidR="000977B4" w:rsidRPr="00E42C35">
              <w:rPr>
                <w:rFonts w:ascii="Calibri" w:eastAsia="Times New Roman" w:hAnsi="Calibri" w:cs="Calibri"/>
                <w:color w:val="000000"/>
                <w:kern w:val="0"/>
                <w:lang w:eastAsia="en-IN"/>
                <w14:ligatures w14:val="none"/>
              </w:rPr>
              <w:t xml:space="preserve"> It is also supported by the fact </w:t>
            </w:r>
            <w:r w:rsidR="005A6425" w:rsidRPr="00E42C35">
              <w:rPr>
                <w:rFonts w:ascii="Calibri" w:eastAsia="Times New Roman" w:hAnsi="Calibri" w:cs="Calibri"/>
                <w:color w:val="000000"/>
                <w:kern w:val="0"/>
                <w:lang w:eastAsia="en-IN"/>
                <w14:ligatures w14:val="none"/>
              </w:rPr>
              <w:t>t</w:t>
            </w:r>
            <w:r w:rsidRPr="00E42C35">
              <w:rPr>
                <w:rFonts w:ascii="Calibri" w:eastAsia="Times New Roman" w:hAnsi="Calibri" w:cs="Calibri"/>
                <w:color w:val="000000"/>
                <w:kern w:val="0"/>
                <w:lang w:eastAsia="en-IN"/>
                <w14:ligatures w14:val="none"/>
              </w:rPr>
              <w:t>hese two payments have been mentioned in new draft Form 141</w:t>
            </w:r>
            <w:r w:rsidR="005B0304" w:rsidRPr="00E42C35">
              <w:rPr>
                <w:rFonts w:ascii="Calibri" w:eastAsia="Times New Roman" w:hAnsi="Calibri" w:cs="Calibri"/>
                <w:color w:val="000000"/>
                <w:kern w:val="0"/>
                <w:lang w:eastAsia="en-IN"/>
                <w14:ligatures w14:val="none"/>
              </w:rPr>
              <w:t>.</w:t>
            </w:r>
          </w:p>
          <w:p w14:paraId="07B147ED" w14:textId="068F83FC" w:rsidR="00266FD3" w:rsidRPr="00E42C35" w:rsidRDefault="005B1AB3" w:rsidP="00836676">
            <w:pPr>
              <w:numPr>
                <w:ilvl w:val="0"/>
                <w:numId w:val="3"/>
              </w:numPr>
              <w:spacing w:after="120" w:line="276" w:lineRule="auto"/>
              <w:rPr>
                <w:rFonts w:ascii="Calibri" w:eastAsia="Times New Roman" w:hAnsi="Calibri" w:cs="Calibri"/>
                <w:color w:val="000000"/>
                <w:kern w:val="0"/>
                <w:lang w:eastAsia="en-IN"/>
                <w14:ligatures w14:val="none"/>
              </w:rPr>
            </w:pPr>
            <w:r w:rsidRPr="00E42C35">
              <w:rPr>
                <w:rFonts w:ascii="Calibri" w:eastAsia="Times New Roman" w:hAnsi="Calibri" w:cs="Calibri"/>
                <w:color w:val="000000"/>
                <w:kern w:val="0"/>
                <w:lang w:eastAsia="en-IN"/>
                <w14:ligatures w14:val="none"/>
              </w:rPr>
              <w:t>Modes of electronic remittance were mentioned / defined in old rules which have not been included in draft IT Rule 218.</w:t>
            </w:r>
          </w:p>
          <w:p w14:paraId="0EBCFD4E" w14:textId="14AA9DE5" w:rsidR="005B1AB3" w:rsidRPr="00E42C35" w:rsidRDefault="005B1AB3" w:rsidP="00836676">
            <w:pPr>
              <w:numPr>
                <w:ilvl w:val="0"/>
                <w:numId w:val="3"/>
              </w:numPr>
              <w:spacing w:after="120" w:line="276" w:lineRule="auto"/>
              <w:rPr>
                <w:rFonts w:ascii="Calibri" w:eastAsia="Times New Roman" w:hAnsi="Calibri" w:cs="Calibri"/>
                <w:color w:val="000000"/>
                <w:kern w:val="0"/>
                <w:lang w:eastAsia="en-IN"/>
                <w14:ligatures w14:val="none"/>
              </w:rPr>
            </w:pPr>
            <w:r w:rsidRPr="00E42C35">
              <w:rPr>
                <w:rFonts w:ascii="Calibri" w:eastAsia="Times New Roman" w:hAnsi="Calibri" w:cs="Calibri"/>
                <w:color w:val="000000"/>
                <w:kern w:val="0"/>
                <w:lang w:eastAsia="en-IN"/>
                <w14:ligatures w14:val="none"/>
              </w:rPr>
              <w:t>Under the new draft IT Rules, Form 36 is referenced as prescribed form for obtaining an AIN (Accounts Office Identification Number). However, the draft Form 36 is for “Certificate under section 151(5) of the Act for Authors of certain books in receipt of Royalty Income”.</w:t>
            </w:r>
          </w:p>
          <w:p w14:paraId="0384726F" w14:textId="763E8D8A" w:rsidR="00C31BF1" w:rsidRPr="00E42C35" w:rsidRDefault="00C31BF1" w:rsidP="00836676">
            <w:pPr>
              <w:spacing w:after="120" w:line="276" w:lineRule="auto"/>
              <w:ind w:right="279"/>
              <w:rPr>
                <w:rFonts w:ascii="Calibri" w:eastAsia="Times New Roman" w:hAnsi="Calibri" w:cs="Calibri"/>
                <w:b/>
                <w:bCs/>
                <w:color w:val="000000"/>
                <w:kern w:val="0"/>
                <w:lang w:eastAsia="en-IN"/>
                <w14:ligatures w14:val="none"/>
              </w:rPr>
            </w:pPr>
            <w:r w:rsidRPr="00E42C35">
              <w:rPr>
                <w:rFonts w:ascii="Calibri" w:eastAsia="Times New Roman" w:hAnsi="Calibri" w:cs="Calibri"/>
                <w:b/>
                <w:bCs/>
                <w:color w:val="000000"/>
                <w:kern w:val="0"/>
                <w:lang w:eastAsia="en-IN"/>
                <w14:ligatures w14:val="none"/>
              </w:rPr>
              <w:t>Recommendation</w:t>
            </w:r>
          </w:p>
          <w:p w14:paraId="27CC0FB8" w14:textId="7AE21AE0" w:rsidR="00DF7281" w:rsidRPr="00E42C35" w:rsidRDefault="00266FD3" w:rsidP="00836676">
            <w:pPr>
              <w:numPr>
                <w:ilvl w:val="0"/>
                <w:numId w:val="3"/>
              </w:numPr>
              <w:spacing w:after="120" w:line="276" w:lineRule="auto"/>
              <w:rPr>
                <w:rFonts w:ascii="Calibri" w:eastAsia="Times New Roman" w:hAnsi="Calibri" w:cs="Calibri"/>
                <w:b/>
                <w:color w:val="000000"/>
                <w:kern w:val="0"/>
                <w:u w:val="single"/>
                <w:lang w:eastAsia="en-IN"/>
                <w14:ligatures w14:val="none"/>
              </w:rPr>
            </w:pPr>
            <w:r w:rsidRPr="00E42C35">
              <w:rPr>
                <w:rFonts w:ascii="Calibri" w:eastAsia="Times New Roman" w:hAnsi="Calibri" w:cs="Calibri"/>
                <w:color w:val="000000"/>
                <w:kern w:val="0"/>
                <w:lang w:eastAsia="en-IN"/>
                <w14:ligatures w14:val="none"/>
              </w:rPr>
              <w:t>Form 136 is for obtaining an AIN (Accounts Office Identification Number) which has been incorrectly mentioned as Form 36 in the draft IT Rules. Also</w:t>
            </w:r>
            <w:r w:rsidR="0078686C" w:rsidRPr="00E42C35">
              <w:rPr>
                <w:rFonts w:ascii="Calibri" w:eastAsia="Times New Roman" w:hAnsi="Calibri" w:cs="Calibri"/>
                <w:color w:val="000000"/>
                <w:kern w:val="0"/>
                <w:lang w:eastAsia="en-IN"/>
                <w14:ligatures w14:val="none"/>
              </w:rPr>
              <w:t>,</w:t>
            </w:r>
            <w:r w:rsidRPr="00E42C35">
              <w:rPr>
                <w:rFonts w:ascii="Calibri" w:eastAsia="Times New Roman" w:hAnsi="Calibri" w:cs="Calibri"/>
                <w:color w:val="000000"/>
                <w:kern w:val="0"/>
                <w:lang w:eastAsia="en-IN"/>
                <w14:ligatures w14:val="none"/>
              </w:rPr>
              <w:t xml:space="preserve"> in </w:t>
            </w:r>
            <w:r w:rsidR="00D50A15" w:rsidRPr="00E42C35">
              <w:rPr>
                <w:rFonts w:ascii="Calibri" w:eastAsia="Times New Roman" w:hAnsi="Calibri" w:cs="Calibri"/>
                <w:color w:val="000000"/>
                <w:kern w:val="0"/>
                <w:lang w:eastAsia="en-IN"/>
                <w14:ligatures w14:val="none"/>
              </w:rPr>
              <w:t>Rule 218 (3), the reference to deposit of TDS deducted by Individual / HUF on commission (excluding insurance commission) or brokerage (as covered in erstwhile section 194M)</w:t>
            </w:r>
            <w:r w:rsidR="004369E6" w:rsidRPr="00E42C35">
              <w:rPr>
                <w:rFonts w:ascii="Calibri" w:eastAsia="Times New Roman" w:hAnsi="Calibri" w:cs="Calibri"/>
                <w:color w:val="000000"/>
                <w:kern w:val="0"/>
                <w:lang w:eastAsia="en-IN"/>
                <w14:ligatures w14:val="none"/>
              </w:rPr>
              <w:t xml:space="preserve"> should be inserted on lines of existing Rule 30(2C).</w:t>
            </w:r>
          </w:p>
        </w:tc>
      </w:tr>
      <w:tr w:rsidR="00DF7281" w:rsidRPr="00E42C35" w14:paraId="34527E2D" w14:textId="77777777" w:rsidTr="000813D3">
        <w:trPr>
          <w:trHeight w:val="20"/>
        </w:trPr>
        <w:tc>
          <w:tcPr>
            <w:tcW w:w="846" w:type="dxa"/>
            <w:tcBorders>
              <w:top w:val="single" w:sz="4" w:space="0" w:color="auto"/>
              <w:left w:val="single" w:sz="4" w:space="0" w:color="auto"/>
              <w:bottom w:val="single" w:sz="4" w:space="0" w:color="auto"/>
              <w:right w:val="single" w:sz="4" w:space="0" w:color="auto"/>
            </w:tcBorders>
          </w:tcPr>
          <w:p w14:paraId="082B8C98" w14:textId="77777777" w:rsidR="00DF7281" w:rsidRPr="00E42C35" w:rsidRDefault="00DF7281" w:rsidP="00836676">
            <w:pPr>
              <w:numPr>
                <w:ilvl w:val="0"/>
                <w:numId w:val="2"/>
              </w:numPr>
              <w:spacing w:after="120" w:line="276" w:lineRule="auto"/>
              <w:rPr>
                <w:rFonts w:ascii="Calibri" w:hAnsi="Calibri" w:cs="Calibri"/>
                <w:lang w:bidi="en-US"/>
              </w:rPr>
            </w:pPr>
          </w:p>
        </w:tc>
        <w:tc>
          <w:tcPr>
            <w:tcW w:w="2637" w:type="dxa"/>
            <w:tcBorders>
              <w:top w:val="single" w:sz="4" w:space="0" w:color="auto"/>
              <w:left w:val="single" w:sz="4" w:space="0" w:color="auto"/>
              <w:bottom w:val="single" w:sz="4" w:space="0" w:color="auto"/>
              <w:right w:val="single" w:sz="4" w:space="0" w:color="auto"/>
            </w:tcBorders>
          </w:tcPr>
          <w:p w14:paraId="3618628F" w14:textId="247C52E8" w:rsidR="00DF7281" w:rsidRPr="00E42C35" w:rsidRDefault="00F06466" w:rsidP="00836676">
            <w:pPr>
              <w:spacing w:after="120" w:line="276" w:lineRule="auto"/>
              <w:rPr>
                <w:rFonts w:ascii="Calibri" w:hAnsi="Calibri" w:cs="Calibri"/>
                <w:b/>
              </w:rPr>
            </w:pPr>
            <w:r w:rsidRPr="00E42C35">
              <w:rPr>
                <w:rFonts w:ascii="Calibri" w:hAnsi="Calibri" w:cs="Calibri"/>
                <w:b/>
              </w:rPr>
              <w:t>Clause (g) of the Explanation to Rule 114F(1)</w:t>
            </w:r>
            <w:r w:rsidR="0012095B" w:rsidRPr="00E42C35">
              <w:rPr>
                <w:rFonts w:ascii="Calibri" w:hAnsi="Calibri" w:cs="Calibri"/>
                <w:b/>
              </w:rPr>
              <w:t xml:space="preserve"> of IT Rules 1962</w:t>
            </w:r>
          </w:p>
          <w:p w14:paraId="23F87BF2" w14:textId="77777777" w:rsidR="00F06466" w:rsidRPr="00E42C35" w:rsidRDefault="00F06466" w:rsidP="00836676">
            <w:pPr>
              <w:spacing w:after="120" w:line="276" w:lineRule="auto"/>
              <w:rPr>
                <w:rFonts w:ascii="Calibri" w:eastAsia="Times New Roman" w:hAnsi="Calibri" w:cs="Calibri"/>
                <w:b/>
                <w:color w:val="000000"/>
                <w:kern w:val="0"/>
                <w:lang w:eastAsia="en-IN"/>
                <w14:ligatures w14:val="none"/>
              </w:rPr>
            </w:pPr>
          </w:p>
          <w:p w14:paraId="09BD5187" w14:textId="565F370A" w:rsidR="00DF7281" w:rsidRPr="00E42C35" w:rsidRDefault="0012095B" w:rsidP="00836676">
            <w:pPr>
              <w:spacing w:after="120" w:line="276" w:lineRule="auto"/>
              <w:rPr>
                <w:rFonts w:ascii="Calibri" w:eastAsia="Times New Roman" w:hAnsi="Calibri" w:cs="Calibri"/>
                <w:b/>
                <w:color w:val="000000"/>
                <w:kern w:val="0"/>
                <w:lang w:eastAsia="en-IN"/>
                <w14:ligatures w14:val="none"/>
              </w:rPr>
            </w:pPr>
            <w:r w:rsidRPr="00E42C35">
              <w:rPr>
                <w:rFonts w:ascii="Calibri" w:hAnsi="Calibri" w:cs="Calibri"/>
                <w:b/>
              </w:rPr>
              <w:t>Clause (g) of the Explanation to Rule 238(1) of Draft IT Rules 2026</w:t>
            </w:r>
          </w:p>
        </w:tc>
        <w:tc>
          <w:tcPr>
            <w:tcW w:w="0" w:type="auto"/>
            <w:tcBorders>
              <w:top w:val="single" w:sz="4" w:space="0" w:color="auto"/>
              <w:left w:val="single" w:sz="4" w:space="0" w:color="auto"/>
              <w:bottom w:val="single" w:sz="4" w:space="0" w:color="auto"/>
              <w:right w:val="single" w:sz="4" w:space="0" w:color="auto"/>
            </w:tcBorders>
          </w:tcPr>
          <w:p w14:paraId="11066124" w14:textId="77777777" w:rsidR="00751F7B" w:rsidRPr="00E42C35" w:rsidRDefault="00751F7B" w:rsidP="00836676">
            <w:pPr>
              <w:spacing w:after="120" w:line="276" w:lineRule="auto"/>
              <w:rPr>
                <w:rFonts w:ascii="Calibri" w:hAnsi="Calibri" w:cs="Calibri"/>
                <w:b/>
                <w:bCs/>
              </w:rPr>
            </w:pPr>
            <w:r w:rsidRPr="00E42C35">
              <w:rPr>
                <w:rFonts w:ascii="Calibri" w:hAnsi="Calibri" w:cs="Calibri"/>
                <w:b/>
                <w:bCs/>
              </w:rPr>
              <w:t xml:space="preserve">Rationale </w:t>
            </w:r>
          </w:p>
          <w:p w14:paraId="646D60A6" w14:textId="34EA0674" w:rsidR="00D03F02" w:rsidRPr="00E42C35" w:rsidRDefault="00D03F02" w:rsidP="00836676">
            <w:pPr>
              <w:numPr>
                <w:ilvl w:val="0"/>
                <w:numId w:val="3"/>
              </w:numPr>
              <w:spacing w:after="120" w:line="276" w:lineRule="auto"/>
              <w:rPr>
                <w:rFonts w:ascii="Calibri" w:hAnsi="Calibri" w:cs="Calibri"/>
              </w:rPr>
            </w:pPr>
            <w:r w:rsidRPr="00E42C35">
              <w:rPr>
                <w:rFonts w:ascii="Calibri" w:hAnsi="Calibri" w:cs="Calibri"/>
              </w:rPr>
              <w:t>Clause (g) contains-</w:t>
            </w:r>
          </w:p>
          <w:p w14:paraId="50C64E31" w14:textId="77777777" w:rsidR="00D03F02" w:rsidRPr="00E42C35" w:rsidRDefault="00D03F02" w:rsidP="00836676">
            <w:pPr>
              <w:spacing w:after="120" w:line="276" w:lineRule="auto"/>
              <w:ind w:left="1083"/>
              <w:rPr>
                <w:rFonts w:ascii="Calibri" w:hAnsi="Calibri" w:cs="Calibri"/>
              </w:rPr>
            </w:pPr>
            <w:r w:rsidRPr="00E42C35">
              <w:rPr>
                <w:rFonts w:ascii="Calibri" w:hAnsi="Calibri" w:cs="Calibri"/>
              </w:rPr>
              <w:t>“</w:t>
            </w:r>
            <w:r w:rsidRPr="00E42C35">
              <w:rPr>
                <w:rFonts w:ascii="Calibri" w:hAnsi="Calibri" w:cs="Calibri"/>
                <w:i/>
              </w:rPr>
              <w:t>(E)…………...</w:t>
            </w:r>
            <w:r w:rsidRPr="00E42C35">
              <w:rPr>
                <w:rFonts w:ascii="Calibri" w:hAnsi="Calibri" w:cs="Calibri"/>
              </w:rPr>
              <w:t>so, however, that the provisions contained in sub-clause (A) and sub-clause (E) shall not apply in case of a U.S. reportable account;”</w:t>
            </w:r>
          </w:p>
          <w:p w14:paraId="64F7EC11" w14:textId="77777777" w:rsidR="006663A6" w:rsidRPr="00E42C35" w:rsidRDefault="003A1AA8" w:rsidP="00836676">
            <w:pPr>
              <w:numPr>
                <w:ilvl w:val="0"/>
                <w:numId w:val="3"/>
              </w:numPr>
              <w:spacing w:after="120" w:line="276" w:lineRule="auto"/>
              <w:rPr>
                <w:rFonts w:ascii="Calibri" w:hAnsi="Calibri" w:cs="Calibri"/>
                <w:iCs/>
              </w:rPr>
            </w:pPr>
            <w:r w:rsidRPr="00E42C35">
              <w:rPr>
                <w:rFonts w:ascii="Calibri" w:hAnsi="Calibri" w:cs="Calibri"/>
                <w:bCs/>
              </w:rPr>
              <w:t>Based on the drafting of the rule, the proviso appears to apply only to Explanation (g)(ii)(E).</w:t>
            </w:r>
            <w:r w:rsidR="006663A6" w:rsidRPr="00E42C35">
              <w:rPr>
                <w:rFonts w:ascii="Calibri" w:hAnsi="Calibri" w:cs="Calibri"/>
                <w:bCs/>
              </w:rPr>
              <w:t xml:space="preserve"> </w:t>
            </w:r>
            <w:r w:rsidR="006663A6" w:rsidRPr="00E42C35">
              <w:rPr>
                <w:rFonts w:ascii="Calibri" w:hAnsi="Calibri" w:cs="Calibri"/>
              </w:rPr>
              <w:t xml:space="preserve">This relates to the entire clause (g) and not to sub-clause </w:t>
            </w:r>
            <w:r w:rsidR="006663A6" w:rsidRPr="00E42C35">
              <w:rPr>
                <w:rFonts w:ascii="Calibri" w:hAnsi="Calibri" w:cs="Calibri"/>
                <w:iCs/>
              </w:rPr>
              <w:t>(E) only.</w:t>
            </w:r>
          </w:p>
          <w:p w14:paraId="3495AD6A" w14:textId="266BDA98" w:rsidR="00306608" w:rsidRPr="00E42C35" w:rsidRDefault="003A1AA8" w:rsidP="00836676">
            <w:pPr>
              <w:spacing w:after="120" w:line="276" w:lineRule="auto"/>
              <w:rPr>
                <w:rFonts w:ascii="Calibri" w:hAnsi="Calibri" w:cs="Calibri"/>
                <w:b/>
                <w:iCs/>
                <w:lang w:bidi="en-US"/>
              </w:rPr>
            </w:pPr>
            <w:r w:rsidRPr="00E42C35">
              <w:rPr>
                <w:rFonts w:ascii="Calibri" w:hAnsi="Calibri" w:cs="Calibri"/>
                <w:b/>
                <w:iCs/>
                <w:lang w:bidi="en-US"/>
              </w:rPr>
              <w:t>Recommendation</w:t>
            </w:r>
          </w:p>
          <w:p w14:paraId="3EED6543" w14:textId="6BBCCB9A" w:rsidR="00DF7281" w:rsidRPr="00E42C35" w:rsidRDefault="00306608" w:rsidP="00836676">
            <w:pPr>
              <w:numPr>
                <w:ilvl w:val="0"/>
                <w:numId w:val="3"/>
              </w:numPr>
              <w:spacing w:after="120" w:line="276" w:lineRule="auto"/>
              <w:rPr>
                <w:rFonts w:ascii="Calibri" w:hAnsi="Calibri" w:cs="Calibri"/>
              </w:rPr>
            </w:pPr>
            <w:r w:rsidRPr="00E42C35">
              <w:rPr>
                <w:rFonts w:ascii="Calibri" w:hAnsi="Calibri" w:cs="Calibri"/>
              </w:rPr>
              <w:t>Based on the interpretation of the Rule 238(1)</w:t>
            </w:r>
            <w:r w:rsidR="00365BBC" w:rsidRPr="00E42C35">
              <w:rPr>
                <w:rFonts w:ascii="Calibri" w:hAnsi="Calibri" w:cs="Calibri"/>
              </w:rPr>
              <w:t xml:space="preserve"> and </w:t>
            </w:r>
            <w:r w:rsidR="00365BBC" w:rsidRPr="00E42C35">
              <w:rPr>
                <w:rFonts w:ascii="Calibri" w:hAnsi="Calibri" w:cs="Calibri"/>
                <w:bCs/>
              </w:rPr>
              <w:t>as per the ITA Rules 1962</w:t>
            </w:r>
            <w:r w:rsidRPr="00E42C35">
              <w:rPr>
                <w:rFonts w:ascii="Calibri" w:hAnsi="Calibri" w:cs="Calibri"/>
              </w:rPr>
              <w:t>, the language should be split from clause (E) and brought outside to refer to the wider clause(g).</w:t>
            </w:r>
          </w:p>
        </w:tc>
      </w:tr>
      <w:tr w:rsidR="00B45493" w:rsidRPr="00E42C35" w14:paraId="419F2ED4" w14:textId="77777777" w:rsidTr="000813D3">
        <w:trPr>
          <w:trHeight w:val="20"/>
        </w:trPr>
        <w:tc>
          <w:tcPr>
            <w:tcW w:w="846" w:type="dxa"/>
            <w:tcBorders>
              <w:top w:val="single" w:sz="4" w:space="0" w:color="auto"/>
              <w:left w:val="single" w:sz="4" w:space="0" w:color="auto"/>
              <w:bottom w:val="single" w:sz="4" w:space="0" w:color="auto"/>
              <w:right w:val="single" w:sz="4" w:space="0" w:color="auto"/>
            </w:tcBorders>
          </w:tcPr>
          <w:p w14:paraId="4EB418A8" w14:textId="77777777" w:rsidR="00B45493" w:rsidRPr="00E42C35" w:rsidRDefault="00B45493" w:rsidP="00836676">
            <w:pPr>
              <w:numPr>
                <w:ilvl w:val="0"/>
                <w:numId w:val="2"/>
              </w:numPr>
              <w:spacing w:after="120" w:line="276" w:lineRule="auto"/>
              <w:rPr>
                <w:rFonts w:ascii="Calibri" w:hAnsi="Calibri" w:cs="Calibri"/>
                <w:lang w:bidi="en-US"/>
              </w:rPr>
            </w:pPr>
          </w:p>
        </w:tc>
        <w:tc>
          <w:tcPr>
            <w:tcW w:w="2637" w:type="dxa"/>
            <w:tcBorders>
              <w:top w:val="single" w:sz="4" w:space="0" w:color="auto"/>
              <w:left w:val="single" w:sz="4" w:space="0" w:color="auto"/>
              <w:bottom w:val="single" w:sz="4" w:space="0" w:color="auto"/>
              <w:right w:val="single" w:sz="4" w:space="0" w:color="auto"/>
            </w:tcBorders>
          </w:tcPr>
          <w:p w14:paraId="22A169D6" w14:textId="00CF764A" w:rsidR="00B45493" w:rsidRPr="00E42C35" w:rsidRDefault="00B45493" w:rsidP="00836676">
            <w:pPr>
              <w:spacing w:after="120" w:line="276" w:lineRule="auto"/>
              <w:rPr>
                <w:rFonts w:ascii="Calibri" w:hAnsi="Calibri" w:cs="Calibri"/>
                <w:b/>
              </w:rPr>
            </w:pPr>
            <w:r w:rsidRPr="00E42C35">
              <w:rPr>
                <w:rFonts w:ascii="Calibri" w:hAnsi="Calibri" w:cs="Calibri"/>
                <w:b/>
              </w:rPr>
              <w:t>Clause (</w:t>
            </w:r>
            <w:r w:rsidR="00E3076E" w:rsidRPr="00E42C35">
              <w:rPr>
                <w:rFonts w:ascii="Calibri" w:hAnsi="Calibri" w:cs="Calibri"/>
                <w:b/>
              </w:rPr>
              <w:t>f</w:t>
            </w:r>
            <w:r w:rsidRPr="00E42C35">
              <w:rPr>
                <w:rFonts w:ascii="Calibri" w:hAnsi="Calibri" w:cs="Calibri"/>
                <w:b/>
              </w:rPr>
              <w:t>) of the Explanation to Rule 114F(6) of IT Rules 1962</w:t>
            </w:r>
          </w:p>
          <w:p w14:paraId="25660AE3" w14:textId="77777777" w:rsidR="00B45493" w:rsidRPr="00E42C35" w:rsidRDefault="00B45493" w:rsidP="00836676">
            <w:pPr>
              <w:spacing w:after="120" w:line="276" w:lineRule="auto"/>
              <w:ind w:left="61"/>
              <w:rPr>
                <w:rFonts w:ascii="Calibri" w:eastAsia="Times New Roman" w:hAnsi="Calibri" w:cs="Calibri"/>
                <w:b/>
                <w:color w:val="000000"/>
                <w:kern w:val="0"/>
                <w:lang w:eastAsia="en-IN"/>
                <w14:ligatures w14:val="none"/>
              </w:rPr>
            </w:pPr>
          </w:p>
          <w:p w14:paraId="6E22B14E" w14:textId="526BFB35" w:rsidR="00B45493" w:rsidRPr="00E42C35" w:rsidRDefault="00B45493" w:rsidP="00836676">
            <w:pPr>
              <w:spacing w:after="120" w:line="276" w:lineRule="auto"/>
              <w:rPr>
                <w:rFonts w:ascii="Calibri" w:hAnsi="Calibri" w:cs="Calibri"/>
                <w:b/>
              </w:rPr>
            </w:pPr>
            <w:r w:rsidRPr="00E42C35">
              <w:rPr>
                <w:rFonts w:ascii="Calibri" w:hAnsi="Calibri" w:cs="Calibri"/>
                <w:b/>
              </w:rPr>
              <w:t>Clause (</w:t>
            </w:r>
            <w:r w:rsidR="00E3076E" w:rsidRPr="00E42C35">
              <w:rPr>
                <w:rFonts w:ascii="Calibri" w:hAnsi="Calibri" w:cs="Calibri"/>
                <w:b/>
              </w:rPr>
              <w:t>f</w:t>
            </w:r>
            <w:r w:rsidRPr="00E42C35">
              <w:rPr>
                <w:rFonts w:ascii="Calibri" w:hAnsi="Calibri" w:cs="Calibri"/>
                <w:b/>
              </w:rPr>
              <w:t>) of the Explanation to Rule 238(6) of Draft IT Rules 2026</w:t>
            </w:r>
          </w:p>
        </w:tc>
        <w:tc>
          <w:tcPr>
            <w:tcW w:w="0" w:type="auto"/>
            <w:tcBorders>
              <w:top w:val="single" w:sz="4" w:space="0" w:color="auto"/>
              <w:left w:val="single" w:sz="4" w:space="0" w:color="auto"/>
              <w:bottom w:val="single" w:sz="4" w:space="0" w:color="auto"/>
              <w:right w:val="single" w:sz="4" w:space="0" w:color="auto"/>
            </w:tcBorders>
          </w:tcPr>
          <w:p w14:paraId="1879232D" w14:textId="77777777" w:rsidR="00B45493" w:rsidRPr="00E42C35" w:rsidRDefault="00B45493" w:rsidP="00836676">
            <w:pPr>
              <w:spacing w:after="120" w:line="276" w:lineRule="auto"/>
              <w:rPr>
                <w:rFonts w:ascii="Calibri" w:hAnsi="Calibri" w:cs="Calibri"/>
                <w:b/>
                <w:lang w:bidi="en-US"/>
              </w:rPr>
            </w:pPr>
            <w:r w:rsidRPr="00E42C35">
              <w:rPr>
                <w:rFonts w:ascii="Calibri" w:hAnsi="Calibri" w:cs="Calibri"/>
                <w:b/>
                <w:lang w:bidi="en-US"/>
              </w:rPr>
              <w:t>Rationale</w:t>
            </w:r>
          </w:p>
          <w:p w14:paraId="7A472719" w14:textId="77777777" w:rsidR="00B45493" w:rsidRPr="00E42C35" w:rsidRDefault="00B45493" w:rsidP="00836676">
            <w:pPr>
              <w:numPr>
                <w:ilvl w:val="0"/>
                <w:numId w:val="3"/>
              </w:numPr>
              <w:spacing w:after="120" w:line="276" w:lineRule="auto"/>
              <w:rPr>
                <w:rFonts w:ascii="Calibri" w:hAnsi="Calibri" w:cs="Calibri"/>
              </w:rPr>
            </w:pPr>
            <w:r w:rsidRPr="00E42C35">
              <w:rPr>
                <w:rFonts w:ascii="Calibri" w:hAnsi="Calibri" w:cs="Calibri"/>
              </w:rPr>
              <w:t>The Rule is not in line with the OECD CRS Consolidated Text in the context of passive income definition.</w:t>
            </w:r>
          </w:p>
          <w:p w14:paraId="0CF0DE23" w14:textId="77777777" w:rsidR="00B45493" w:rsidRPr="00E42C35" w:rsidRDefault="00B45493" w:rsidP="00836676">
            <w:pPr>
              <w:spacing w:after="120" w:line="276" w:lineRule="auto"/>
              <w:rPr>
                <w:rFonts w:ascii="Calibri" w:hAnsi="Calibri" w:cs="Calibri"/>
                <w:b/>
                <w:bCs/>
              </w:rPr>
            </w:pPr>
            <w:r w:rsidRPr="00E42C35">
              <w:rPr>
                <w:rFonts w:ascii="Calibri" w:hAnsi="Calibri" w:cs="Calibri"/>
                <w:b/>
                <w:bCs/>
              </w:rPr>
              <w:t>Recommendation</w:t>
            </w:r>
          </w:p>
          <w:p w14:paraId="0F868AEE" w14:textId="77777777" w:rsidR="00B45493" w:rsidRPr="00E42C35" w:rsidRDefault="00B45493" w:rsidP="00836676">
            <w:pPr>
              <w:numPr>
                <w:ilvl w:val="0"/>
                <w:numId w:val="3"/>
              </w:numPr>
              <w:spacing w:after="120" w:line="276" w:lineRule="auto"/>
              <w:rPr>
                <w:rFonts w:ascii="Calibri" w:hAnsi="Calibri" w:cs="Calibri"/>
              </w:rPr>
            </w:pPr>
            <w:r w:rsidRPr="00E42C35">
              <w:rPr>
                <w:rFonts w:ascii="Calibri" w:hAnsi="Calibri" w:cs="Calibri"/>
              </w:rPr>
              <w:t>Based on the OECD CRS Consolidated Text, sub clause (vi) of clause (F) to the Explanation to Rule 238(6) should be redrafted by deleting the words noted in the strikethrough below-</w:t>
            </w:r>
          </w:p>
          <w:p w14:paraId="378C985D" w14:textId="77777777" w:rsidR="00B45493" w:rsidRPr="00E42C35" w:rsidRDefault="00B45493" w:rsidP="00836676">
            <w:pPr>
              <w:spacing w:after="120" w:line="276" w:lineRule="auto"/>
              <w:ind w:left="997"/>
              <w:rPr>
                <w:rFonts w:ascii="Calibri" w:hAnsi="Calibri" w:cs="Calibri"/>
                <w:i/>
                <w:iCs/>
                <w:strike/>
              </w:rPr>
            </w:pPr>
            <w:r w:rsidRPr="00E42C35">
              <w:rPr>
                <w:rFonts w:ascii="Calibri" w:hAnsi="Calibri" w:cs="Calibri"/>
                <w:i/>
                <w:iCs/>
              </w:rPr>
              <w:t xml:space="preserve">“(vi) the excess of gains over losses from the sale or exchange of financial assets </w:t>
            </w:r>
            <w:r w:rsidRPr="00E42C35">
              <w:rPr>
                <w:rFonts w:ascii="Calibri" w:hAnsi="Calibri" w:cs="Calibri"/>
                <w:i/>
                <w:iCs/>
                <w:strike/>
              </w:rPr>
              <w:t>which gives rise to the passive income”</w:t>
            </w:r>
          </w:p>
          <w:p w14:paraId="43F8FA17" w14:textId="27BE01B3" w:rsidR="00B45493" w:rsidRPr="00E42C35" w:rsidRDefault="00B45493" w:rsidP="00836676">
            <w:pPr>
              <w:numPr>
                <w:ilvl w:val="0"/>
                <w:numId w:val="3"/>
              </w:numPr>
              <w:spacing w:after="120" w:line="276" w:lineRule="auto"/>
              <w:rPr>
                <w:rFonts w:ascii="Calibri" w:hAnsi="Calibri" w:cs="Calibri"/>
                <w:b/>
              </w:rPr>
            </w:pPr>
            <w:r w:rsidRPr="00E42C35">
              <w:rPr>
                <w:rFonts w:ascii="Calibri" w:hAnsi="Calibri" w:cs="Calibri"/>
              </w:rPr>
              <w:t>The deletion of these words will align the Indian legislative provisions with the OECD CRS Consolidated text and thereby minimize the scope for divergent interpretations of the clause across different CRS participating jurisdictions.</w:t>
            </w:r>
          </w:p>
        </w:tc>
      </w:tr>
      <w:tr w:rsidR="00B20F3B" w:rsidRPr="00E42C35" w14:paraId="2F62EF7A" w14:textId="77777777" w:rsidTr="000813D3">
        <w:trPr>
          <w:trHeight w:val="20"/>
        </w:trPr>
        <w:tc>
          <w:tcPr>
            <w:tcW w:w="846" w:type="dxa"/>
            <w:tcBorders>
              <w:top w:val="single" w:sz="4" w:space="0" w:color="auto"/>
              <w:left w:val="single" w:sz="4" w:space="0" w:color="auto"/>
              <w:bottom w:val="single" w:sz="4" w:space="0" w:color="auto"/>
              <w:right w:val="single" w:sz="4" w:space="0" w:color="auto"/>
            </w:tcBorders>
          </w:tcPr>
          <w:p w14:paraId="7290D61A" w14:textId="77777777" w:rsidR="00B20F3B" w:rsidRPr="00E42C35" w:rsidRDefault="00B20F3B" w:rsidP="00836676">
            <w:pPr>
              <w:numPr>
                <w:ilvl w:val="0"/>
                <w:numId w:val="2"/>
              </w:numPr>
              <w:spacing w:after="120" w:line="276" w:lineRule="auto"/>
              <w:rPr>
                <w:rFonts w:ascii="Calibri" w:hAnsi="Calibri" w:cs="Calibri"/>
                <w:lang w:bidi="en-US"/>
              </w:rPr>
            </w:pPr>
          </w:p>
        </w:tc>
        <w:tc>
          <w:tcPr>
            <w:tcW w:w="2637" w:type="dxa"/>
            <w:tcBorders>
              <w:top w:val="single" w:sz="4" w:space="0" w:color="auto"/>
              <w:left w:val="single" w:sz="4" w:space="0" w:color="auto"/>
              <w:bottom w:val="single" w:sz="4" w:space="0" w:color="auto"/>
              <w:right w:val="single" w:sz="4" w:space="0" w:color="auto"/>
            </w:tcBorders>
          </w:tcPr>
          <w:p w14:paraId="573C3EB5" w14:textId="77777777" w:rsidR="00B20F3B" w:rsidRPr="00E42C35" w:rsidRDefault="00517EF2" w:rsidP="00836676">
            <w:pPr>
              <w:spacing w:after="120" w:line="276" w:lineRule="auto"/>
              <w:rPr>
                <w:rFonts w:ascii="Calibri" w:hAnsi="Calibri" w:cs="Calibri"/>
                <w:b/>
              </w:rPr>
            </w:pPr>
            <w:r w:rsidRPr="00E42C35">
              <w:rPr>
                <w:rFonts w:ascii="Calibri" w:hAnsi="Calibri" w:cs="Calibri"/>
                <w:b/>
              </w:rPr>
              <w:t>Rule 114G(1)(e)(ii) of IT Rules 1962</w:t>
            </w:r>
          </w:p>
          <w:p w14:paraId="260FE996" w14:textId="77777777" w:rsidR="00517EF2" w:rsidRPr="00E42C35" w:rsidRDefault="00517EF2" w:rsidP="00836676">
            <w:pPr>
              <w:spacing w:after="120" w:line="276" w:lineRule="auto"/>
              <w:rPr>
                <w:rFonts w:ascii="Calibri" w:hAnsi="Calibri" w:cs="Calibri"/>
                <w:b/>
              </w:rPr>
            </w:pPr>
          </w:p>
          <w:p w14:paraId="3972A586" w14:textId="7E1E2CFC" w:rsidR="00517EF2" w:rsidRPr="00E42C35" w:rsidRDefault="007E2151" w:rsidP="00836676">
            <w:pPr>
              <w:spacing w:after="120" w:line="276" w:lineRule="auto"/>
              <w:rPr>
                <w:rFonts w:ascii="Calibri" w:hAnsi="Calibri" w:cs="Calibri"/>
                <w:b/>
              </w:rPr>
            </w:pPr>
            <w:r w:rsidRPr="00E42C35">
              <w:rPr>
                <w:rFonts w:ascii="Calibri" w:hAnsi="Calibri" w:cs="Calibri"/>
                <w:b/>
              </w:rPr>
              <w:t>Rule 239(1)(e)(ii) of Draft IT Rules 2026</w:t>
            </w:r>
          </w:p>
        </w:tc>
        <w:tc>
          <w:tcPr>
            <w:tcW w:w="0" w:type="auto"/>
            <w:tcBorders>
              <w:top w:val="single" w:sz="4" w:space="0" w:color="auto"/>
              <w:left w:val="single" w:sz="4" w:space="0" w:color="auto"/>
              <w:bottom w:val="single" w:sz="4" w:space="0" w:color="auto"/>
              <w:right w:val="single" w:sz="4" w:space="0" w:color="auto"/>
            </w:tcBorders>
          </w:tcPr>
          <w:p w14:paraId="60E502EB" w14:textId="77777777" w:rsidR="005B564A" w:rsidRPr="00E42C35" w:rsidRDefault="005B564A" w:rsidP="00836676">
            <w:pPr>
              <w:spacing w:after="120" w:line="276" w:lineRule="auto"/>
              <w:rPr>
                <w:rFonts w:ascii="Calibri" w:hAnsi="Calibri" w:cs="Calibri"/>
                <w:b/>
                <w:bCs/>
              </w:rPr>
            </w:pPr>
            <w:r w:rsidRPr="00E42C35">
              <w:rPr>
                <w:rFonts w:ascii="Calibri" w:hAnsi="Calibri" w:cs="Calibri"/>
                <w:b/>
                <w:bCs/>
              </w:rPr>
              <w:lastRenderedPageBreak/>
              <w:t xml:space="preserve">Rationale </w:t>
            </w:r>
          </w:p>
          <w:p w14:paraId="03E92B2A" w14:textId="77777777" w:rsidR="004A05EA" w:rsidRPr="00E42C35" w:rsidRDefault="004A05EA" w:rsidP="00836676">
            <w:pPr>
              <w:numPr>
                <w:ilvl w:val="0"/>
                <w:numId w:val="3"/>
              </w:numPr>
              <w:spacing w:after="120" w:line="276" w:lineRule="auto"/>
              <w:rPr>
                <w:rFonts w:ascii="Calibri" w:hAnsi="Calibri" w:cs="Calibri"/>
              </w:rPr>
            </w:pPr>
            <w:r w:rsidRPr="00E42C35">
              <w:rPr>
                <w:rFonts w:ascii="Calibri" w:hAnsi="Calibri" w:cs="Calibri"/>
              </w:rPr>
              <w:lastRenderedPageBreak/>
              <w:t>Drafting of the said rule is not in accordance with OECD CRS 2.0 amendments which includes the wordings, “or with respect to” in the Commentary to the relevant provisions of OECD CRS</w:t>
            </w:r>
          </w:p>
          <w:p w14:paraId="7BC2064C" w14:textId="3BF4651D" w:rsidR="00CB6A2C" w:rsidRPr="00E42C35" w:rsidRDefault="005B564A" w:rsidP="00836676">
            <w:pPr>
              <w:spacing w:after="120" w:line="276" w:lineRule="auto"/>
              <w:rPr>
                <w:rFonts w:ascii="Calibri" w:hAnsi="Calibri" w:cs="Calibri"/>
                <w:b/>
                <w:bCs/>
              </w:rPr>
            </w:pPr>
            <w:r w:rsidRPr="00E42C35">
              <w:rPr>
                <w:rFonts w:ascii="Calibri" w:hAnsi="Calibri" w:cs="Calibri"/>
                <w:b/>
                <w:bCs/>
              </w:rPr>
              <w:t>Recommendation</w:t>
            </w:r>
          </w:p>
          <w:p w14:paraId="5D788F7D" w14:textId="77777777" w:rsidR="0098144A" w:rsidRPr="00E42C35" w:rsidRDefault="00CB6A2C" w:rsidP="00836676">
            <w:pPr>
              <w:numPr>
                <w:ilvl w:val="0"/>
                <w:numId w:val="3"/>
              </w:numPr>
              <w:spacing w:after="120" w:line="276" w:lineRule="auto"/>
              <w:rPr>
                <w:rFonts w:ascii="Calibri" w:hAnsi="Calibri" w:cs="Calibri"/>
              </w:rPr>
            </w:pPr>
            <w:r w:rsidRPr="00E42C35">
              <w:rPr>
                <w:rFonts w:ascii="Calibri" w:hAnsi="Calibri" w:cs="Calibri"/>
              </w:rPr>
              <w:t>Based on the OECD CRS consolidated text, rule should include (text highlighted in bold) and be redrafted as follows –</w:t>
            </w:r>
          </w:p>
          <w:p w14:paraId="756055F7" w14:textId="77777777" w:rsidR="00CB6A2C" w:rsidRPr="00E42C35" w:rsidRDefault="00CB6A2C" w:rsidP="00836676">
            <w:pPr>
              <w:spacing w:after="120" w:line="276" w:lineRule="auto"/>
              <w:ind w:left="720"/>
              <w:rPr>
                <w:rFonts w:ascii="Calibri" w:hAnsi="Calibri" w:cs="Calibri"/>
              </w:rPr>
            </w:pPr>
            <w:r w:rsidRPr="00E42C35">
              <w:rPr>
                <w:rFonts w:ascii="Calibri" w:hAnsi="Calibri" w:cs="Calibri"/>
                <w:i/>
              </w:rPr>
              <w:t xml:space="preserve">“the total gross proceeds from the sale or redemption of financial assets paid or credited to </w:t>
            </w:r>
            <w:r w:rsidRPr="00E42C35">
              <w:rPr>
                <w:rFonts w:ascii="Calibri" w:hAnsi="Calibri" w:cs="Calibri"/>
                <w:b/>
                <w:i/>
                <w:u w:val="single"/>
              </w:rPr>
              <w:t>or with respect to</w:t>
            </w:r>
            <w:r w:rsidRPr="00E42C35">
              <w:rPr>
                <w:rFonts w:ascii="Calibri" w:hAnsi="Calibri" w:cs="Calibri"/>
                <w:i/>
              </w:rPr>
              <w:t xml:space="preserve"> the account during the calendar year with respect to which the reporting financial institution acted as a custodian, broker, nominee, or otherwise as an agent for the account holder;</w:t>
            </w:r>
          </w:p>
          <w:p w14:paraId="7E44C5BD" w14:textId="0944F649" w:rsidR="005B564A" w:rsidRPr="00E42C35" w:rsidRDefault="005B564A" w:rsidP="00836676">
            <w:pPr>
              <w:numPr>
                <w:ilvl w:val="0"/>
                <w:numId w:val="3"/>
              </w:numPr>
              <w:spacing w:after="120" w:line="276" w:lineRule="auto"/>
              <w:rPr>
                <w:rFonts w:ascii="Calibri" w:hAnsi="Calibri" w:cs="Calibri"/>
                <w:b/>
                <w:bCs/>
              </w:rPr>
            </w:pPr>
            <w:r w:rsidRPr="00E42C35">
              <w:rPr>
                <w:rFonts w:ascii="Calibri" w:hAnsi="Calibri" w:cs="Calibri"/>
                <w:bCs/>
              </w:rPr>
              <w:t>The redrafted provision reflects the exact wording used in the OECD CRS consolidated text to ensure full conformity with the globally accepted definition of “gross proceeds” for Custodial Accounts. This alignment removes scope for varied interpretation, provides clarity on when reporting is triggered in a custodial or agency capacity, and promotes consistent, accurate, and comparable reporting across jurisdictions participating in the CRS framework.</w:t>
            </w:r>
          </w:p>
        </w:tc>
      </w:tr>
      <w:tr w:rsidR="00B20F3B" w:rsidRPr="00E42C35" w14:paraId="37C8CBFC" w14:textId="77777777" w:rsidTr="000813D3">
        <w:trPr>
          <w:trHeight w:val="20"/>
        </w:trPr>
        <w:tc>
          <w:tcPr>
            <w:tcW w:w="846" w:type="dxa"/>
            <w:tcBorders>
              <w:top w:val="single" w:sz="4" w:space="0" w:color="auto"/>
              <w:left w:val="single" w:sz="4" w:space="0" w:color="auto"/>
              <w:bottom w:val="single" w:sz="4" w:space="0" w:color="auto"/>
              <w:right w:val="single" w:sz="4" w:space="0" w:color="auto"/>
            </w:tcBorders>
          </w:tcPr>
          <w:p w14:paraId="45D9533A" w14:textId="77777777" w:rsidR="00B20F3B" w:rsidRPr="00E42C35" w:rsidRDefault="00B20F3B" w:rsidP="00836676">
            <w:pPr>
              <w:numPr>
                <w:ilvl w:val="0"/>
                <w:numId w:val="2"/>
              </w:numPr>
              <w:spacing w:after="120" w:line="276" w:lineRule="auto"/>
              <w:rPr>
                <w:rFonts w:ascii="Calibri" w:hAnsi="Calibri" w:cs="Calibri"/>
                <w:lang w:bidi="en-US"/>
              </w:rPr>
            </w:pPr>
          </w:p>
        </w:tc>
        <w:tc>
          <w:tcPr>
            <w:tcW w:w="2637" w:type="dxa"/>
            <w:tcBorders>
              <w:top w:val="single" w:sz="4" w:space="0" w:color="auto"/>
              <w:left w:val="single" w:sz="4" w:space="0" w:color="auto"/>
              <w:bottom w:val="single" w:sz="4" w:space="0" w:color="auto"/>
              <w:right w:val="single" w:sz="4" w:space="0" w:color="auto"/>
            </w:tcBorders>
          </w:tcPr>
          <w:p w14:paraId="3D5AA1FD" w14:textId="4D959B2C" w:rsidR="00B20F3B" w:rsidRPr="00E42C35" w:rsidRDefault="002C2855" w:rsidP="00836676">
            <w:pPr>
              <w:spacing w:after="120" w:line="276" w:lineRule="auto"/>
              <w:rPr>
                <w:rFonts w:ascii="Calibri" w:hAnsi="Calibri" w:cs="Calibri"/>
                <w:b/>
              </w:rPr>
            </w:pPr>
            <w:r w:rsidRPr="00E42C35">
              <w:rPr>
                <w:rFonts w:ascii="Calibri" w:hAnsi="Calibri" w:cs="Calibri"/>
                <w:b/>
              </w:rPr>
              <w:t>Rule 239(7) of Draft IT Rules 2026</w:t>
            </w:r>
          </w:p>
        </w:tc>
        <w:tc>
          <w:tcPr>
            <w:tcW w:w="0" w:type="auto"/>
            <w:tcBorders>
              <w:top w:val="single" w:sz="4" w:space="0" w:color="auto"/>
              <w:left w:val="single" w:sz="4" w:space="0" w:color="auto"/>
              <w:bottom w:val="single" w:sz="4" w:space="0" w:color="auto"/>
              <w:right w:val="single" w:sz="4" w:space="0" w:color="auto"/>
            </w:tcBorders>
          </w:tcPr>
          <w:p w14:paraId="5C0DF6BF" w14:textId="0A4017A4" w:rsidR="00086A23" w:rsidRPr="00E42C35" w:rsidRDefault="00086A23" w:rsidP="00836676">
            <w:pPr>
              <w:spacing w:after="120" w:line="276" w:lineRule="auto"/>
              <w:rPr>
                <w:rFonts w:ascii="Calibri" w:hAnsi="Calibri" w:cs="Calibri"/>
                <w:b/>
                <w:bCs/>
              </w:rPr>
            </w:pPr>
            <w:r w:rsidRPr="00E42C35">
              <w:rPr>
                <w:rFonts w:ascii="Calibri" w:hAnsi="Calibri" w:cs="Calibri"/>
                <w:b/>
                <w:bCs/>
              </w:rPr>
              <w:t xml:space="preserve">Rationale </w:t>
            </w:r>
          </w:p>
          <w:p w14:paraId="5BB34E90" w14:textId="13BB6384" w:rsidR="00B20F3B" w:rsidRPr="00E42C35" w:rsidRDefault="00834C31" w:rsidP="00836676">
            <w:pPr>
              <w:numPr>
                <w:ilvl w:val="0"/>
                <w:numId w:val="3"/>
              </w:numPr>
              <w:spacing w:after="120" w:line="276" w:lineRule="auto"/>
              <w:rPr>
                <w:rFonts w:ascii="Calibri" w:hAnsi="Calibri" w:cs="Calibri"/>
              </w:rPr>
            </w:pPr>
            <w:r w:rsidRPr="00E42C35">
              <w:rPr>
                <w:rFonts w:ascii="Calibri" w:hAnsi="Calibri" w:cs="Calibri"/>
              </w:rPr>
              <w:t xml:space="preserve">The rule reference provided in the sub-rule (7) of Rule 239 is incorrect. </w:t>
            </w:r>
            <w:r w:rsidR="007F17FC" w:rsidRPr="00E42C35">
              <w:rPr>
                <w:rFonts w:ascii="Calibri" w:hAnsi="Calibri" w:cs="Calibri"/>
              </w:rPr>
              <w:t>The Rule reference in said rule has been given for Rule 239(1)(ii)(e). However, the rule reference should be given for Rule 239(1)(e)(ii).</w:t>
            </w:r>
          </w:p>
          <w:p w14:paraId="048DF17B" w14:textId="3FAAC88D" w:rsidR="00086A23" w:rsidRPr="00E42C35" w:rsidRDefault="00086A23" w:rsidP="00836676">
            <w:pPr>
              <w:spacing w:after="120" w:line="276" w:lineRule="auto"/>
              <w:rPr>
                <w:rFonts w:ascii="Calibri" w:hAnsi="Calibri" w:cs="Calibri"/>
                <w:b/>
                <w:bCs/>
              </w:rPr>
            </w:pPr>
            <w:r w:rsidRPr="00E42C35">
              <w:rPr>
                <w:rFonts w:ascii="Calibri" w:hAnsi="Calibri" w:cs="Calibri"/>
                <w:b/>
                <w:bCs/>
              </w:rPr>
              <w:t>Recommendation</w:t>
            </w:r>
          </w:p>
          <w:p w14:paraId="0ABFAB4E" w14:textId="77777777" w:rsidR="007C54F7" w:rsidRPr="00E42C35" w:rsidRDefault="007C54F7" w:rsidP="00836676">
            <w:pPr>
              <w:numPr>
                <w:ilvl w:val="0"/>
                <w:numId w:val="3"/>
              </w:numPr>
              <w:spacing w:after="120" w:line="276" w:lineRule="auto"/>
              <w:rPr>
                <w:rFonts w:ascii="Calibri" w:hAnsi="Calibri" w:cs="Calibri"/>
              </w:rPr>
            </w:pPr>
            <w:r w:rsidRPr="00E42C35">
              <w:rPr>
                <w:rFonts w:ascii="Calibri" w:hAnsi="Calibri" w:cs="Calibri"/>
              </w:rPr>
              <w:t xml:space="preserve">The Rule 239(7) should be redrafted by replacing </w:t>
            </w:r>
            <w:r w:rsidRPr="00E42C35">
              <w:rPr>
                <w:rFonts w:ascii="Calibri" w:hAnsi="Calibri" w:cs="Calibri"/>
                <w:b/>
                <w:bCs/>
                <w:i/>
                <w:iCs/>
              </w:rPr>
              <w:t>“</w:t>
            </w:r>
            <w:r w:rsidRPr="00E42C35">
              <w:rPr>
                <w:rFonts w:ascii="Calibri" w:hAnsi="Calibri" w:cs="Calibri"/>
                <w:b/>
                <w:i/>
              </w:rPr>
              <w:t>sub-</w:t>
            </w:r>
            <w:r w:rsidRPr="00E42C35">
              <w:rPr>
                <w:rFonts w:ascii="Calibri" w:hAnsi="Calibri" w:cs="Calibri"/>
                <w:b/>
                <w:bCs/>
                <w:i/>
                <w:iCs/>
              </w:rPr>
              <w:t>rule (1)(e)(ii)”</w:t>
            </w:r>
            <w:r w:rsidRPr="00E42C35">
              <w:rPr>
                <w:rFonts w:ascii="Calibri" w:hAnsi="Calibri" w:cs="Calibri"/>
              </w:rPr>
              <w:t xml:space="preserve"> with </w:t>
            </w:r>
            <w:r w:rsidRPr="00E42C35">
              <w:rPr>
                <w:rFonts w:ascii="Calibri" w:hAnsi="Calibri" w:cs="Calibri"/>
                <w:b/>
                <w:bCs/>
                <w:i/>
                <w:iCs/>
              </w:rPr>
              <w:t>“sub-rule (1)(ii)(e)”</w:t>
            </w:r>
            <w:r w:rsidRPr="00E42C35">
              <w:rPr>
                <w:rFonts w:ascii="Calibri" w:hAnsi="Calibri" w:cs="Calibri"/>
              </w:rPr>
              <w:t xml:space="preserve"> as follows-</w:t>
            </w:r>
          </w:p>
          <w:p w14:paraId="590534D6" w14:textId="1A47E249" w:rsidR="007C54F7" w:rsidRPr="00E42C35" w:rsidRDefault="007C54F7" w:rsidP="00836676">
            <w:pPr>
              <w:spacing w:after="120" w:line="276" w:lineRule="auto"/>
              <w:ind w:left="720"/>
              <w:rPr>
                <w:rFonts w:ascii="Calibri" w:hAnsi="Calibri" w:cs="Calibri"/>
                <w:b/>
                <w:bCs/>
              </w:rPr>
            </w:pPr>
            <w:r w:rsidRPr="00E42C35">
              <w:rPr>
                <w:rFonts w:ascii="Calibri" w:hAnsi="Calibri" w:cs="Calibri"/>
                <w:i/>
                <w:iCs/>
              </w:rPr>
              <w:t xml:space="preserve">“Irrespective of sub-rule (1)(e)(ii) and unless the reporting financial institution elects otherwise with respect to any clearly identified group of accounts, the gross proceeds from the sale or redemption of a financial asset are not required to be reported to the extent such gross proceeds from the sale or redemption of such financial asset are reported by the reporting financial institution under the Crypto-Asset Reporting </w:t>
            </w:r>
            <w:r w:rsidRPr="00E42C35">
              <w:rPr>
                <w:rFonts w:ascii="Calibri" w:hAnsi="Calibri" w:cs="Calibri"/>
                <w:i/>
                <w:iCs/>
              </w:rPr>
              <w:lastRenderedPageBreak/>
              <w:t>Framework; so, however, that the provisions of this sub-rule shall apply in respect of an account other than U.S. reportable account.”</w:t>
            </w:r>
          </w:p>
        </w:tc>
      </w:tr>
      <w:tr w:rsidR="00B20F3B" w:rsidRPr="00E42C35" w14:paraId="7A0D830F" w14:textId="77777777" w:rsidTr="000813D3">
        <w:trPr>
          <w:trHeight w:val="20"/>
        </w:trPr>
        <w:tc>
          <w:tcPr>
            <w:tcW w:w="846" w:type="dxa"/>
            <w:tcBorders>
              <w:top w:val="single" w:sz="4" w:space="0" w:color="auto"/>
              <w:left w:val="single" w:sz="4" w:space="0" w:color="auto"/>
              <w:bottom w:val="single" w:sz="4" w:space="0" w:color="auto"/>
              <w:right w:val="single" w:sz="4" w:space="0" w:color="auto"/>
            </w:tcBorders>
          </w:tcPr>
          <w:p w14:paraId="6DC258A1" w14:textId="77777777" w:rsidR="00B20F3B" w:rsidRPr="00E42C35" w:rsidRDefault="00B20F3B" w:rsidP="00836676">
            <w:pPr>
              <w:numPr>
                <w:ilvl w:val="0"/>
                <w:numId w:val="2"/>
              </w:numPr>
              <w:spacing w:after="120" w:line="276" w:lineRule="auto"/>
              <w:rPr>
                <w:rFonts w:ascii="Calibri" w:hAnsi="Calibri" w:cs="Calibri"/>
                <w:lang w:bidi="en-US"/>
              </w:rPr>
            </w:pPr>
          </w:p>
        </w:tc>
        <w:tc>
          <w:tcPr>
            <w:tcW w:w="2637" w:type="dxa"/>
            <w:tcBorders>
              <w:top w:val="single" w:sz="4" w:space="0" w:color="auto"/>
              <w:left w:val="single" w:sz="4" w:space="0" w:color="auto"/>
              <w:bottom w:val="single" w:sz="4" w:space="0" w:color="auto"/>
              <w:right w:val="single" w:sz="4" w:space="0" w:color="auto"/>
            </w:tcBorders>
          </w:tcPr>
          <w:p w14:paraId="615C17A0" w14:textId="0DF11AA1" w:rsidR="00B20F3B" w:rsidRPr="00E42C35" w:rsidRDefault="00AE67EA" w:rsidP="00836676">
            <w:pPr>
              <w:spacing w:after="120" w:line="276" w:lineRule="auto"/>
              <w:rPr>
                <w:rFonts w:ascii="Calibri" w:hAnsi="Calibri" w:cs="Calibri"/>
                <w:b/>
              </w:rPr>
            </w:pPr>
            <w:r w:rsidRPr="00E42C35">
              <w:rPr>
                <w:rFonts w:ascii="Calibri" w:hAnsi="Calibri" w:cs="Calibri"/>
                <w:b/>
              </w:rPr>
              <w:t>Rule 114G(7)</w:t>
            </w:r>
            <w:r w:rsidR="00B009A4" w:rsidRPr="00E42C35">
              <w:rPr>
                <w:rFonts w:ascii="Calibri" w:hAnsi="Calibri" w:cs="Calibri"/>
                <w:b/>
              </w:rPr>
              <w:t xml:space="preserve"> of IT Rules 1962</w:t>
            </w:r>
          </w:p>
          <w:p w14:paraId="0860F20F" w14:textId="77777777" w:rsidR="00AE67EA" w:rsidRPr="00E42C35" w:rsidRDefault="00AE67EA" w:rsidP="00836676">
            <w:pPr>
              <w:spacing w:after="120" w:line="276" w:lineRule="auto"/>
              <w:rPr>
                <w:rFonts w:ascii="Calibri" w:hAnsi="Calibri" w:cs="Calibri"/>
                <w:b/>
              </w:rPr>
            </w:pPr>
          </w:p>
          <w:p w14:paraId="53CF0270" w14:textId="26DB5934" w:rsidR="00AE67EA" w:rsidRPr="00E42C35" w:rsidRDefault="00B009A4" w:rsidP="00836676">
            <w:pPr>
              <w:spacing w:after="120" w:line="276" w:lineRule="auto"/>
              <w:rPr>
                <w:rFonts w:ascii="Calibri" w:hAnsi="Calibri" w:cs="Calibri"/>
                <w:b/>
              </w:rPr>
            </w:pPr>
            <w:r w:rsidRPr="00E42C35">
              <w:rPr>
                <w:rFonts w:ascii="Calibri" w:hAnsi="Calibri" w:cs="Calibri"/>
                <w:b/>
              </w:rPr>
              <w:t>Rule 239(8) of Draft IT Rules 2026</w:t>
            </w:r>
          </w:p>
        </w:tc>
        <w:tc>
          <w:tcPr>
            <w:tcW w:w="0" w:type="auto"/>
            <w:tcBorders>
              <w:top w:val="single" w:sz="4" w:space="0" w:color="auto"/>
              <w:left w:val="single" w:sz="4" w:space="0" w:color="auto"/>
              <w:bottom w:val="single" w:sz="4" w:space="0" w:color="auto"/>
              <w:right w:val="single" w:sz="4" w:space="0" w:color="auto"/>
            </w:tcBorders>
          </w:tcPr>
          <w:p w14:paraId="67872A29" w14:textId="24707D19" w:rsidR="00B20F3B" w:rsidRPr="00E42C35" w:rsidRDefault="005770AE" w:rsidP="00836676">
            <w:pPr>
              <w:spacing w:after="120" w:line="276" w:lineRule="auto"/>
              <w:rPr>
                <w:rFonts w:ascii="Calibri" w:hAnsi="Calibri" w:cs="Calibri"/>
                <w:b/>
                <w:bCs/>
              </w:rPr>
            </w:pPr>
            <w:r w:rsidRPr="00E42C35">
              <w:rPr>
                <w:rFonts w:ascii="Calibri" w:hAnsi="Calibri" w:cs="Calibri"/>
                <w:b/>
                <w:bCs/>
              </w:rPr>
              <w:t xml:space="preserve">Rationale </w:t>
            </w:r>
          </w:p>
          <w:p w14:paraId="194C3597" w14:textId="1BB096D5" w:rsidR="00AD5B08" w:rsidRPr="00E42C35" w:rsidRDefault="00AD5B08" w:rsidP="00836676">
            <w:pPr>
              <w:numPr>
                <w:ilvl w:val="0"/>
                <w:numId w:val="3"/>
              </w:numPr>
              <w:spacing w:after="120" w:line="276" w:lineRule="auto"/>
              <w:rPr>
                <w:rFonts w:ascii="Calibri" w:hAnsi="Calibri" w:cs="Calibri"/>
              </w:rPr>
            </w:pPr>
            <w:r w:rsidRPr="00E42C35">
              <w:rPr>
                <w:rFonts w:ascii="Calibri" w:hAnsi="Calibri" w:cs="Calibri"/>
              </w:rPr>
              <w:t>The Rule 239(8) contains incorrect section reference of Income-tax Act, 2025.</w:t>
            </w:r>
          </w:p>
          <w:p w14:paraId="1ED53BE7" w14:textId="5CFA284B" w:rsidR="005770AE" w:rsidRPr="00E42C35" w:rsidRDefault="005770AE" w:rsidP="00836676">
            <w:pPr>
              <w:numPr>
                <w:ilvl w:val="0"/>
                <w:numId w:val="3"/>
              </w:numPr>
              <w:spacing w:after="120" w:line="276" w:lineRule="auto"/>
              <w:rPr>
                <w:rFonts w:ascii="Calibri" w:hAnsi="Calibri" w:cs="Calibri"/>
              </w:rPr>
            </w:pPr>
            <w:r w:rsidRPr="00E42C35">
              <w:rPr>
                <w:rFonts w:ascii="Calibri" w:hAnsi="Calibri" w:cs="Calibri"/>
              </w:rPr>
              <w:t xml:space="preserve">The current rule cites a provision from the repealed legislation, whereas it should refer the corresponding section under the new Act. </w:t>
            </w:r>
          </w:p>
          <w:p w14:paraId="4E3DDC20" w14:textId="67B27EFC" w:rsidR="005770AE" w:rsidRPr="00E42C35" w:rsidRDefault="005770AE" w:rsidP="00836676">
            <w:pPr>
              <w:spacing w:after="120" w:line="276" w:lineRule="auto"/>
              <w:rPr>
                <w:rFonts w:ascii="Calibri" w:hAnsi="Calibri" w:cs="Calibri"/>
                <w:b/>
                <w:bCs/>
              </w:rPr>
            </w:pPr>
            <w:r w:rsidRPr="00E42C35">
              <w:rPr>
                <w:rFonts w:ascii="Calibri" w:hAnsi="Calibri" w:cs="Calibri"/>
                <w:b/>
                <w:bCs/>
              </w:rPr>
              <w:t>Recommendation</w:t>
            </w:r>
          </w:p>
          <w:p w14:paraId="53E44017" w14:textId="77777777" w:rsidR="00990089" w:rsidRPr="00E42C35" w:rsidRDefault="00B20C83" w:rsidP="00836676">
            <w:pPr>
              <w:numPr>
                <w:ilvl w:val="0"/>
                <w:numId w:val="3"/>
              </w:numPr>
              <w:spacing w:after="120" w:line="276" w:lineRule="auto"/>
              <w:rPr>
                <w:rFonts w:ascii="Calibri" w:hAnsi="Calibri" w:cs="Calibri"/>
              </w:rPr>
            </w:pPr>
            <w:r w:rsidRPr="00E42C35">
              <w:rPr>
                <w:rFonts w:ascii="Calibri" w:hAnsi="Calibri" w:cs="Calibri"/>
              </w:rPr>
              <w:t xml:space="preserve">The rule should be redrafted by replacing the </w:t>
            </w:r>
            <w:r w:rsidRPr="00E42C35">
              <w:rPr>
                <w:rFonts w:ascii="Calibri" w:hAnsi="Calibri" w:cs="Calibri"/>
                <w:b/>
                <w:bCs/>
                <w:i/>
                <w:iCs/>
                <w:u w:val="single"/>
              </w:rPr>
              <w:t xml:space="preserve">section “285BA(1)(k”) </w:t>
            </w:r>
            <w:r w:rsidRPr="00E42C35">
              <w:rPr>
                <w:rFonts w:ascii="Calibri" w:hAnsi="Calibri" w:cs="Calibri"/>
              </w:rPr>
              <w:t>with “</w:t>
            </w:r>
            <w:r w:rsidRPr="00E42C35">
              <w:rPr>
                <w:rFonts w:ascii="Calibri" w:hAnsi="Calibri" w:cs="Calibri"/>
                <w:b/>
                <w:bCs/>
                <w:i/>
                <w:iCs/>
                <w:u w:val="single"/>
              </w:rPr>
              <w:t>Section</w:t>
            </w:r>
            <w:r w:rsidRPr="00E42C35">
              <w:rPr>
                <w:rFonts w:ascii="Calibri" w:hAnsi="Calibri" w:cs="Calibri"/>
              </w:rPr>
              <w:t xml:space="preserve"> </w:t>
            </w:r>
            <w:r w:rsidRPr="00E42C35">
              <w:rPr>
                <w:rFonts w:ascii="Calibri" w:hAnsi="Calibri" w:cs="Calibri"/>
                <w:b/>
                <w:bCs/>
                <w:i/>
                <w:iCs/>
                <w:u w:val="single"/>
              </w:rPr>
              <w:t xml:space="preserve">508(1)(k)” </w:t>
            </w:r>
            <w:r w:rsidRPr="00E42C35">
              <w:rPr>
                <w:rFonts w:ascii="Calibri" w:hAnsi="Calibri" w:cs="Calibri"/>
              </w:rPr>
              <w:t>as follows-</w:t>
            </w:r>
          </w:p>
          <w:p w14:paraId="789CF9F7" w14:textId="7B625B7B" w:rsidR="00B20C83" w:rsidRPr="00E42C35" w:rsidRDefault="00B20C83" w:rsidP="00836676">
            <w:pPr>
              <w:spacing w:after="120" w:line="276" w:lineRule="auto"/>
              <w:ind w:left="720"/>
              <w:rPr>
                <w:rFonts w:ascii="Calibri" w:hAnsi="Calibri" w:cs="Calibri"/>
                <w:i/>
                <w:iCs/>
              </w:rPr>
            </w:pPr>
            <w:r w:rsidRPr="00E42C35">
              <w:rPr>
                <w:rFonts w:ascii="Calibri" w:hAnsi="Calibri" w:cs="Calibri"/>
                <w:i/>
                <w:iCs/>
              </w:rPr>
              <w:t xml:space="preserve">“The statement of reportable account required to be furnished under section </w:t>
            </w:r>
            <w:r w:rsidRPr="00E42C35">
              <w:rPr>
                <w:rFonts w:ascii="Calibri" w:hAnsi="Calibri" w:cs="Calibri"/>
                <w:i/>
                <w:iCs/>
                <w:strike/>
              </w:rPr>
              <w:t>285BA(1)(k)</w:t>
            </w:r>
            <w:r w:rsidRPr="00E42C35">
              <w:rPr>
                <w:rFonts w:ascii="Calibri" w:hAnsi="Calibri" w:cs="Calibri"/>
                <w:b/>
                <w:bCs/>
                <w:i/>
                <w:iCs/>
                <w:u w:val="single"/>
              </w:rPr>
              <w:t xml:space="preserve"> 508(1)(k)</w:t>
            </w:r>
            <w:r w:rsidRPr="00E42C35">
              <w:rPr>
                <w:rFonts w:ascii="Calibri" w:hAnsi="Calibri" w:cs="Calibri"/>
                <w:i/>
                <w:iCs/>
              </w:rPr>
              <w:t xml:space="preserve"> shall be furnished by a reporting financial institution in respect of each account which has been identified, pursuant to due diligence procedure specified in rule 240, as a reportable account; so, however, that where pursuant to such due diligence procedures no account is identified as a reportable account, a nil statement shall be furnished by the reporting financial institution.”  </w:t>
            </w:r>
          </w:p>
          <w:p w14:paraId="479D5688" w14:textId="0368C471" w:rsidR="00AD5B08" w:rsidRPr="00E42C35" w:rsidRDefault="003E71BF" w:rsidP="00836676">
            <w:pPr>
              <w:numPr>
                <w:ilvl w:val="0"/>
                <w:numId w:val="3"/>
              </w:numPr>
              <w:spacing w:after="120" w:line="276" w:lineRule="auto"/>
              <w:rPr>
                <w:rFonts w:ascii="Calibri" w:hAnsi="Calibri" w:cs="Calibri"/>
                <w:b/>
                <w:bCs/>
              </w:rPr>
            </w:pPr>
            <w:r w:rsidRPr="00E42C35">
              <w:rPr>
                <w:rFonts w:ascii="Calibri" w:hAnsi="Calibri" w:cs="Calibri"/>
              </w:rPr>
              <w:t>The proposed amendment corrects this discrepancy and ensures that the rule is aligned with the prevailing statutory framework.</w:t>
            </w:r>
          </w:p>
        </w:tc>
      </w:tr>
      <w:tr w:rsidR="00B20F3B" w:rsidRPr="00E42C35" w14:paraId="740227C6" w14:textId="77777777" w:rsidTr="000813D3">
        <w:trPr>
          <w:trHeight w:val="20"/>
        </w:trPr>
        <w:tc>
          <w:tcPr>
            <w:tcW w:w="846" w:type="dxa"/>
            <w:tcBorders>
              <w:top w:val="single" w:sz="4" w:space="0" w:color="auto"/>
              <w:left w:val="single" w:sz="4" w:space="0" w:color="auto"/>
              <w:bottom w:val="single" w:sz="4" w:space="0" w:color="auto"/>
              <w:right w:val="single" w:sz="4" w:space="0" w:color="auto"/>
            </w:tcBorders>
          </w:tcPr>
          <w:p w14:paraId="3314233B" w14:textId="77777777" w:rsidR="00B20F3B" w:rsidRPr="00E42C35" w:rsidRDefault="00B20F3B" w:rsidP="00836676">
            <w:pPr>
              <w:numPr>
                <w:ilvl w:val="0"/>
                <w:numId w:val="2"/>
              </w:numPr>
              <w:spacing w:after="120" w:line="276" w:lineRule="auto"/>
              <w:rPr>
                <w:rFonts w:ascii="Calibri" w:hAnsi="Calibri" w:cs="Calibri"/>
                <w:lang w:bidi="en-US"/>
              </w:rPr>
            </w:pPr>
          </w:p>
        </w:tc>
        <w:tc>
          <w:tcPr>
            <w:tcW w:w="2637" w:type="dxa"/>
            <w:tcBorders>
              <w:top w:val="single" w:sz="4" w:space="0" w:color="auto"/>
              <w:left w:val="single" w:sz="4" w:space="0" w:color="auto"/>
              <w:bottom w:val="single" w:sz="4" w:space="0" w:color="auto"/>
              <w:right w:val="single" w:sz="4" w:space="0" w:color="auto"/>
            </w:tcBorders>
          </w:tcPr>
          <w:p w14:paraId="09E7BC3A" w14:textId="58587137" w:rsidR="00B20F3B" w:rsidRPr="00E42C35" w:rsidRDefault="003B3BD1" w:rsidP="00836676">
            <w:pPr>
              <w:spacing w:after="120" w:line="276" w:lineRule="auto"/>
              <w:rPr>
                <w:rFonts w:ascii="Calibri" w:hAnsi="Calibri" w:cs="Calibri"/>
                <w:b/>
              </w:rPr>
            </w:pPr>
            <w:r w:rsidRPr="00E42C35">
              <w:rPr>
                <w:rFonts w:ascii="Calibri" w:hAnsi="Calibri" w:cs="Calibri"/>
                <w:b/>
              </w:rPr>
              <w:t>Rule 114G(10)</w:t>
            </w:r>
            <w:r w:rsidR="005A28E4" w:rsidRPr="00E42C35">
              <w:rPr>
                <w:rFonts w:ascii="Calibri" w:hAnsi="Calibri" w:cs="Calibri"/>
                <w:b/>
              </w:rPr>
              <w:t xml:space="preserve"> of IT Rules 1962</w:t>
            </w:r>
          </w:p>
          <w:p w14:paraId="41FEBFB1" w14:textId="77777777" w:rsidR="003B3BD1" w:rsidRPr="00E42C35" w:rsidRDefault="003B3BD1" w:rsidP="00836676">
            <w:pPr>
              <w:spacing w:after="120" w:line="276" w:lineRule="auto"/>
              <w:rPr>
                <w:rFonts w:ascii="Calibri" w:hAnsi="Calibri" w:cs="Calibri"/>
                <w:b/>
              </w:rPr>
            </w:pPr>
          </w:p>
          <w:p w14:paraId="26986F2B" w14:textId="16AF335C" w:rsidR="003B3BD1" w:rsidRPr="00E42C35" w:rsidRDefault="005A28E4" w:rsidP="00836676">
            <w:pPr>
              <w:spacing w:after="120" w:line="276" w:lineRule="auto"/>
              <w:rPr>
                <w:rFonts w:ascii="Calibri" w:hAnsi="Calibri" w:cs="Calibri"/>
                <w:b/>
              </w:rPr>
            </w:pPr>
            <w:r w:rsidRPr="00E42C35">
              <w:rPr>
                <w:rFonts w:ascii="Calibri" w:hAnsi="Calibri" w:cs="Calibri"/>
                <w:b/>
              </w:rPr>
              <w:t>Rule 239(11) of Draft IT Rules 2026</w:t>
            </w:r>
          </w:p>
        </w:tc>
        <w:tc>
          <w:tcPr>
            <w:tcW w:w="0" w:type="auto"/>
            <w:tcBorders>
              <w:top w:val="single" w:sz="4" w:space="0" w:color="auto"/>
              <w:left w:val="single" w:sz="4" w:space="0" w:color="auto"/>
              <w:bottom w:val="single" w:sz="4" w:space="0" w:color="auto"/>
              <w:right w:val="single" w:sz="4" w:space="0" w:color="auto"/>
            </w:tcBorders>
          </w:tcPr>
          <w:p w14:paraId="7C853589" w14:textId="7D3B2AEC" w:rsidR="001C2A7C" w:rsidRPr="00E42C35" w:rsidRDefault="001C2A7C" w:rsidP="00836676">
            <w:pPr>
              <w:spacing w:after="120" w:line="276" w:lineRule="auto"/>
              <w:rPr>
                <w:rFonts w:ascii="Calibri" w:hAnsi="Calibri" w:cs="Calibri"/>
                <w:b/>
                <w:bCs/>
              </w:rPr>
            </w:pPr>
            <w:r w:rsidRPr="00E42C35">
              <w:rPr>
                <w:rFonts w:ascii="Calibri" w:hAnsi="Calibri" w:cs="Calibri"/>
                <w:b/>
                <w:bCs/>
              </w:rPr>
              <w:t xml:space="preserve">Rationale </w:t>
            </w:r>
          </w:p>
          <w:p w14:paraId="1E599E66" w14:textId="53624887" w:rsidR="001C2A7C" w:rsidRPr="00E42C35" w:rsidRDefault="001C2A7C" w:rsidP="00836676">
            <w:pPr>
              <w:numPr>
                <w:ilvl w:val="0"/>
                <w:numId w:val="3"/>
              </w:numPr>
              <w:spacing w:after="120" w:line="276" w:lineRule="auto"/>
              <w:rPr>
                <w:rFonts w:ascii="Calibri" w:hAnsi="Calibri" w:cs="Calibri"/>
              </w:rPr>
            </w:pPr>
            <w:r w:rsidRPr="00E42C35">
              <w:rPr>
                <w:rFonts w:ascii="Calibri" w:hAnsi="Calibri" w:cs="Calibri"/>
              </w:rPr>
              <w:t>Rule 114G(10) of the IT Rules, 1962 contains explanation as follows –</w:t>
            </w:r>
          </w:p>
          <w:p w14:paraId="6F1E7F13" w14:textId="77777777" w:rsidR="001C2A7C" w:rsidRPr="00E42C35" w:rsidRDefault="001C2A7C" w:rsidP="00836676">
            <w:pPr>
              <w:spacing w:after="120" w:line="276" w:lineRule="auto"/>
              <w:ind w:left="800"/>
              <w:rPr>
                <w:rFonts w:ascii="Calibri" w:hAnsi="Calibri" w:cs="Calibri"/>
                <w:i/>
                <w:iCs/>
              </w:rPr>
            </w:pPr>
            <w:r w:rsidRPr="00E42C35">
              <w:rPr>
                <w:rFonts w:ascii="Calibri" w:hAnsi="Calibri" w:cs="Calibri"/>
                <w:i/>
                <w:iCs/>
              </w:rPr>
              <w:t xml:space="preserve">“Explanation. —For the purposes of this sub-rule,— </w:t>
            </w:r>
          </w:p>
          <w:p w14:paraId="4DB1EA12" w14:textId="77777777" w:rsidR="001C2A7C" w:rsidRPr="00E42C35" w:rsidRDefault="001C2A7C" w:rsidP="00836676">
            <w:pPr>
              <w:pStyle w:val="ListParagraph"/>
              <w:numPr>
                <w:ilvl w:val="0"/>
                <w:numId w:val="20"/>
              </w:numPr>
              <w:spacing w:after="120" w:line="276" w:lineRule="auto"/>
              <w:ind w:left="1225" w:hanging="278"/>
              <w:contextualSpacing w:val="0"/>
              <w:rPr>
                <w:rFonts w:ascii="Calibri" w:hAnsi="Calibri" w:cs="Calibri"/>
                <w:i/>
                <w:iCs/>
              </w:rPr>
            </w:pPr>
            <w:r w:rsidRPr="00E42C35">
              <w:rPr>
                <w:rFonts w:ascii="Calibri" w:hAnsi="Calibri" w:cs="Calibri"/>
                <w:i/>
                <w:iCs/>
              </w:rPr>
              <w:t xml:space="preserve">"Designated Director" means a person designated by the reporting financial institution to ensure overall compliance with the obligations imposed under section 285BA and the rules made thereunder and includes— </w:t>
            </w:r>
          </w:p>
          <w:p w14:paraId="32714914" w14:textId="77777777" w:rsidR="001C2A7C" w:rsidRPr="00E42C35" w:rsidRDefault="001C2A7C" w:rsidP="00836676">
            <w:pPr>
              <w:pStyle w:val="ListParagraph"/>
              <w:numPr>
                <w:ilvl w:val="0"/>
                <w:numId w:val="19"/>
              </w:numPr>
              <w:spacing w:after="120" w:line="276" w:lineRule="auto"/>
              <w:ind w:left="1792" w:hanging="385"/>
              <w:contextualSpacing w:val="0"/>
              <w:rPr>
                <w:rFonts w:ascii="Calibri" w:hAnsi="Calibri" w:cs="Calibri"/>
                <w:i/>
                <w:iCs/>
              </w:rPr>
            </w:pPr>
            <w:r w:rsidRPr="00E42C35">
              <w:rPr>
                <w:rFonts w:ascii="Calibri" w:hAnsi="Calibri" w:cs="Calibri"/>
                <w:i/>
                <w:iCs/>
              </w:rPr>
              <w:lastRenderedPageBreak/>
              <w:t xml:space="preserve">the Managing Director or a whole-time Director, as defined in the Companies Act, 2013 (18 of 2013), duly authorised by the Board of Directors if the reporting financial institution is a company; </w:t>
            </w:r>
          </w:p>
          <w:p w14:paraId="3F0D5A5C" w14:textId="77777777" w:rsidR="001C2A7C" w:rsidRPr="00E42C35" w:rsidRDefault="001C2A7C" w:rsidP="00836676">
            <w:pPr>
              <w:pStyle w:val="ListParagraph"/>
              <w:numPr>
                <w:ilvl w:val="0"/>
                <w:numId w:val="19"/>
              </w:numPr>
              <w:spacing w:after="120" w:line="276" w:lineRule="auto"/>
              <w:ind w:left="1792" w:hanging="385"/>
              <w:contextualSpacing w:val="0"/>
              <w:rPr>
                <w:rFonts w:ascii="Calibri" w:hAnsi="Calibri" w:cs="Calibri"/>
                <w:i/>
                <w:iCs/>
              </w:rPr>
            </w:pPr>
            <w:r w:rsidRPr="00E42C35">
              <w:rPr>
                <w:rFonts w:ascii="Calibri" w:hAnsi="Calibri" w:cs="Calibri"/>
                <w:i/>
                <w:iCs/>
              </w:rPr>
              <w:t>the managing partner if the reporting financial institution is a partnership firm;</w:t>
            </w:r>
          </w:p>
          <w:p w14:paraId="7E5049F1" w14:textId="77777777" w:rsidR="001C2A7C" w:rsidRPr="00E42C35" w:rsidRDefault="001C2A7C" w:rsidP="00836676">
            <w:pPr>
              <w:pStyle w:val="ListParagraph"/>
              <w:numPr>
                <w:ilvl w:val="0"/>
                <w:numId w:val="19"/>
              </w:numPr>
              <w:spacing w:after="120" w:line="276" w:lineRule="auto"/>
              <w:ind w:left="1792" w:hanging="385"/>
              <w:contextualSpacing w:val="0"/>
              <w:rPr>
                <w:rFonts w:ascii="Calibri" w:hAnsi="Calibri" w:cs="Calibri"/>
                <w:i/>
                <w:iCs/>
              </w:rPr>
            </w:pPr>
            <w:r w:rsidRPr="00E42C35">
              <w:rPr>
                <w:rFonts w:ascii="Calibri" w:hAnsi="Calibri" w:cs="Calibri"/>
                <w:i/>
                <w:iCs/>
              </w:rPr>
              <w:t xml:space="preserve">the proprietor if the reporting financial institution is a proprietorship concern; </w:t>
            </w:r>
          </w:p>
          <w:p w14:paraId="6931B08A" w14:textId="77777777" w:rsidR="001C2A7C" w:rsidRPr="00E42C35" w:rsidRDefault="001C2A7C" w:rsidP="00836676">
            <w:pPr>
              <w:pStyle w:val="ListParagraph"/>
              <w:numPr>
                <w:ilvl w:val="0"/>
                <w:numId w:val="19"/>
              </w:numPr>
              <w:spacing w:after="120" w:line="276" w:lineRule="auto"/>
              <w:ind w:left="1792" w:hanging="385"/>
              <w:contextualSpacing w:val="0"/>
              <w:rPr>
                <w:rFonts w:ascii="Calibri" w:hAnsi="Calibri" w:cs="Calibri"/>
                <w:i/>
                <w:iCs/>
              </w:rPr>
            </w:pPr>
            <w:r w:rsidRPr="00E42C35">
              <w:rPr>
                <w:rFonts w:ascii="Calibri" w:hAnsi="Calibri" w:cs="Calibri"/>
                <w:i/>
                <w:iCs/>
              </w:rPr>
              <w:t xml:space="preserve">the managing trustee if the reporting financial institution is a trust; </w:t>
            </w:r>
          </w:p>
          <w:p w14:paraId="324E8011" w14:textId="77777777" w:rsidR="001C2A7C" w:rsidRPr="00E42C35" w:rsidRDefault="001C2A7C" w:rsidP="00836676">
            <w:pPr>
              <w:pStyle w:val="ListParagraph"/>
              <w:numPr>
                <w:ilvl w:val="0"/>
                <w:numId w:val="19"/>
              </w:numPr>
              <w:spacing w:after="120" w:line="276" w:lineRule="auto"/>
              <w:ind w:left="1792" w:hanging="385"/>
              <w:contextualSpacing w:val="0"/>
              <w:rPr>
                <w:rFonts w:ascii="Calibri" w:hAnsi="Calibri" w:cs="Calibri"/>
                <w:i/>
                <w:iCs/>
              </w:rPr>
            </w:pPr>
            <w:r w:rsidRPr="00E42C35">
              <w:rPr>
                <w:rFonts w:ascii="Calibri" w:hAnsi="Calibri" w:cs="Calibri"/>
                <w:i/>
                <w:iCs/>
              </w:rPr>
              <w:t>a person or individual, as the case may be, who controls and manages the affairs of the reporting financial institution if the reporting financial institution is an association of persons or a body of individuals, or any other person;</w:t>
            </w:r>
          </w:p>
          <w:p w14:paraId="0893CF2A" w14:textId="77777777" w:rsidR="001C2A7C" w:rsidRPr="00E42C35" w:rsidRDefault="001C2A7C" w:rsidP="00836676">
            <w:pPr>
              <w:pStyle w:val="ListParagraph"/>
              <w:numPr>
                <w:ilvl w:val="0"/>
                <w:numId w:val="20"/>
              </w:numPr>
              <w:spacing w:after="120" w:line="276" w:lineRule="auto"/>
              <w:ind w:left="1225" w:hanging="278"/>
              <w:contextualSpacing w:val="0"/>
              <w:rPr>
                <w:rFonts w:ascii="Calibri" w:hAnsi="Calibri" w:cs="Calibri"/>
                <w:i/>
                <w:iCs/>
              </w:rPr>
            </w:pPr>
            <w:r w:rsidRPr="00E42C35">
              <w:rPr>
                <w:rFonts w:ascii="Calibri" w:hAnsi="Calibri" w:cs="Calibri"/>
                <w:i/>
                <w:iCs/>
              </w:rPr>
              <w:t xml:space="preserve">"Principal Officer" means an officer designated by the reporting financial institution; </w:t>
            </w:r>
          </w:p>
          <w:p w14:paraId="37009FC5" w14:textId="297F4092" w:rsidR="001C2A7C" w:rsidRPr="00E42C35" w:rsidRDefault="001C2A7C" w:rsidP="00836676">
            <w:pPr>
              <w:spacing w:after="120" w:line="276" w:lineRule="auto"/>
              <w:ind w:left="1225"/>
              <w:rPr>
                <w:rFonts w:ascii="Calibri" w:hAnsi="Calibri" w:cs="Calibri"/>
              </w:rPr>
            </w:pPr>
            <w:r w:rsidRPr="00E42C35">
              <w:rPr>
                <w:rFonts w:ascii="Calibri" w:hAnsi="Calibri" w:cs="Calibri"/>
                <w:i/>
                <w:iCs/>
              </w:rPr>
              <w:t>"regulator" means a person or an authority or a Government which is vested with the power to licence, authorise, register, regulate or supervise the activities of the reporting financial institution.”</w:t>
            </w:r>
          </w:p>
          <w:p w14:paraId="0796D229" w14:textId="77777777" w:rsidR="00CF6030" w:rsidRPr="00E42C35" w:rsidRDefault="005F0E6C" w:rsidP="00836676">
            <w:pPr>
              <w:numPr>
                <w:ilvl w:val="0"/>
                <w:numId w:val="3"/>
              </w:numPr>
              <w:spacing w:after="120" w:line="276" w:lineRule="auto"/>
              <w:rPr>
                <w:rFonts w:ascii="Calibri" w:hAnsi="Calibri" w:cs="Calibri"/>
              </w:rPr>
            </w:pPr>
            <w:r w:rsidRPr="00E42C35">
              <w:rPr>
                <w:rFonts w:ascii="Calibri" w:hAnsi="Calibri" w:cs="Calibri"/>
              </w:rPr>
              <w:t xml:space="preserve">Under the existing framework, Rule 114G(10) of the IT Rules, 1962 provided explicit definitions for key terms such as “Designated Director,” “Principal Officer,” and “Regulator,” ensuring clarity in the application of compliance obligations under section 285BA. </w:t>
            </w:r>
          </w:p>
          <w:p w14:paraId="2CA914D6" w14:textId="77FEDDFB" w:rsidR="005F0E6C" w:rsidRPr="00E42C35" w:rsidRDefault="005F0E6C" w:rsidP="00836676">
            <w:pPr>
              <w:numPr>
                <w:ilvl w:val="0"/>
                <w:numId w:val="3"/>
              </w:numPr>
              <w:spacing w:after="120" w:line="276" w:lineRule="auto"/>
              <w:rPr>
                <w:rFonts w:ascii="Calibri" w:hAnsi="Calibri" w:cs="Calibri"/>
              </w:rPr>
            </w:pPr>
            <w:r w:rsidRPr="00E42C35">
              <w:rPr>
                <w:rFonts w:ascii="Calibri" w:hAnsi="Calibri" w:cs="Calibri"/>
              </w:rPr>
              <w:t>In the newly issued IT Rules, 2026, this explanatory provision has been omitted. As a result, the terms used in sub</w:t>
            </w:r>
            <w:r w:rsidRPr="00E42C35">
              <w:rPr>
                <w:rFonts w:ascii="Calibri" w:hAnsi="Calibri" w:cs="Calibri"/>
              </w:rPr>
              <w:noBreakHyphen/>
              <w:t>rule (11) lack corresponding definitions within the rule itself, creating ambiguity in interpretation and implementation. The omission leaves reporting financial institutions without clear statutory guidance on the roles and responsibilities associated with these terms, necessitating corrective inclusion or cross</w:t>
            </w:r>
            <w:r w:rsidRPr="00E42C35">
              <w:rPr>
                <w:rFonts w:ascii="Calibri" w:hAnsi="Calibri" w:cs="Calibri"/>
              </w:rPr>
              <w:noBreakHyphen/>
              <w:t xml:space="preserve">reference to restore definitional clarity. </w:t>
            </w:r>
          </w:p>
          <w:p w14:paraId="3802B8FF" w14:textId="122DABEC" w:rsidR="00CF6030" w:rsidRPr="00E42C35" w:rsidRDefault="00CF6030" w:rsidP="00836676">
            <w:pPr>
              <w:spacing w:after="120" w:line="276" w:lineRule="auto"/>
              <w:rPr>
                <w:rFonts w:ascii="Calibri" w:hAnsi="Calibri" w:cs="Calibri"/>
                <w:b/>
                <w:bCs/>
              </w:rPr>
            </w:pPr>
            <w:r w:rsidRPr="00E42C35">
              <w:rPr>
                <w:rFonts w:ascii="Calibri" w:hAnsi="Calibri" w:cs="Calibri"/>
                <w:b/>
                <w:bCs/>
              </w:rPr>
              <w:t>Recommendation</w:t>
            </w:r>
          </w:p>
          <w:p w14:paraId="40ED8B34" w14:textId="79271E90" w:rsidR="005F0E6C" w:rsidRPr="00E42C35" w:rsidRDefault="005F0E6C" w:rsidP="00836676">
            <w:pPr>
              <w:numPr>
                <w:ilvl w:val="0"/>
                <w:numId w:val="3"/>
              </w:numPr>
              <w:spacing w:after="120" w:line="276" w:lineRule="auto"/>
              <w:rPr>
                <w:rFonts w:ascii="Calibri" w:hAnsi="Calibri" w:cs="Calibri"/>
              </w:rPr>
            </w:pPr>
            <w:r w:rsidRPr="00E42C35">
              <w:rPr>
                <w:rFonts w:ascii="Calibri" w:hAnsi="Calibri" w:cs="Calibri"/>
              </w:rPr>
              <w:t>Accordingly, it should be included in the explanation to Rule 239 (11).</w:t>
            </w:r>
          </w:p>
        </w:tc>
      </w:tr>
      <w:tr w:rsidR="00B20F3B" w:rsidRPr="00E42C35" w14:paraId="2CF24A98" w14:textId="77777777" w:rsidTr="000813D3">
        <w:trPr>
          <w:trHeight w:val="20"/>
        </w:trPr>
        <w:tc>
          <w:tcPr>
            <w:tcW w:w="846" w:type="dxa"/>
            <w:tcBorders>
              <w:top w:val="single" w:sz="4" w:space="0" w:color="auto"/>
              <w:left w:val="single" w:sz="4" w:space="0" w:color="auto"/>
              <w:bottom w:val="single" w:sz="4" w:space="0" w:color="auto"/>
              <w:right w:val="single" w:sz="4" w:space="0" w:color="auto"/>
            </w:tcBorders>
          </w:tcPr>
          <w:p w14:paraId="7541254A" w14:textId="77777777" w:rsidR="00B20F3B" w:rsidRPr="00E42C35" w:rsidRDefault="00B20F3B" w:rsidP="00836676">
            <w:pPr>
              <w:numPr>
                <w:ilvl w:val="0"/>
                <w:numId w:val="2"/>
              </w:numPr>
              <w:spacing w:after="120" w:line="276" w:lineRule="auto"/>
              <w:rPr>
                <w:rFonts w:ascii="Calibri" w:hAnsi="Calibri" w:cs="Calibri"/>
                <w:lang w:bidi="en-US"/>
              </w:rPr>
            </w:pPr>
          </w:p>
        </w:tc>
        <w:tc>
          <w:tcPr>
            <w:tcW w:w="2637" w:type="dxa"/>
            <w:tcBorders>
              <w:top w:val="single" w:sz="4" w:space="0" w:color="auto"/>
              <w:left w:val="single" w:sz="4" w:space="0" w:color="auto"/>
              <w:bottom w:val="single" w:sz="4" w:space="0" w:color="auto"/>
              <w:right w:val="single" w:sz="4" w:space="0" w:color="auto"/>
            </w:tcBorders>
          </w:tcPr>
          <w:p w14:paraId="08407308" w14:textId="77777777" w:rsidR="00B20F3B" w:rsidRPr="00E42C35" w:rsidRDefault="007C1BEC" w:rsidP="00836676">
            <w:pPr>
              <w:spacing w:after="120" w:line="276" w:lineRule="auto"/>
              <w:rPr>
                <w:rFonts w:ascii="Calibri" w:hAnsi="Calibri" w:cs="Calibri"/>
                <w:b/>
              </w:rPr>
            </w:pPr>
            <w:r w:rsidRPr="00E42C35">
              <w:rPr>
                <w:rFonts w:ascii="Calibri" w:hAnsi="Calibri" w:cs="Calibri"/>
                <w:b/>
              </w:rPr>
              <w:t>Rule 114G(11)(a)(i)</w:t>
            </w:r>
            <w:r w:rsidR="00056718" w:rsidRPr="00E42C35">
              <w:rPr>
                <w:rFonts w:ascii="Calibri" w:hAnsi="Calibri" w:cs="Calibri"/>
                <w:b/>
              </w:rPr>
              <w:t xml:space="preserve"> of IT Rules 1962</w:t>
            </w:r>
          </w:p>
          <w:p w14:paraId="59607635" w14:textId="77777777" w:rsidR="00056718" w:rsidRPr="00E42C35" w:rsidRDefault="00056718" w:rsidP="00836676">
            <w:pPr>
              <w:spacing w:after="120" w:line="276" w:lineRule="auto"/>
              <w:rPr>
                <w:rFonts w:ascii="Calibri" w:hAnsi="Calibri" w:cs="Calibri"/>
                <w:b/>
              </w:rPr>
            </w:pPr>
          </w:p>
          <w:p w14:paraId="5F407A12" w14:textId="25AEA6D7" w:rsidR="00056718" w:rsidRPr="00E42C35" w:rsidRDefault="00056718" w:rsidP="00836676">
            <w:pPr>
              <w:spacing w:after="120" w:line="276" w:lineRule="auto"/>
              <w:rPr>
                <w:rFonts w:ascii="Calibri" w:hAnsi="Calibri" w:cs="Calibri"/>
                <w:b/>
              </w:rPr>
            </w:pPr>
            <w:r w:rsidRPr="00E42C35">
              <w:rPr>
                <w:rFonts w:ascii="Calibri" w:hAnsi="Calibri" w:cs="Calibri"/>
                <w:b/>
              </w:rPr>
              <w:t>Rule 239(12)(a)(i) of Draft IT Rules 2026</w:t>
            </w:r>
          </w:p>
        </w:tc>
        <w:tc>
          <w:tcPr>
            <w:tcW w:w="0" w:type="auto"/>
            <w:tcBorders>
              <w:top w:val="single" w:sz="4" w:space="0" w:color="auto"/>
              <w:left w:val="single" w:sz="4" w:space="0" w:color="auto"/>
              <w:bottom w:val="single" w:sz="4" w:space="0" w:color="auto"/>
              <w:right w:val="single" w:sz="4" w:space="0" w:color="auto"/>
            </w:tcBorders>
          </w:tcPr>
          <w:p w14:paraId="1BE279AA" w14:textId="7E57E462" w:rsidR="008C6005" w:rsidRPr="00E42C35" w:rsidRDefault="008C6005" w:rsidP="00836676">
            <w:pPr>
              <w:spacing w:after="120" w:line="276" w:lineRule="auto"/>
              <w:rPr>
                <w:rFonts w:ascii="Calibri" w:hAnsi="Calibri" w:cs="Calibri"/>
                <w:b/>
                <w:bCs/>
              </w:rPr>
            </w:pPr>
            <w:r w:rsidRPr="00E42C35">
              <w:rPr>
                <w:rFonts w:ascii="Calibri" w:hAnsi="Calibri" w:cs="Calibri"/>
                <w:b/>
                <w:bCs/>
              </w:rPr>
              <w:t xml:space="preserve">Rationale </w:t>
            </w:r>
          </w:p>
          <w:p w14:paraId="1081C460" w14:textId="3974DA0C" w:rsidR="00A97771" w:rsidRPr="00E42C35" w:rsidRDefault="0018620C" w:rsidP="00836676">
            <w:pPr>
              <w:numPr>
                <w:ilvl w:val="0"/>
                <w:numId w:val="3"/>
              </w:numPr>
              <w:spacing w:after="120" w:line="276" w:lineRule="auto"/>
              <w:rPr>
                <w:rFonts w:ascii="Calibri" w:hAnsi="Calibri" w:cs="Calibri"/>
              </w:rPr>
            </w:pPr>
            <w:r w:rsidRPr="00E42C35">
              <w:rPr>
                <w:rFonts w:ascii="Calibri" w:hAnsi="Calibri" w:cs="Calibri"/>
              </w:rPr>
              <w:t xml:space="preserve">The reference in Rule 239(12)(a)(i) </w:t>
            </w:r>
            <w:r w:rsidR="008859AE" w:rsidRPr="00E42C35">
              <w:rPr>
                <w:rFonts w:ascii="Calibri" w:hAnsi="Calibri" w:cs="Calibri"/>
              </w:rPr>
              <w:t xml:space="preserve">is </w:t>
            </w:r>
            <w:r w:rsidRPr="00E42C35">
              <w:rPr>
                <w:rFonts w:ascii="Calibri" w:hAnsi="Calibri" w:cs="Calibri"/>
              </w:rPr>
              <w:t>incorrect, as it relate</w:t>
            </w:r>
            <w:r w:rsidR="008859AE" w:rsidRPr="00E42C35">
              <w:rPr>
                <w:rFonts w:ascii="Calibri" w:hAnsi="Calibri" w:cs="Calibri"/>
              </w:rPr>
              <w:t>s</w:t>
            </w:r>
            <w:r w:rsidRPr="00E42C35">
              <w:rPr>
                <w:rFonts w:ascii="Calibri" w:hAnsi="Calibri" w:cs="Calibri"/>
              </w:rPr>
              <w:t xml:space="preserve"> to provisions under the previous set of rules.</w:t>
            </w:r>
          </w:p>
          <w:p w14:paraId="1943214B" w14:textId="52DDD892" w:rsidR="00CA1204" w:rsidRPr="00E42C35" w:rsidRDefault="00CA1204" w:rsidP="00836676">
            <w:pPr>
              <w:numPr>
                <w:ilvl w:val="0"/>
                <w:numId w:val="3"/>
              </w:numPr>
              <w:spacing w:after="120" w:line="276" w:lineRule="auto"/>
              <w:rPr>
                <w:rFonts w:ascii="Calibri" w:hAnsi="Calibri" w:cs="Calibri"/>
              </w:rPr>
            </w:pPr>
            <w:r w:rsidRPr="00E42C35">
              <w:rPr>
                <w:rFonts w:ascii="Calibri" w:hAnsi="Calibri" w:cs="Calibri"/>
              </w:rPr>
              <w:t>The Rule reference in said rule has been given for Rule 114F to 115H. However, the rule reference should be given for Rule 238 to 240.</w:t>
            </w:r>
          </w:p>
          <w:p w14:paraId="36124F66" w14:textId="4869A085" w:rsidR="008C6005" w:rsidRPr="00E42C35" w:rsidRDefault="008C6005" w:rsidP="00836676">
            <w:pPr>
              <w:spacing w:after="120" w:line="276" w:lineRule="auto"/>
              <w:rPr>
                <w:rFonts w:ascii="Calibri" w:hAnsi="Calibri" w:cs="Calibri"/>
                <w:b/>
                <w:bCs/>
              </w:rPr>
            </w:pPr>
            <w:r w:rsidRPr="00E42C35">
              <w:rPr>
                <w:rFonts w:ascii="Calibri" w:hAnsi="Calibri" w:cs="Calibri"/>
                <w:b/>
                <w:bCs/>
              </w:rPr>
              <w:t>Recommendation</w:t>
            </w:r>
          </w:p>
          <w:p w14:paraId="1C5EEF23" w14:textId="77777777" w:rsidR="00B033EF" w:rsidRPr="00E42C35" w:rsidRDefault="00B033EF" w:rsidP="00836676">
            <w:pPr>
              <w:numPr>
                <w:ilvl w:val="0"/>
                <w:numId w:val="3"/>
              </w:numPr>
              <w:spacing w:after="120" w:line="276" w:lineRule="auto"/>
              <w:rPr>
                <w:rFonts w:ascii="Calibri" w:hAnsi="Calibri" w:cs="Calibri"/>
              </w:rPr>
            </w:pPr>
            <w:r w:rsidRPr="00E42C35">
              <w:rPr>
                <w:rFonts w:ascii="Calibri" w:hAnsi="Calibri" w:cs="Calibri"/>
              </w:rPr>
              <w:t>The rule should therefore be updated to correctly cite the applicable requirements under the current framework.</w:t>
            </w:r>
          </w:p>
          <w:p w14:paraId="777CD764" w14:textId="140EF1CD" w:rsidR="008C6005" w:rsidRPr="00E42C35" w:rsidRDefault="008C6005" w:rsidP="00836676">
            <w:pPr>
              <w:numPr>
                <w:ilvl w:val="0"/>
                <w:numId w:val="3"/>
              </w:numPr>
              <w:spacing w:after="120" w:line="276" w:lineRule="auto"/>
              <w:rPr>
                <w:rFonts w:ascii="Calibri" w:hAnsi="Calibri" w:cs="Calibri"/>
              </w:rPr>
            </w:pPr>
            <w:r w:rsidRPr="00E42C35">
              <w:rPr>
                <w:rFonts w:ascii="Calibri" w:hAnsi="Calibri" w:cs="Calibri"/>
              </w:rPr>
              <w:t xml:space="preserve">The rule 239(12)(a)(i) should be redrafted by replacing the </w:t>
            </w:r>
            <w:r w:rsidRPr="00E42C35">
              <w:rPr>
                <w:rFonts w:ascii="Calibri" w:hAnsi="Calibri" w:cs="Calibri"/>
                <w:b/>
                <w:bCs/>
                <w:i/>
                <w:iCs/>
                <w:u w:val="single"/>
              </w:rPr>
              <w:t xml:space="preserve">“rules 114F to 114H” </w:t>
            </w:r>
            <w:r w:rsidRPr="00E42C35">
              <w:rPr>
                <w:rFonts w:ascii="Calibri" w:hAnsi="Calibri" w:cs="Calibri"/>
              </w:rPr>
              <w:t>with “</w:t>
            </w:r>
            <w:r w:rsidRPr="00E42C35">
              <w:rPr>
                <w:rFonts w:ascii="Calibri" w:hAnsi="Calibri" w:cs="Calibri"/>
                <w:b/>
                <w:bCs/>
                <w:i/>
                <w:iCs/>
                <w:u w:val="single"/>
              </w:rPr>
              <w:t xml:space="preserve">rules 238 to 240” </w:t>
            </w:r>
            <w:r w:rsidRPr="00E42C35">
              <w:rPr>
                <w:rFonts w:ascii="Calibri" w:hAnsi="Calibri" w:cs="Calibri"/>
              </w:rPr>
              <w:t>as follows –</w:t>
            </w:r>
          </w:p>
          <w:p w14:paraId="6B3B4FCB" w14:textId="77777777" w:rsidR="008C6005" w:rsidRPr="00E42C35" w:rsidRDefault="008C6005" w:rsidP="00836676">
            <w:pPr>
              <w:spacing w:after="120" w:line="276" w:lineRule="auto"/>
              <w:ind w:left="720"/>
              <w:rPr>
                <w:rFonts w:ascii="Calibri" w:hAnsi="Calibri" w:cs="Calibri"/>
                <w:i/>
                <w:iCs/>
              </w:rPr>
            </w:pPr>
            <w:r w:rsidRPr="00E42C35">
              <w:rPr>
                <w:rFonts w:ascii="Calibri" w:hAnsi="Calibri" w:cs="Calibri"/>
                <w:i/>
                <w:iCs/>
              </w:rPr>
              <w:t xml:space="preserve">“incorporate the requirements of reporting and due diligence procedure specified under </w:t>
            </w:r>
            <w:r w:rsidRPr="00E42C35">
              <w:rPr>
                <w:rFonts w:ascii="Calibri" w:hAnsi="Calibri" w:cs="Calibri"/>
                <w:i/>
                <w:u w:val="single"/>
              </w:rPr>
              <w:t xml:space="preserve">rules </w:t>
            </w:r>
            <w:r w:rsidRPr="00E42C35">
              <w:rPr>
                <w:rFonts w:ascii="Calibri" w:hAnsi="Calibri" w:cs="Calibri"/>
                <w:i/>
                <w:iCs/>
                <w:strike/>
                <w:u w:val="single"/>
              </w:rPr>
              <w:t>114F</w:t>
            </w:r>
            <w:r w:rsidRPr="00E42C35">
              <w:rPr>
                <w:rFonts w:ascii="Calibri" w:hAnsi="Calibri" w:cs="Calibri"/>
                <w:i/>
                <w:strike/>
                <w:u w:val="single"/>
              </w:rPr>
              <w:t xml:space="preserve"> to </w:t>
            </w:r>
            <w:r w:rsidRPr="00E42C35">
              <w:rPr>
                <w:rFonts w:ascii="Calibri" w:hAnsi="Calibri" w:cs="Calibri"/>
                <w:i/>
                <w:iCs/>
                <w:strike/>
                <w:u w:val="single"/>
              </w:rPr>
              <w:t>114H</w:t>
            </w:r>
            <w:r w:rsidRPr="00E42C35">
              <w:rPr>
                <w:rFonts w:ascii="Calibri" w:hAnsi="Calibri" w:cs="Calibri"/>
                <w:b/>
                <w:i/>
                <w:strike/>
              </w:rPr>
              <w:t xml:space="preserve"> </w:t>
            </w:r>
            <w:r w:rsidRPr="00E42C35">
              <w:rPr>
                <w:rFonts w:ascii="Calibri" w:hAnsi="Calibri" w:cs="Calibri"/>
                <w:b/>
                <w:i/>
              </w:rPr>
              <w:t>238 to</w:t>
            </w:r>
            <w:r w:rsidRPr="00E42C35">
              <w:rPr>
                <w:rFonts w:ascii="Calibri" w:hAnsi="Calibri" w:cs="Calibri"/>
                <w:b/>
              </w:rPr>
              <w:t> </w:t>
            </w:r>
            <w:r w:rsidRPr="00E42C35">
              <w:rPr>
                <w:rFonts w:ascii="Calibri" w:hAnsi="Calibri" w:cs="Calibri"/>
                <w:b/>
                <w:i/>
              </w:rPr>
              <w:t>240</w:t>
            </w:r>
            <w:r w:rsidRPr="00E42C35">
              <w:rPr>
                <w:rFonts w:ascii="Calibri" w:hAnsi="Calibri" w:cs="Calibri"/>
                <w:i/>
                <w:iCs/>
              </w:rPr>
              <w:t>”</w:t>
            </w:r>
          </w:p>
          <w:p w14:paraId="4797FDD9" w14:textId="5D710BEA" w:rsidR="0076715C" w:rsidRPr="00E42C35" w:rsidRDefault="0076715C" w:rsidP="0076715C">
            <w:pPr>
              <w:numPr>
                <w:ilvl w:val="0"/>
                <w:numId w:val="3"/>
              </w:numPr>
              <w:spacing w:after="120" w:line="276" w:lineRule="auto"/>
              <w:rPr>
                <w:rFonts w:ascii="Calibri" w:hAnsi="Calibri" w:cs="Calibri"/>
                <w:b/>
                <w:bCs/>
              </w:rPr>
            </w:pPr>
            <w:r w:rsidRPr="00E42C35">
              <w:rPr>
                <w:rFonts w:ascii="Calibri" w:hAnsi="Calibri" w:cs="Calibri"/>
              </w:rPr>
              <w:t>This amendment ensures accuracy and proper alignment with the operative rules.</w:t>
            </w:r>
          </w:p>
        </w:tc>
      </w:tr>
      <w:tr w:rsidR="0012171D" w:rsidRPr="00E42C35" w14:paraId="584B5112" w14:textId="77777777" w:rsidTr="000813D3">
        <w:trPr>
          <w:trHeight w:val="20"/>
        </w:trPr>
        <w:tc>
          <w:tcPr>
            <w:tcW w:w="846" w:type="dxa"/>
            <w:tcBorders>
              <w:top w:val="single" w:sz="4" w:space="0" w:color="auto"/>
              <w:left w:val="single" w:sz="4" w:space="0" w:color="auto"/>
              <w:bottom w:val="single" w:sz="4" w:space="0" w:color="auto"/>
              <w:right w:val="single" w:sz="4" w:space="0" w:color="auto"/>
            </w:tcBorders>
          </w:tcPr>
          <w:p w14:paraId="21DFB154" w14:textId="77777777" w:rsidR="0012171D" w:rsidRPr="00E42C35" w:rsidRDefault="0012171D" w:rsidP="00836676">
            <w:pPr>
              <w:numPr>
                <w:ilvl w:val="0"/>
                <w:numId w:val="2"/>
              </w:numPr>
              <w:spacing w:after="120" w:line="276" w:lineRule="auto"/>
              <w:rPr>
                <w:rFonts w:ascii="Calibri" w:hAnsi="Calibri" w:cs="Calibri"/>
                <w:lang w:bidi="en-US"/>
              </w:rPr>
            </w:pPr>
          </w:p>
        </w:tc>
        <w:tc>
          <w:tcPr>
            <w:tcW w:w="2637" w:type="dxa"/>
            <w:tcBorders>
              <w:top w:val="single" w:sz="4" w:space="0" w:color="auto"/>
              <w:left w:val="single" w:sz="4" w:space="0" w:color="auto"/>
              <w:bottom w:val="single" w:sz="4" w:space="0" w:color="auto"/>
              <w:right w:val="single" w:sz="4" w:space="0" w:color="auto"/>
            </w:tcBorders>
          </w:tcPr>
          <w:p w14:paraId="14DCC286" w14:textId="0FD301FE" w:rsidR="0012171D" w:rsidRPr="00E42C35" w:rsidRDefault="00F01E65" w:rsidP="00836676">
            <w:pPr>
              <w:spacing w:after="120" w:line="276" w:lineRule="auto"/>
              <w:rPr>
                <w:rFonts w:ascii="Calibri" w:hAnsi="Calibri" w:cs="Calibri"/>
                <w:b/>
              </w:rPr>
            </w:pPr>
            <w:r w:rsidRPr="00E42C35">
              <w:rPr>
                <w:rFonts w:ascii="Calibri" w:hAnsi="Calibri" w:cs="Calibri"/>
                <w:b/>
              </w:rPr>
              <w:t>Rule 114H(6)(a)(ii)</w:t>
            </w:r>
            <w:r w:rsidR="0073239B" w:rsidRPr="00E42C35">
              <w:rPr>
                <w:rFonts w:ascii="Calibri" w:hAnsi="Calibri" w:cs="Calibri"/>
                <w:b/>
              </w:rPr>
              <w:t xml:space="preserve"> of IT Rules 1962</w:t>
            </w:r>
          </w:p>
          <w:p w14:paraId="6CEC5934" w14:textId="77777777" w:rsidR="0073239B" w:rsidRPr="00E42C35" w:rsidRDefault="0073239B" w:rsidP="00836676">
            <w:pPr>
              <w:spacing w:after="120" w:line="276" w:lineRule="auto"/>
              <w:rPr>
                <w:rFonts w:ascii="Calibri" w:hAnsi="Calibri" w:cs="Calibri"/>
                <w:b/>
              </w:rPr>
            </w:pPr>
          </w:p>
          <w:p w14:paraId="1DA2B75D" w14:textId="0C535EBE" w:rsidR="0073239B" w:rsidRPr="00E42C35" w:rsidRDefault="0073239B" w:rsidP="00836676">
            <w:pPr>
              <w:spacing w:after="120" w:line="276" w:lineRule="auto"/>
              <w:rPr>
                <w:rFonts w:ascii="Calibri" w:hAnsi="Calibri" w:cs="Calibri"/>
                <w:b/>
              </w:rPr>
            </w:pPr>
            <w:r w:rsidRPr="00E42C35">
              <w:rPr>
                <w:rFonts w:ascii="Calibri" w:hAnsi="Calibri" w:cs="Calibri"/>
                <w:b/>
              </w:rPr>
              <w:t>Rule 240(6)(a)(ii) of Draft IT Rules 2026</w:t>
            </w:r>
          </w:p>
        </w:tc>
        <w:tc>
          <w:tcPr>
            <w:tcW w:w="0" w:type="auto"/>
            <w:tcBorders>
              <w:top w:val="single" w:sz="4" w:space="0" w:color="auto"/>
              <w:left w:val="single" w:sz="4" w:space="0" w:color="auto"/>
              <w:bottom w:val="single" w:sz="4" w:space="0" w:color="auto"/>
              <w:right w:val="single" w:sz="4" w:space="0" w:color="auto"/>
            </w:tcBorders>
          </w:tcPr>
          <w:p w14:paraId="6626C181" w14:textId="77777777" w:rsidR="0012171D" w:rsidRPr="00E42C35" w:rsidRDefault="0073239B" w:rsidP="00836676">
            <w:pPr>
              <w:spacing w:after="120" w:line="276" w:lineRule="auto"/>
              <w:rPr>
                <w:rFonts w:ascii="Calibri" w:hAnsi="Calibri" w:cs="Calibri"/>
                <w:b/>
                <w:bCs/>
              </w:rPr>
            </w:pPr>
            <w:r w:rsidRPr="00E42C35">
              <w:rPr>
                <w:rFonts w:ascii="Calibri" w:hAnsi="Calibri" w:cs="Calibri"/>
                <w:b/>
                <w:bCs/>
              </w:rPr>
              <w:t>Rationale</w:t>
            </w:r>
          </w:p>
          <w:p w14:paraId="1E8FE863" w14:textId="11D2CF7F" w:rsidR="005126D3" w:rsidRPr="00E42C35" w:rsidRDefault="005126D3" w:rsidP="00836676">
            <w:pPr>
              <w:numPr>
                <w:ilvl w:val="0"/>
                <w:numId w:val="3"/>
              </w:numPr>
              <w:spacing w:after="120" w:line="276" w:lineRule="auto"/>
              <w:rPr>
                <w:rFonts w:ascii="Calibri" w:hAnsi="Calibri" w:cs="Calibri"/>
                <w:b/>
                <w:bCs/>
              </w:rPr>
            </w:pPr>
            <w:r w:rsidRPr="00E42C35">
              <w:rPr>
                <w:rFonts w:ascii="Calibri" w:hAnsi="Calibri" w:cs="Calibri"/>
              </w:rPr>
              <w:t>The Rule is not drafted in accordance with the OECD CRS Consolidated Text in the context of the Passive non-financial entity that are controlled by a listed entity (New entity account).</w:t>
            </w:r>
          </w:p>
          <w:p w14:paraId="15DFFAD6" w14:textId="77777777" w:rsidR="0073239B" w:rsidRPr="00E42C35" w:rsidRDefault="0073239B" w:rsidP="00836676">
            <w:pPr>
              <w:spacing w:after="120" w:line="276" w:lineRule="auto"/>
              <w:rPr>
                <w:rFonts w:ascii="Calibri" w:hAnsi="Calibri" w:cs="Calibri"/>
                <w:b/>
                <w:bCs/>
              </w:rPr>
            </w:pPr>
            <w:r w:rsidRPr="00E42C35">
              <w:rPr>
                <w:rFonts w:ascii="Calibri" w:hAnsi="Calibri" w:cs="Calibri"/>
                <w:b/>
                <w:bCs/>
              </w:rPr>
              <w:t>Recommendation</w:t>
            </w:r>
          </w:p>
          <w:p w14:paraId="1BA9D2D7" w14:textId="77777777" w:rsidR="003C0CD8" w:rsidRPr="00E42C35" w:rsidRDefault="00C91B16" w:rsidP="00836676">
            <w:pPr>
              <w:numPr>
                <w:ilvl w:val="0"/>
                <w:numId w:val="3"/>
              </w:numPr>
              <w:spacing w:after="120" w:line="276" w:lineRule="auto"/>
              <w:rPr>
                <w:rFonts w:ascii="Calibri" w:hAnsi="Calibri" w:cs="Calibri"/>
              </w:rPr>
            </w:pPr>
            <w:r w:rsidRPr="00E42C35">
              <w:rPr>
                <w:rFonts w:ascii="Calibri" w:hAnsi="Calibri" w:cs="Calibri"/>
              </w:rPr>
              <w:t>Based on the OECD CRS consolidated text, rule should additionally include (Text highlighted in the bold below) the following –</w:t>
            </w:r>
          </w:p>
          <w:p w14:paraId="20BB7ABA" w14:textId="6CBEDAE6" w:rsidR="005126D3" w:rsidRPr="00E42C35" w:rsidRDefault="00C91B16" w:rsidP="00836676">
            <w:pPr>
              <w:spacing w:after="120" w:line="276" w:lineRule="auto"/>
              <w:ind w:left="720"/>
              <w:rPr>
                <w:rFonts w:ascii="Calibri" w:hAnsi="Calibri" w:cs="Calibri"/>
              </w:rPr>
            </w:pPr>
            <w:r w:rsidRPr="00E42C35">
              <w:rPr>
                <w:rFonts w:ascii="Calibri" w:hAnsi="Calibri" w:cs="Calibri"/>
                <w:i/>
                <w:iCs/>
              </w:rPr>
              <w:t xml:space="preserve">“for purposes of determining the controlling persons of an account holder, a reporting financial institution may rely on information collected and maintained in accordance with the rules made under the Prevention of Money laundering Act, 2002 (15 of 2003). </w:t>
            </w:r>
            <w:r w:rsidRPr="00E42C35">
              <w:rPr>
                <w:rFonts w:ascii="Calibri" w:hAnsi="Calibri" w:cs="Calibri"/>
                <w:b/>
                <w:bCs/>
                <w:i/>
                <w:iCs/>
              </w:rPr>
              <w:t xml:space="preserve">Where a publicly </w:t>
            </w:r>
            <w:r w:rsidRPr="00E42C35">
              <w:rPr>
                <w:rFonts w:ascii="Calibri" w:hAnsi="Calibri" w:cs="Calibri"/>
                <w:b/>
                <w:bCs/>
                <w:i/>
                <w:iCs/>
                <w:highlight w:val="yellow"/>
              </w:rPr>
              <w:t>listed company</w:t>
            </w:r>
            <w:r w:rsidRPr="00E42C35">
              <w:rPr>
                <w:rFonts w:ascii="Calibri" w:hAnsi="Calibri" w:cs="Calibri"/>
                <w:b/>
                <w:bCs/>
                <w:i/>
                <w:iCs/>
              </w:rPr>
              <w:t xml:space="preserve"> exercises control over an Account Holder that is a Passive NFE, there is no requirement to determine the Controlling Persons of such company, </w:t>
            </w:r>
            <w:r w:rsidRPr="00E42C35">
              <w:rPr>
                <w:rFonts w:ascii="Calibri" w:hAnsi="Calibri" w:cs="Calibri"/>
                <w:b/>
                <w:bCs/>
                <w:i/>
                <w:iCs/>
              </w:rPr>
              <w:lastRenderedPageBreak/>
              <w:t>if such company is already subject to disclosure requirements ensuring adequate transparency of beneficial ownership information</w:t>
            </w:r>
            <w:r w:rsidRPr="00E42C35">
              <w:rPr>
                <w:rFonts w:ascii="Calibri" w:hAnsi="Calibri" w:cs="Calibri"/>
                <w:i/>
                <w:iCs/>
              </w:rPr>
              <w:t>; so, however, that in the case of an account other than a U.S. reportable account, if the reporting financial institution is not legally required to collect and maintain information in accordance with the rules made under The Prevention of Money-laundering Act, 2002 (15 of 2003), it must apply substantially similar procedures for the purpose of determining the controlling persons;”</w:t>
            </w:r>
          </w:p>
          <w:p w14:paraId="06612815" w14:textId="66D9D372" w:rsidR="0073239B" w:rsidRPr="00E42C35" w:rsidRDefault="002852D0" w:rsidP="00836676">
            <w:pPr>
              <w:numPr>
                <w:ilvl w:val="0"/>
                <w:numId w:val="3"/>
              </w:numPr>
              <w:spacing w:after="120" w:line="276" w:lineRule="auto"/>
              <w:rPr>
                <w:rFonts w:ascii="Calibri" w:hAnsi="Calibri" w:cs="Calibri"/>
                <w:b/>
                <w:bCs/>
              </w:rPr>
            </w:pPr>
            <w:r w:rsidRPr="00E42C35">
              <w:rPr>
                <w:rFonts w:ascii="Calibri" w:hAnsi="Calibri" w:cs="Calibri"/>
              </w:rPr>
              <w:t>This clause clarifies that when a publicly listed company controls an Account Holder that is classified as a Passive NFE, the Reporting Financial Institution is not required to identify the company’s Controlling Persons, provided the company is already subject to public disclosure and beneficial ownership transparency requirements. The intent is to avoid duplicative due diligence where adequate transparency already exists, while maintaining alignment with the OECD CRS framework.</w:t>
            </w:r>
          </w:p>
        </w:tc>
      </w:tr>
      <w:tr w:rsidR="0012171D" w:rsidRPr="00E42C35" w14:paraId="6AC255F7" w14:textId="77777777" w:rsidTr="000813D3">
        <w:trPr>
          <w:trHeight w:val="20"/>
        </w:trPr>
        <w:tc>
          <w:tcPr>
            <w:tcW w:w="846" w:type="dxa"/>
            <w:tcBorders>
              <w:top w:val="single" w:sz="4" w:space="0" w:color="auto"/>
              <w:left w:val="single" w:sz="4" w:space="0" w:color="auto"/>
              <w:bottom w:val="single" w:sz="4" w:space="0" w:color="auto"/>
              <w:right w:val="single" w:sz="4" w:space="0" w:color="auto"/>
            </w:tcBorders>
          </w:tcPr>
          <w:p w14:paraId="385C69C7" w14:textId="77777777" w:rsidR="0012171D" w:rsidRPr="00E42C35" w:rsidRDefault="0012171D" w:rsidP="00836676">
            <w:pPr>
              <w:numPr>
                <w:ilvl w:val="0"/>
                <w:numId w:val="2"/>
              </w:numPr>
              <w:spacing w:after="120" w:line="276" w:lineRule="auto"/>
              <w:rPr>
                <w:rFonts w:ascii="Calibri" w:hAnsi="Calibri" w:cs="Calibri"/>
                <w:lang w:bidi="en-US"/>
              </w:rPr>
            </w:pPr>
          </w:p>
        </w:tc>
        <w:tc>
          <w:tcPr>
            <w:tcW w:w="2637" w:type="dxa"/>
            <w:tcBorders>
              <w:top w:val="single" w:sz="4" w:space="0" w:color="auto"/>
              <w:left w:val="single" w:sz="4" w:space="0" w:color="auto"/>
              <w:bottom w:val="single" w:sz="4" w:space="0" w:color="auto"/>
              <w:right w:val="single" w:sz="4" w:space="0" w:color="auto"/>
            </w:tcBorders>
          </w:tcPr>
          <w:p w14:paraId="31FCB5A8" w14:textId="35D9B19D" w:rsidR="0012171D" w:rsidRPr="00E42C35" w:rsidRDefault="007B2810" w:rsidP="00836676">
            <w:pPr>
              <w:spacing w:after="120" w:line="276" w:lineRule="auto"/>
              <w:rPr>
                <w:rFonts w:ascii="Calibri" w:hAnsi="Calibri" w:cs="Calibri"/>
                <w:b/>
              </w:rPr>
            </w:pPr>
            <w:r w:rsidRPr="00E42C35">
              <w:rPr>
                <w:rFonts w:ascii="Calibri" w:hAnsi="Calibri" w:cs="Calibri"/>
                <w:b/>
              </w:rPr>
              <w:t>Rule 114H(8)(d)</w:t>
            </w:r>
            <w:r w:rsidR="005E3F5A" w:rsidRPr="00E42C35">
              <w:rPr>
                <w:rFonts w:ascii="Calibri" w:hAnsi="Calibri" w:cs="Calibri"/>
                <w:b/>
              </w:rPr>
              <w:t xml:space="preserve"> of IT Rules 1962</w:t>
            </w:r>
          </w:p>
          <w:p w14:paraId="77441AD2" w14:textId="77777777" w:rsidR="007B2810" w:rsidRPr="00E42C35" w:rsidRDefault="007B2810" w:rsidP="00836676">
            <w:pPr>
              <w:spacing w:after="120" w:line="276" w:lineRule="auto"/>
              <w:rPr>
                <w:rFonts w:ascii="Calibri" w:hAnsi="Calibri" w:cs="Calibri"/>
                <w:b/>
              </w:rPr>
            </w:pPr>
          </w:p>
          <w:p w14:paraId="4C52C119" w14:textId="63E9A439" w:rsidR="007B2810" w:rsidRPr="00E42C35" w:rsidRDefault="00A50A01" w:rsidP="00836676">
            <w:pPr>
              <w:spacing w:after="120" w:line="276" w:lineRule="auto"/>
              <w:rPr>
                <w:rFonts w:ascii="Calibri" w:hAnsi="Calibri" w:cs="Calibri"/>
                <w:b/>
              </w:rPr>
            </w:pPr>
            <w:r w:rsidRPr="00E42C35">
              <w:rPr>
                <w:rFonts w:ascii="Calibri" w:hAnsi="Calibri" w:cs="Calibri"/>
                <w:b/>
              </w:rPr>
              <w:t>Rule 240(8)(d)</w:t>
            </w:r>
            <w:r w:rsidR="005E3F5A" w:rsidRPr="00E42C35">
              <w:rPr>
                <w:rFonts w:ascii="Calibri" w:hAnsi="Calibri" w:cs="Calibri"/>
                <w:b/>
              </w:rPr>
              <w:t xml:space="preserve"> of Draft IT Rules 2026</w:t>
            </w:r>
          </w:p>
        </w:tc>
        <w:tc>
          <w:tcPr>
            <w:tcW w:w="0" w:type="auto"/>
            <w:tcBorders>
              <w:top w:val="single" w:sz="4" w:space="0" w:color="auto"/>
              <w:left w:val="single" w:sz="4" w:space="0" w:color="auto"/>
              <w:bottom w:val="single" w:sz="4" w:space="0" w:color="auto"/>
              <w:right w:val="single" w:sz="4" w:space="0" w:color="auto"/>
            </w:tcBorders>
          </w:tcPr>
          <w:p w14:paraId="2FDD5794" w14:textId="6C360FC9" w:rsidR="0012171D" w:rsidRPr="00E42C35" w:rsidRDefault="006A4F81" w:rsidP="00836676">
            <w:pPr>
              <w:spacing w:after="120" w:line="276" w:lineRule="auto"/>
              <w:rPr>
                <w:rFonts w:ascii="Calibri" w:hAnsi="Calibri" w:cs="Calibri"/>
                <w:b/>
                <w:bCs/>
              </w:rPr>
            </w:pPr>
            <w:r w:rsidRPr="00E42C35">
              <w:rPr>
                <w:rFonts w:ascii="Calibri" w:hAnsi="Calibri" w:cs="Calibri"/>
                <w:b/>
                <w:bCs/>
              </w:rPr>
              <w:t>Rationale</w:t>
            </w:r>
          </w:p>
          <w:p w14:paraId="70152F81" w14:textId="77777777" w:rsidR="006A4F81" w:rsidRPr="00E42C35" w:rsidRDefault="006A4F81" w:rsidP="00836676">
            <w:pPr>
              <w:numPr>
                <w:ilvl w:val="0"/>
                <w:numId w:val="3"/>
              </w:numPr>
              <w:spacing w:after="120" w:line="276" w:lineRule="auto"/>
              <w:rPr>
                <w:rFonts w:ascii="Calibri" w:hAnsi="Calibri" w:cs="Calibri"/>
              </w:rPr>
            </w:pPr>
            <w:r w:rsidRPr="00E42C35">
              <w:rPr>
                <w:rFonts w:ascii="Calibri" w:hAnsi="Calibri" w:cs="Calibri"/>
              </w:rPr>
              <w:t>The Rule reference in said rule has been given for Rule 114G. However, the rule reference should be given for Rule 239.</w:t>
            </w:r>
          </w:p>
          <w:p w14:paraId="259A9D5B" w14:textId="7A4FF484" w:rsidR="00CA6E88" w:rsidRPr="00E42C35" w:rsidRDefault="00CA6E88" w:rsidP="00836676">
            <w:pPr>
              <w:spacing w:after="120" w:line="276" w:lineRule="auto"/>
              <w:ind w:right="117"/>
              <w:rPr>
                <w:rFonts w:ascii="Calibri" w:hAnsi="Calibri" w:cs="Calibri"/>
                <w:b/>
                <w:bCs/>
              </w:rPr>
            </w:pPr>
            <w:r w:rsidRPr="00E42C35">
              <w:rPr>
                <w:rFonts w:ascii="Calibri" w:hAnsi="Calibri" w:cs="Calibri"/>
                <w:b/>
                <w:bCs/>
              </w:rPr>
              <w:t>Recommendation</w:t>
            </w:r>
          </w:p>
          <w:p w14:paraId="50DD8985" w14:textId="77777777" w:rsidR="00AF0821" w:rsidRPr="00E42C35" w:rsidRDefault="00AF0821" w:rsidP="00836676">
            <w:pPr>
              <w:numPr>
                <w:ilvl w:val="0"/>
                <w:numId w:val="3"/>
              </w:numPr>
              <w:spacing w:after="120" w:line="276" w:lineRule="auto"/>
              <w:rPr>
                <w:rFonts w:ascii="Calibri" w:hAnsi="Calibri" w:cs="Calibri"/>
              </w:rPr>
            </w:pPr>
            <w:r w:rsidRPr="00E42C35">
              <w:rPr>
                <w:rFonts w:ascii="Calibri" w:hAnsi="Calibri" w:cs="Calibri"/>
              </w:rPr>
              <w:t xml:space="preserve">The Rule </w:t>
            </w:r>
            <w:r w:rsidRPr="00E42C35">
              <w:rPr>
                <w:rFonts w:ascii="Calibri" w:hAnsi="Calibri" w:cs="Calibri"/>
                <w:b/>
                <w:bCs/>
              </w:rPr>
              <w:t xml:space="preserve">240(8)(d) </w:t>
            </w:r>
            <w:r w:rsidRPr="00E42C35">
              <w:rPr>
                <w:rFonts w:ascii="Calibri" w:hAnsi="Calibri" w:cs="Calibri"/>
              </w:rPr>
              <w:t>should be redrafted to include the correct rule reference-</w:t>
            </w:r>
          </w:p>
          <w:p w14:paraId="16CF688F" w14:textId="77777777" w:rsidR="00AF0821" w:rsidRPr="00E42C35" w:rsidRDefault="00AF0821" w:rsidP="00836676">
            <w:pPr>
              <w:spacing w:after="120" w:line="276" w:lineRule="auto"/>
              <w:ind w:left="720"/>
              <w:rPr>
                <w:rFonts w:ascii="Calibri" w:hAnsi="Calibri" w:cs="Calibri"/>
                <w:i/>
                <w:iCs/>
              </w:rPr>
            </w:pPr>
            <w:r w:rsidRPr="00E42C35">
              <w:rPr>
                <w:rFonts w:ascii="Calibri" w:hAnsi="Calibri" w:cs="Calibri"/>
                <w:i/>
                <w:iCs/>
              </w:rPr>
              <w:t xml:space="preserve">“the reporting financial institution shall report the information specified in rule </w:t>
            </w:r>
            <w:r w:rsidRPr="00E42C35">
              <w:rPr>
                <w:rFonts w:ascii="Calibri" w:hAnsi="Calibri" w:cs="Calibri"/>
                <w:b/>
                <w:i/>
                <w:strike/>
              </w:rPr>
              <w:t>114G</w:t>
            </w:r>
            <w:r w:rsidRPr="00E42C35">
              <w:rPr>
                <w:rFonts w:ascii="Calibri" w:hAnsi="Calibri" w:cs="Calibri"/>
                <w:b/>
                <w:i/>
              </w:rPr>
              <w:t xml:space="preserve"> 239</w:t>
            </w:r>
            <w:r w:rsidRPr="00E42C35">
              <w:rPr>
                <w:rFonts w:ascii="Calibri" w:hAnsi="Calibri" w:cs="Calibri"/>
                <w:i/>
                <w:iCs/>
              </w:rPr>
              <w:t xml:space="preserve"> in respect of any closed account which is identified under clause (c) as a U.S. reportable account or as an account held by a non-participating financial institution, as applicable, by the date that is the later of,- </w:t>
            </w:r>
          </w:p>
          <w:p w14:paraId="2DEAFABC" w14:textId="77777777" w:rsidR="00AF0821" w:rsidRPr="00E42C35" w:rsidRDefault="00AF0821" w:rsidP="00836676">
            <w:pPr>
              <w:spacing w:after="120" w:line="276" w:lineRule="auto"/>
              <w:ind w:left="720"/>
              <w:rPr>
                <w:rFonts w:ascii="Calibri" w:hAnsi="Calibri" w:cs="Calibri"/>
                <w:i/>
                <w:iCs/>
              </w:rPr>
            </w:pPr>
            <w:r w:rsidRPr="00E42C35">
              <w:rPr>
                <w:rFonts w:ascii="Calibri" w:hAnsi="Calibri" w:cs="Calibri"/>
                <w:i/>
                <w:iCs/>
              </w:rPr>
              <w:t xml:space="preserve">the 31st of May next following the date on which the account is identified as a U.S. reportable account or as an account held by a </w:t>
            </w:r>
            <w:proofErr w:type="spellStart"/>
            <w:r w:rsidRPr="00E42C35">
              <w:rPr>
                <w:rFonts w:ascii="Calibri" w:hAnsi="Calibri" w:cs="Calibri"/>
                <w:i/>
                <w:iCs/>
              </w:rPr>
              <w:t>non participating</w:t>
            </w:r>
            <w:proofErr w:type="spellEnd"/>
            <w:r w:rsidRPr="00E42C35">
              <w:rPr>
                <w:rFonts w:ascii="Calibri" w:hAnsi="Calibri" w:cs="Calibri"/>
                <w:i/>
                <w:iCs/>
              </w:rPr>
              <w:t xml:space="preserve"> financial institution, as applicable; and </w:t>
            </w:r>
          </w:p>
          <w:p w14:paraId="2EE841F3" w14:textId="77777777" w:rsidR="006A4F81" w:rsidRPr="00E42C35" w:rsidRDefault="00AF0821" w:rsidP="00836676">
            <w:pPr>
              <w:spacing w:after="120" w:line="276" w:lineRule="auto"/>
              <w:ind w:left="720"/>
              <w:rPr>
                <w:rFonts w:ascii="Calibri" w:hAnsi="Calibri" w:cs="Calibri"/>
                <w:i/>
                <w:iCs/>
              </w:rPr>
            </w:pPr>
            <w:r w:rsidRPr="00E42C35">
              <w:rPr>
                <w:rFonts w:ascii="Calibri" w:hAnsi="Calibri" w:cs="Calibri"/>
              </w:rPr>
              <w:t>forty</w:t>
            </w:r>
            <w:r w:rsidRPr="00E42C35">
              <w:rPr>
                <w:rFonts w:ascii="Calibri" w:hAnsi="Calibri" w:cs="Calibri"/>
                <w:i/>
                <w:iCs/>
              </w:rPr>
              <w:t xml:space="preserve">-five days after the account is identified as a U.S. reportable account or as an account held by a non-participating financial institution, as applicable; so, however, that in respect of all new entity accounts or a clearly identified group of such accounts which are U.S. reportable accounts opened on or after the 1st July, </w:t>
            </w:r>
            <w:r w:rsidRPr="00E42C35">
              <w:rPr>
                <w:rFonts w:ascii="Calibri" w:hAnsi="Calibri" w:cs="Calibri"/>
                <w:i/>
                <w:iCs/>
              </w:rPr>
              <w:lastRenderedPageBreak/>
              <w:t>2014, and before the 1st January, 2015 the reporting financial institution may, in lieu of the procedure specified in clauses (a) to (d), treat such accounts as pre-existing entity accounts and apply the due diligence procedure related to pre-existing entity accounts specified in sub-rule (5) without regard to the account balance or value threshold specified in clause (a) of sub-rule (5).”</w:t>
            </w:r>
          </w:p>
          <w:p w14:paraId="1DC6B2B4" w14:textId="3EDBD17A" w:rsidR="00CA6E88" w:rsidRPr="00E42C35" w:rsidRDefault="00CA6E88" w:rsidP="00836676">
            <w:pPr>
              <w:numPr>
                <w:ilvl w:val="0"/>
                <w:numId w:val="3"/>
              </w:numPr>
              <w:spacing w:after="120" w:line="276" w:lineRule="auto"/>
              <w:rPr>
                <w:rFonts w:ascii="Calibri" w:hAnsi="Calibri" w:cs="Calibri"/>
              </w:rPr>
            </w:pPr>
            <w:r w:rsidRPr="00E42C35">
              <w:rPr>
                <w:rFonts w:ascii="Calibri" w:hAnsi="Calibri" w:cs="Calibri"/>
              </w:rPr>
              <w:t>The reference of Rule 239 was incorrect, as it related to provisions under the previous set of rules. The rule should therefore be updated to correctly cite the applicable requirements under the current framework. This amendment ensures accuracy and proper alignment with the operative rules.</w:t>
            </w:r>
          </w:p>
        </w:tc>
      </w:tr>
      <w:tr w:rsidR="00DF7281" w:rsidRPr="00E42C35" w14:paraId="60BC9DD7" w14:textId="77777777" w:rsidTr="000813D3">
        <w:trPr>
          <w:trHeight w:val="20"/>
        </w:trPr>
        <w:tc>
          <w:tcPr>
            <w:tcW w:w="846" w:type="dxa"/>
            <w:tcBorders>
              <w:top w:val="single" w:sz="4" w:space="0" w:color="auto"/>
              <w:left w:val="single" w:sz="4" w:space="0" w:color="auto"/>
              <w:bottom w:val="single" w:sz="4" w:space="0" w:color="auto"/>
              <w:right w:val="single" w:sz="4" w:space="0" w:color="auto"/>
            </w:tcBorders>
          </w:tcPr>
          <w:p w14:paraId="3ABCF8CD" w14:textId="77777777" w:rsidR="00DF7281" w:rsidRPr="00E42C35" w:rsidRDefault="00DF7281" w:rsidP="00836676">
            <w:pPr>
              <w:numPr>
                <w:ilvl w:val="0"/>
                <w:numId w:val="2"/>
              </w:numPr>
              <w:spacing w:after="120" w:line="276" w:lineRule="auto"/>
              <w:rPr>
                <w:rFonts w:ascii="Calibri" w:hAnsi="Calibri" w:cs="Calibri"/>
                <w:lang w:bidi="en-US"/>
              </w:rPr>
            </w:pPr>
          </w:p>
        </w:tc>
        <w:tc>
          <w:tcPr>
            <w:tcW w:w="2637" w:type="dxa"/>
            <w:tcBorders>
              <w:top w:val="single" w:sz="4" w:space="0" w:color="auto"/>
              <w:left w:val="single" w:sz="4" w:space="0" w:color="auto"/>
              <w:bottom w:val="single" w:sz="4" w:space="0" w:color="auto"/>
              <w:right w:val="single" w:sz="4" w:space="0" w:color="auto"/>
            </w:tcBorders>
          </w:tcPr>
          <w:p w14:paraId="451B6AFE" w14:textId="0FCF7456" w:rsidR="00F9130C" w:rsidRPr="00E42C35" w:rsidRDefault="00F9130C" w:rsidP="00836676">
            <w:pPr>
              <w:spacing w:after="120" w:line="276" w:lineRule="auto"/>
              <w:rPr>
                <w:rFonts w:ascii="Calibri" w:hAnsi="Calibri" w:cs="Calibri"/>
                <w:b/>
              </w:rPr>
            </w:pPr>
            <w:r w:rsidRPr="00E42C35">
              <w:rPr>
                <w:rFonts w:ascii="Calibri" w:hAnsi="Calibri" w:cs="Calibri"/>
                <w:b/>
              </w:rPr>
              <w:t>Special provision for payment of tax by certain companies</w:t>
            </w:r>
          </w:p>
          <w:p w14:paraId="56A8B1DD" w14:textId="77777777" w:rsidR="00851462" w:rsidRPr="00E42C35" w:rsidRDefault="00851462" w:rsidP="00836676">
            <w:pPr>
              <w:spacing w:after="120" w:line="276" w:lineRule="auto"/>
              <w:rPr>
                <w:rFonts w:ascii="Calibri" w:hAnsi="Calibri" w:cs="Calibri"/>
                <w:b/>
              </w:rPr>
            </w:pPr>
            <w:r w:rsidRPr="00E42C35">
              <w:rPr>
                <w:rFonts w:ascii="Calibri" w:hAnsi="Calibri" w:cs="Calibri"/>
                <w:b/>
              </w:rPr>
              <w:t>Form 29B[115JB of ITA, 1961][Rule 40B of Income Tax Rules, 1962]</w:t>
            </w:r>
          </w:p>
          <w:p w14:paraId="7EA1A776" w14:textId="728F2477" w:rsidR="00DF7281" w:rsidRPr="00E42C35" w:rsidRDefault="00851462" w:rsidP="00836676">
            <w:pPr>
              <w:spacing w:after="120" w:line="276" w:lineRule="auto"/>
              <w:rPr>
                <w:rFonts w:ascii="Calibri" w:eastAsia="Times New Roman" w:hAnsi="Calibri" w:cs="Calibri"/>
                <w:b/>
                <w:color w:val="000000"/>
                <w:kern w:val="0"/>
                <w:lang w:eastAsia="en-IN"/>
                <w14:ligatures w14:val="none"/>
              </w:rPr>
            </w:pPr>
            <w:r w:rsidRPr="00E42C35">
              <w:rPr>
                <w:rFonts w:ascii="Calibri" w:hAnsi="Calibri" w:cs="Calibri"/>
                <w:b/>
              </w:rPr>
              <w:t>Form 66 [206 of ITA 2025] rule [Rule 137 of Draft Income Tax Rules 2026]</w:t>
            </w:r>
          </w:p>
        </w:tc>
        <w:tc>
          <w:tcPr>
            <w:tcW w:w="0" w:type="auto"/>
            <w:tcBorders>
              <w:top w:val="single" w:sz="4" w:space="0" w:color="auto"/>
              <w:left w:val="single" w:sz="4" w:space="0" w:color="auto"/>
              <w:bottom w:val="single" w:sz="4" w:space="0" w:color="auto"/>
              <w:right w:val="single" w:sz="4" w:space="0" w:color="auto"/>
            </w:tcBorders>
          </w:tcPr>
          <w:p w14:paraId="11B64C99" w14:textId="77777777" w:rsidR="00DA0EB9" w:rsidRPr="00E42C35" w:rsidRDefault="00DA0EB9" w:rsidP="00836676">
            <w:pPr>
              <w:spacing w:after="120" w:line="276" w:lineRule="auto"/>
              <w:rPr>
                <w:rFonts w:ascii="Calibri" w:hAnsi="Calibri" w:cs="Calibri"/>
                <w:b/>
                <w:bCs/>
              </w:rPr>
            </w:pPr>
            <w:r w:rsidRPr="00E42C35">
              <w:rPr>
                <w:rFonts w:ascii="Calibri" w:hAnsi="Calibri" w:cs="Calibri"/>
                <w:b/>
                <w:bCs/>
              </w:rPr>
              <w:t>Rationale:</w:t>
            </w:r>
          </w:p>
          <w:p w14:paraId="73EA9132" w14:textId="595534A9" w:rsidR="00DA0EB9" w:rsidRPr="00E42C35" w:rsidRDefault="00DA0EB9" w:rsidP="00836676">
            <w:pPr>
              <w:numPr>
                <w:ilvl w:val="0"/>
                <w:numId w:val="3"/>
              </w:numPr>
              <w:spacing w:after="120" w:line="276" w:lineRule="auto"/>
              <w:rPr>
                <w:rFonts w:ascii="Calibri" w:hAnsi="Calibri" w:cs="Calibri"/>
              </w:rPr>
            </w:pPr>
            <w:r w:rsidRPr="00E42C35">
              <w:rPr>
                <w:rFonts w:ascii="Calibri" w:hAnsi="Calibri" w:cs="Calibri"/>
              </w:rPr>
              <w:t>Reference error in mentioning Ind-AS</w:t>
            </w:r>
            <w:r w:rsidR="00E42C35" w:rsidRPr="00E42C35">
              <w:rPr>
                <w:rFonts w:ascii="Calibri" w:hAnsi="Calibri" w:cs="Calibri"/>
              </w:rPr>
              <w:t>.</w:t>
            </w:r>
          </w:p>
          <w:p w14:paraId="08D11B1C" w14:textId="36E4AFDB" w:rsidR="00DA0EB9" w:rsidRPr="00E42C35" w:rsidRDefault="00DA0EB9" w:rsidP="00836676">
            <w:pPr>
              <w:numPr>
                <w:ilvl w:val="0"/>
                <w:numId w:val="3"/>
              </w:numPr>
              <w:spacing w:after="120" w:line="276" w:lineRule="auto"/>
              <w:rPr>
                <w:rFonts w:ascii="Calibri" w:hAnsi="Calibri" w:cs="Calibri"/>
              </w:rPr>
            </w:pPr>
            <w:r w:rsidRPr="00E42C35">
              <w:rPr>
                <w:rFonts w:ascii="Calibri" w:hAnsi="Calibri" w:cs="Calibri"/>
              </w:rPr>
              <w:t>In Part C – Clause 16(ii)(d) of the form, it provide</w:t>
            </w:r>
            <w:r w:rsidR="00FD45C4" w:rsidRPr="00E42C35">
              <w:rPr>
                <w:rFonts w:ascii="Calibri" w:hAnsi="Calibri" w:cs="Calibri"/>
              </w:rPr>
              <w:t>s</w:t>
            </w:r>
            <w:r w:rsidRPr="00E42C35">
              <w:rPr>
                <w:rFonts w:ascii="Calibri" w:hAnsi="Calibri" w:cs="Calibri"/>
              </w:rPr>
              <w:t xml:space="preserve"> for adjusting </w:t>
            </w:r>
            <w:r w:rsidRPr="00E42C35">
              <w:rPr>
                <w:rFonts w:ascii="Calibri" w:hAnsi="Calibri" w:cs="Calibri"/>
                <w:i/>
                <w:iCs/>
              </w:rPr>
              <w:t>“Amount or aggregate of amounts adjusted in Revaluation surplus for assets in accordance with the Indian Accounting Standards 12 and Indian Accounting Standards 38 adjusted on the convergence date.”</w:t>
            </w:r>
          </w:p>
          <w:p w14:paraId="029AB7E1" w14:textId="77777777" w:rsidR="000211AD" w:rsidRPr="00E42C35" w:rsidRDefault="00DA0EB9" w:rsidP="00836676">
            <w:pPr>
              <w:numPr>
                <w:ilvl w:val="0"/>
                <w:numId w:val="3"/>
              </w:numPr>
              <w:spacing w:after="120" w:line="276" w:lineRule="auto"/>
              <w:rPr>
                <w:rFonts w:ascii="Calibri" w:hAnsi="Calibri" w:cs="Calibri"/>
              </w:rPr>
            </w:pPr>
            <w:r w:rsidRPr="00E42C35">
              <w:rPr>
                <w:rFonts w:ascii="Calibri" w:hAnsi="Calibri" w:cs="Calibri"/>
              </w:rPr>
              <w:t>It appears that Indian Accounting Standard 12 which is on Income Tax has been wrongly referred. Even in section 206(1)(t)(vi) of ITA, 2025, it is mentioned Accounting Standard 16 – Property, Plant and Equipment.</w:t>
            </w:r>
          </w:p>
          <w:p w14:paraId="1F7B9448" w14:textId="77777777" w:rsidR="004968BF" w:rsidRPr="00E42C35" w:rsidRDefault="004968BF" w:rsidP="00836676">
            <w:pPr>
              <w:spacing w:after="120" w:line="276" w:lineRule="auto"/>
              <w:rPr>
                <w:rFonts w:ascii="Calibri" w:hAnsi="Calibri" w:cs="Calibri"/>
                <w:b/>
                <w:lang w:bidi="en-US"/>
              </w:rPr>
            </w:pPr>
            <w:r w:rsidRPr="00E42C35">
              <w:rPr>
                <w:rFonts w:ascii="Calibri" w:hAnsi="Calibri" w:cs="Calibri"/>
                <w:b/>
                <w:lang w:bidi="en-US"/>
              </w:rPr>
              <w:t>Recommendations:</w:t>
            </w:r>
          </w:p>
          <w:p w14:paraId="1AA255A7" w14:textId="53777526" w:rsidR="00DF7281" w:rsidRPr="00E42C35" w:rsidRDefault="004968BF" w:rsidP="00836676">
            <w:pPr>
              <w:numPr>
                <w:ilvl w:val="0"/>
                <w:numId w:val="3"/>
              </w:numPr>
              <w:spacing w:after="120" w:line="276" w:lineRule="auto"/>
              <w:rPr>
                <w:rFonts w:ascii="Calibri" w:hAnsi="Calibri" w:cs="Calibri"/>
                <w:b/>
                <w:lang w:bidi="en-US"/>
              </w:rPr>
            </w:pPr>
            <w:r w:rsidRPr="00E42C35">
              <w:rPr>
                <w:rFonts w:ascii="Calibri" w:hAnsi="Calibri" w:cs="Calibri"/>
              </w:rPr>
              <w:t>The referencing error must be corrected in final form and accordingly, in Part C – Clause 16(ii)(d) of the form Ind-AS 16 should be referred, instead of Ind-AS 12.</w:t>
            </w:r>
          </w:p>
        </w:tc>
      </w:tr>
    </w:tbl>
    <w:p w14:paraId="13605750" w14:textId="77777777" w:rsidR="00E90B6D" w:rsidRPr="00E42C35" w:rsidRDefault="00E90B6D" w:rsidP="00836676">
      <w:pPr>
        <w:spacing w:after="120" w:line="276" w:lineRule="auto"/>
        <w:rPr>
          <w:rFonts w:ascii="Calibri" w:hAnsi="Calibri" w:cs="Calibri"/>
        </w:rPr>
      </w:pPr>
    </w:p>
    <w:sectPr w:rsidR="00E90B6D" w:rsidRPr="00E42C35" w:rsidSect="00E90B6D">
      <w:headerReference w:type="default" r:id="rId8"/>
      <w:footerReference w:type="default" r:id="rId9"/>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BF047" w14:textId="77777777" w:rsidR="0075060F" w:rsidRDefault="0075060F" w:rsidP="00E90B6D">
      <w:pPr>
        <w:spacing w:after="0" w:line="240" w:lineRule="auto"/>
      </w:pPr>
      <w:r>
        <w:separator/>
      </w:r>
    </w:p>
  </w:endnote>
  <w:endnote w:type="continuationSeparator" w:id="0">
    <w:p w14:paraId="1B1F212D" w14:textId="77777777" w:rsidR="0075060F" w:rsidRDefault="0075060F" w:rsidP="00E90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YInterstate Light">
    <w:panose1 w:val="02000506000000020004"/>
    <w:charset w:val="00"/>
    <w:family w:val="auto"/>
    <w:pitch w:val="variable"/>
    <w:sig w:usb0="A00002AF" w:usb1="5000206A"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bidi="en-US"/>
      </w:rPr>
      <w:id w:val="-1529863909"/>
      <w:docPartObj>
        <w:docPartGallery w:val="Page Numbers (Bottom of Page)"/>
        <w:docPartUnique/>
      </w:docPartObj>
    </w:sdtPr>
    <w:sdtEndPr/>
    <w:sdtContent>
      <w:sdt>
        <w:sdtPr>
          <w:rPr>
            <w:lang w:bidi="en-US"/>
          </w:rPr>
          <w:id w:val="-1769616900"/>
          <w:docPartObj>
            <w:docPartGallery w:val="Page Numbers (Top of Page)"/>
            <w:docPartUnique/>
          </w:docPartObj>
        </w:sdtPr>
        <w:sdtEndPr/>
        <w:sdtContent>
          <w:p w14:paraId="43A6CFB4" w14:textId="6A150D2A" w:rsidR="00E46A88" w:rsidRDefault="00E46A88" w:rsidP="00E46A88">
            <w:pPr>
              <w:pStyle w:val="Footer"/>
              <w:jc w:val="right"/>
              <w:rPr>
                <w:lang w:bidi="en-US"/>
              </w:rPr>
            </w:pPr>
            <w:r w:rsidRPr="00E46A88">
              <w:rPr>
                <w:lang w:bidi="en-US"/>
              </w:rPr>
              <w:t xml:space="preserve">Page </w:t>
            </w:r>
            <w:r w:rsidRPr="00E46A88">
              <w:rPr>
                <w:b/>
                <w:bCs/>
                <w:lang w:bidi="en-US"/>
              </w:rPr>
              <w:fldChar w:fldCharType="begin"/>
            </w:r>
            <w:r w:rsidRPr="00E46A88">
              <w:rPr>
                <w:b/>
                <w:bCs/>
                <w:lang w:bidi="en-US"/>
              </w:rPr>
              <w:instrText xml:space="preserve"> PAGE </w:instrText>
            </w:r>
            <w:r w:rsidRPr="00E46A88">
              <w:rPr>
                <w:b/>
                <w:bCs/>
                <w:lang w:bidi="en-US"/>
              </w:rPr>
              <w:fldChar w:fldCharType="separate"/>
            </w:r>
            <w:r w:rsidRPr="00E46A88">
              <w:rPr>
                <w:b/>
                <w:bCs/>
                <w:lang w:bidi="en-US"/>
              </w:rPr>
              <w:t>8</w:t>
            </w:r>
            <w:r w:rsidRPr="00E46A88">
              <w:fldChar w:fldCharType="end"/>
            </w:r>
            <w:r w:rsidRPr="00E46A88">
              <w:rPr>
                <w:lang w:bidi="en-US"/>
              </w:rPr>
              <w:t xml:space="preserve"> of </w:t>
            </w:r>
            <w:r w:rsidRPr="00E46A88">
              <w:rPr>
                <w:b/>
                <w:bCs/>
                <w:lang w:bidi="en-US"/>
              </w:rPr>
              <w:fldChar w:fldCharType="begin"/>
            </w:r>
            <w:r w:rsidRPr="00E46A88">
              <w:rPr>
                <w:b/>
                <w:bCs/>
                <w:lang w:bidi="en-US"/>
              </w:rPr>
              <w:instrText xml:space="preserve"> NUMPAGES  </w:instrText>
            </w:r>
            <w:r w:rsidRPr="00E46A88">
              <w:rPr>
                <w:b/>
                <w:bCs/>
                <w:lang w:bidi="en-US"/>
              </w:rPr>
              <w:fldChar w:fldCharType="separate"/>
            </w:r>
            <w:r w:rsidRPr="00E46A88">
              <w:rPr>
                <w:b/>
                <w:bCs/>
                <w:lang w:bidi="en-US"/>
              </w:rPr>
              <w:t>190</w:t>
            </w:r>
            <w:r w:rsidRPr="00E46A88">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40A98" w14:textId="77777777" w:rsidR="0075060F" w:rsidRDefault="0075060F" w:rsidP="00E90B6D">
      <w:pPr>
        <w:spacing w:after="0" w:line="240" w:lineRule="auto"/>
      </w:pPr>
      <w:r>
        <w:separator/>
      </w:r>
    </w:p>
  </w:footnote>
  <w:footnote w:type="continuationSeparator" w:id="0">
    <w:p w14:paraId="6C05C873" w14:textId="77777777" w:rsidR="0075060F" w:rsidRDefault="0075060F" w:rsidP="00E90B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9E1CA" w14:textId="0B8DC214" w:rsidR="00E90B6D" w:rsidRPr="00E90B6D" w:rsidRDefault="00E90B6D" w:rsidP="00E90B6D">
    <w:pPr>
      <w:pStyle w:val="Header"/>
    </w:pPr>
    <w:r w:rsidRPr="00E90B6D">
      <w:rPr>
        <w:noProof/>
      </w:rPr>
      <w:drawing>
        <wp:inline distT="0" distB="0" distL="0" distR="0" wp14:anchorId="636943C6" wp14:editId="4537DFB3">
          <wp:extent cx="577850" cy="387350"/>
          <wp:effectExtent l="0" t="0" r="0" b="0"/>
          <wp:docPr id="8054945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65030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387350"/>
                  </a:xfrm>
                  <a:prstGeom prst="rect">
                    <a:avLst/>
                  </a:prstGeom>
                  <a:solidFill>
                    <a:srgbClr val="FFFFFF"/>
                  </a:solidFill>
                  <a:ln>
                    <a:noFill/>
                  </a:ln>
                </pic:spPr>
              </pic:pic>
            </a:graphicData>
          </a:graphic>
        </wp:inline>
      </w:drawing>
    </w:r>
    <w:r w:rsidRPr="00E90B6D">
      <w:rPr>
        <w:b/>
        <w:bCs/>
        <w:lang w:bidi="en-US"/>
      </w:rPr>
      <w:t xml:space="preserve"> </w:t>
    </w:r>
    <w:r w:rsidRPr="00E90B6D">
      <w:rPr>
        <w:b/>
        <w:bCs/>
        <w:lang w:bidi="en-US"/>
      </w:rPr>
      <w:tab/>
    </w:r>
    <w:r w:rsidRPr="00E90B6D">
      <w:rPr>
        <w:b/>
        <w:bCs/>
        <w:lang w:bidi="en-US"/>
      </w:rPr>
      <w:tab/>
    </w:r>
    <w:r w:rsidRPr="00E90B6D">
      <w:rPr>
        <w:b/>
        <w:bCs/>
        <w:lang w:bidi="en-US"/>
      </w:rPr>
      <w:tab/>
      <w:t xml:space="preserve">   </w:t>
    </w:r>
    <w:r w:rsidRPr="00E90B6D">
      <w:rPr>
        <w:lang w:bidi="en-US"/>
      </w:rPr>
      <w:t>Bombay Chamber of Commerce and Industry</w:t>
    </w:r>
  </w:p>
  <w:p w14:paraId="2C40D0D6" w14:textId="517E9EA8" w:rsidR="00E90B6D" w:rsidRDefault="00E90B6D">
    <w:pPr>
      <w:pStyle w:val="Header"/>
    </w:pPr>
    <w:r w:rsidRPr="00E90B6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C41E0"/>
    <w:multiLevelType w:val="hybridMultilevel"/>
    <w:tmpl w:val="D108B108"/>
    <w:lvl w:ilvl="0" w:tplc="B3C2C2D8">
      <w:start w:val="1"/>
      <w:numFmt w:val="lowerRoman"/>
      <w:lvlText w:val="(%1)"/>
      <w:lvlJc w:val="left"/>
      <w:pPr>
        <w:ind w:left="629" w:hanging="360"/>
      </w:pPr>
      <w:rPr>
        <w:rFonts w:hint="default"/>
      </w:rPr>
    </w:lvl>
    <w:lvl w:ilvl="1" w:tplc="40090019" w:tentative="1">
      <w:start w:val="1"/>
      <w:numFmt w:val="lowerLetter"/>
      <w:lvlText w:val="%2."/>
      <w:lvlJc w:val="left"/>
      <w:pPr>
        <w:ind w:left="1349" w:hanging="360"/>
      </w:pPr>
    </w:lvl>
    <w:lvl w:ilvl="2" w:tplc="4009001B" w:tentative="1">
      <w:start w:val="1"/>
      <w:numFmt w:val="lowerRoman"/>
      <w:lvlText w:val="%3."/>
      <w:lvlJc w:val="right"/>
      <w:pPr>
        <w:ind w:left="2069" w:hanging="180"/>
      </w:pPr>
    </w:lvl>
    <w:lvl w:ilvl="3" w:tplc="4009000F" w:tentative="1">
      <w:start w:val="1"/>
      <w:numFmt w:val="decimal"/>
      <w:lvlText w:val="%4."/>
      <w:lvlJc w:val="left"/>
      <w:pPr>
        <w:ind w:left="2789" w:hanging="360"/>
      </w:pPr>
    </w:lvl>
    <w:lvl w:ilvl="4" w:tplc="40090019" w:tentative="1">
      <w:start w:val="1"/>
      <w:numFmt w:val="lowerLetter"/>
      <w:lvlText w:val="%5."/>
      <w:lvlJc w:val="left"/>
      <w:pPr>
        <w:ind w:left="3509" w:hanging="360"/>
      </w:pPr>
    </w:lvl>
    <w:lvl w:ilvl="5" w:tplc="4009001B" w:tentative="1">
      <w:start w:val="1"/>
      <w:numFmt w:val="lowerRoman"/>
      <w:lvlText w:val="%6."/>
      <w:lvlJc w:val="right"/>
      <w:pPr>
        <w:ind w:left="4229" w:hanging="180"/>
      </w:pPr>
    </w:lvl>
    <w:lvl w:ilvl="6" w:tplc="4009000F" w:tentative="1">
      <w:start w:val="1"/>
      <w:numFmt w:val="decimal"/>
      <w:lvlText w:val="%7."/>
      <w:lvlJc w:val="left"/>
      <w:pPr>
        <w:ind w:left="4949" w:hanging="360"/>
      </w:pPr>
    </w:lvl>
    <w:lvl w:ilvl="7" w:tplc="40090019" w:tentative="1">
      <w:start w:val="1"/>
      <w:numFmt w:val="lowerLetter"/>
      <w:lvlText w:val="%8."/>
      <w:lvlJc w:val="left"/>
      <w:pPr>
        <w:ind w:left="5669" w:hanging="360"/>
      </w:pPr>
    </w:lvl>
    <w:lvl w:ilvl="8" w:tplc="4009001B" w:tentative="1">
      <w:start w:val="1"/>
      <w:numFmt w:val="lowerRoman"/>
      <w:lvlText w:val="%9."/>
      <w:lvlJc w:val="right"/>
      <w:pPr>
        <w:ind w:left="6389" w:hanging="180"/>
      </w:pPr>
    </w:lvl>
  </w:abstractNum>
  <w:abstractNum w:abstractNumId="1" w15:restartNumberingAfterBreak="0">
    <w:nsid w:val="0A7B4B6D"/>
    <w:multiLevelType w:val="hybridMultilevel"/>
    <w:tmpl w:val="7FE4F23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FAF728E"/>
    <w:multiLevelType w:val="hybridMultilevel"/>
    <w:tmpl w:val="DEE6BBD6"/>
    <w:lvl w:ilvl="0" w:tplc="4009001B">
      <w:start w:val="1"/>
      <w:numFmt w:val="lowerRoman"/>
      <w:lvlText w:val="%1."/>
      <w:lvlJc w:val="right"/>
      <w:pPr>
        <w:ind w:left="853" w:hanging="360"/>
      </w:pPr>
    </w:lvl>
    <w:lvl w:ilvl="1" w:tplc="40090019" w:tentative="1">
      <w:start w:val="1"/>
      <w:numFmt w:val="lowerLetter"/>
      <w:lvlText w:val="%2."/>
      <w:lvlJc w:val="left"/>
      <w:pPr>
        <w:ind w:left="1573" w:hanging="360"/>
      </w:pPr>
    </w:lvl>
    <w:lvl w:ilvl="2" w:tplc="4009001B" w:tentative="1">
      <w:start w:val="1"/>
      <w:numFmt w:val="lowerRoman"/>
      <w:lvlText w:val="%3."/>
      <w:lvlJc w:val="right"/>
      <w:pPr>
        <w:ind w:left="2293" w:hanging="180"/>
      </w:pPr>
    </w:lvl>
    <w:lvl w:ilvl="3" w:tplc="4009000F" w:tentative="1">
      <w:start w:val="1"/>
      <w:numFmt w:val="decimal"/>
      <w:lvlText w:val="%4."/>
      <w:lvlJc w:val="left"/>
      <w:pPr>
        <w:ind w:left="3013" w:hanging="360"/>
      </w:pPr>
    </w:lvl>
    <w:lvl w:ilvl="4" w:tplc="40090019" w:tentative="1">
      <w:start w:val="1"/>
      <w:numFmt w:val="lowerLetter"/>
      <w:lvlText w:val="%5."/>
      <w:lvlJc w:val="left"/>
      <w:pPr>
        <w:ind w:left="3733" w:hanging="360"/>
      </w:pPr>
    </w:lvl>
    <w:lvl w:ilvl="5" w:tplc="4009001B" w:tentative="1">
      <w:start w:val="1"/>
      <w:numFmt w:val="lowerRoman"/>
      <w:lvlText w:val="%6."/>
      <w:lvlJc w:val="right"/>
      <w:pPr>
        <w:ind w:left="4453" w:hanging="180"/>
      </w:pPr>
    </w:lvl>
    <w:lvl w:ilvl="6" w:tplc="4009000F" w:tentative="1">
      <w:start w:val="1"/>
      <w:numFmt w:val="decimal"/>
      <w:lvlText w:val="%7."/>
      <w:lvlJc w:val="left"/>
      <w:pPr>
        <w:ind w:left="5173" w:hanging="360"/>
      </w:pPr>
    </w:lvl>
    <w:lvl w:ilvl="7" w:tplc="40090019" w:tentative="1">
      <w:start w:val="1"/>
      <w:numFmt w:val="lowerLetter"/>
      <w:lvlText w:val="%8."/>
      <w:lvlJc w:val="left"/>
      <w:pPr>
        <w:ind w:left="5893" w:hanging="360"/>
      </w:pPr>
    </w:lvl>
    <w:lvl w:ilvl="8" w:tplc="4009001B" w:tentative="1">
      <w:start w:val="1"/>
      <w:numFmt w:val="lowerRoman"/>
      <w:lvlText w:val="%9."/>
      <w:lvlJc w:val="right"/>
      <w:pPr>
        <w:ind w:left="6613" w:hanging="180"/>
      </w:pPr>
    </w:lvl>
  </w:abstractNum>
  <w:abstractNum w:abstractNumId="3" w15:restartNumberingAfterBreak="0">
    <w:nsid w:val="1A9E6167"/>
    <w:multiLevelType w:val="hybridMultilevel"/>
    <w:tmpl w:val="73C6053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EB073A8"/>
    <w:multiLevelType w:val="hybridMultilevel"/>
    <w:tmpl w:val="4F04B1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2567086"/>
    <w:multiLevelType w:val="hybridMultilevel"/>
    <w:tmpl w:val="B21C782C"/>
    <w:lvl w:ilvl="0" w:tplc="F87E88F8">
      <w:start w:val="1"/>
      <w:numFmt w:val="decimal"/>
      <w:lvlText w:val="%1."/>
      <w:lvlJc w:val="left"/>
      <w:pPr>
        <w:ind w:left="720" w:hanging="360"/>
      </w:pPr>
      <w:rPr>
        <w:b w:val="0"/>
        <w:bCs/>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24726351"/>
    <w:multiLevelType w:val="hybridMultilevel"/>
    <w:tmpl w:val="D128708E"/>
    <w:lvl w:ilvl="0" w:tplc="0409000F">
      <w:start w:val="1"/>
      <w:numFmt w:val="decimal"/>
      <w:lvlText w:val="%1."/>
      <w:lvlJc w:val="left"/>
      <w:pPr>
        <w:ind w:left="284" w:hanging="360"/>
      </w:pPr>
    </w:lvl>
    <w:lvl w:ilvl="1" w:tplc="04090019">
      <w:start w:val="1"/>
      <w:numFmt w:val="lowerLetter"/>
      <w:lvlText w:val="%2."/>
      <w:lvlJc w:val="left"/>
      <w:pPr>
        <w:ind w:left="-1340" w:hanging="360"/>
      </w:pPr>
    </w:lvl>
    <w:lvl w:ilvl="2" w:tplc="0409001B">
      <w:start w:val="1"/>
      <w:numFmt w:val="lowerRoman"/>
      <w:lvlText w:val="%3."/>
      <w:lvlJc w:val="right"/>
      <w:pPr>
        <w:ind w:left="-620" w:hanging="180"/>
      </w:pPr>
    </w:lvl>
    <w:lvl w:ilvl="3" w:tplc="0409000F">
      <w:start w:val="1"/>
      <w:numFmt w:val="decimal"/>
      <w:lvlText w:val="%4."/>
      <w:lvlJc w:val="left"/>
      <w:pPr>
        <w:ind w:left="100" w:hanging="360"/>
      </w:pPr>
    </w:lvl>
    <w:lvl w:ilvl="4" w:tplc="04090019">
      <w:start w:val="1"/>
      <w:numFmt w:val="lowerLetter"/>
      <w:lvlText w:val="%5."/>
      <w:lvlJc w:val="left"/>
      <w:pPr>
        <w:ind w:left="820" w:hanging="360"/>
      </w:pPr>
    </w:lvl>
    <w:lvl w:ilvl="5" w:tplc="0409001B">
      <w:start w:val="1"/>
      <w:numFmt w:val="lowerRoman"/>
      <w:lvlText w:val="%6."/>
      <w:lvlJc w:val="right"/>
      <w:pPr>
        <w:ind w:left="1540" w:hanging="180"/>
      </w:pPr>
    </w:lvl>
    <w:lvl w:ilvl="6" w:tplc="0409000F">
      <w:start w:val="1"/>
      <w:numFmt w:val="decimal"/>
      <w:lvlText w:val="%7."/>
      <w:lvlJc w:val="left"/>
      <w:pPr>
        <w:ind w:left="2260" w:hanging="360"/>
      </w:pPr>
    </w:lvl>
    <w:lvl w:ilvl="7" w:tplc="04090019">
      <w:start w:val="1"/>
      <w:numFmt w:val="lowerLetter"/>
      <w:lvlText w:val="%8."/>
      <w:lvlJc w:val="left"/>
      <w:pPr>
        <w:ind w:left="2980" w:hanging="360"/>
      </w:pPr>
    </w:lvl>
    <w:lvl w:ilvl="8" w:tplc="0409001B">
      <w:start w:val="1"/>
      <w:numFmt w:val="lowerRoman"/>
      <w:lvlText w:val="%9."/>
      <w:lvlJc w:val="right"/>
      <w:pPr>
        <w:ind w:left="3700" w:hanging="180"/>
      </w:pPr>
    </w:lvl>
  </w:abstractNum>
  <w:abstractNum w:abstractNumId="7" w15:restartNumberingAfterBreak="0">
    <w:nsid w:val="28C67F9B"/>
    <w:multiLevelType w:val="hybridMultilevel"/>
    <w:tmpl w:val="4AA0394A"/>
    <w:lvl w:ilvl="0" w:tplc="0809000B">
      <w:start w:val="1"/>
      <w:numFmt w:val="bullet"/>
      <w:lvlText w:val=""/>
      <w:lvlJc w:val="left"/>
      <w:pPr>
        <w:ind w:left="720" w:hanging="360"/>
      </w:pPr>
      <w:rPr>
        <w:rFonts w:ascii="Wingdings" w:hAnsi="Wingdings" w:hint="default"/>
      </w:rPr>
    </w:lvl>
    <w:lvl w:ilvl="1" w:tplc="40090005">
      <w:start w:val="1"/>
      <w:numFmt w:val="bullet"/>
      <w:lvlText w:val=""/>
      <w:lvlJc w:val="left"/>
      <w:pPr>
        <w:ind w:left="36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4B71553"/>
    <w:multiLevelType w:val="hybridMultilevel"/>
    <w:tmpl w:val="69460AC0"/>
    <w:lvl w:ilvl="0" w:tplc="1C228BBE">
      <w:start w:val="1"/>
      <w:numFmt w:val="bullet"/>
      <w:lvlText w:val="-"/>
      <w:lvlJc w:val="left"/>
      <w:pPr>
        <w:ind w:left="720" w:hanging="360"/>
      </w:pPr>
      <w:rPr>
        <w:rFonts w:ascii="EYInterstate Light" w:eastAsia="Times New Roman" w:hAnsi="EYInterstate Light" w:cs="Arial" w:hint="default"/>
        <w:color w:val="00000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51C3F9E"/>
    <w:multiLevelType w:val="hybridMultilevel"/>
    <w:tmpl w:val="C26C4022"/>
    <w:lvl w:ilvl="0" w:tplc="CCE86888">
      <w:start w:val="1"/>
      <w:numFmt w:val="bullet"/>
      <w:lvlText w:val="-"/>
      <w:lvlJc w:val="left"/>
      <w:pPr>
        <w:ind w:left="720" w:hanging="360"/>
      </w:pPr>
      <w:rPr>
        <w:rFonts w:ascii="EYInterstate Light" w:eastAsia="Times New Roman" w:hAnsi="EYInterstate Light"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5CB71D8"/>
    <w:multiLevelType w:val="hybridMultilevel"/>
    <w:tmpl w:val="8F74BEE4"/>
    <w:lvl w:ilvl="0" w:tplc="C156AEE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9A9599F"/>
    <w:multiLevelType w:val="hybridMultilevel"/>
    <w:tmpl w:val="8BEC5C3E"/>
    <w:lvl w:ilvl="0" w:tplc="D8DCEE16">
      <w:start w:val="1"/>
      <w:numFmt w:val="upperLetter"/>
      <w:lvlText w:val="(%1)"/>
      <w:lvlJc w:val="left"/>
      <w:pPr>
        <w:ind w:left="497" w:hanging="360"/>
      </w:pPr>
      <w:rPr>
        <w:rFonts w:hint="default"/>
      </w:rPr>
    </w:lvl>
    <w:lvl w:ilvl="1" w:tplc="40090019" w:tentative="1">
      <w:start w:val="1"/>
      <w:numFmt w:val="lowerLetter"/>
      <w:lvlText w:val="%2."/>
      <w:lvlJc w:val="left"/>
      <w:pPr>
        <w:ind w:left="1217" w:hanging="360"/>
      </w:pPr>
    </w:lvl>
    <w:lvl w:ilvl="2" w:tplc="4009001B" w:tentative="1">
      <w:start w:val="1"/>
      <w:numFmt w:val="lowerRoman"/>
      <w:lvlText w:val="%3."/>
      <w:lvlJc w:val="right"/>
      <w:pPr>
        <w:ind w:left="1937" w:hanging="180"/>
      </w:pPr>
    </w:lvl>
    <w:lvl w:ilvl="3" w:tplc="4009000F" w:tentative="1">
      <w:start w:val="1"/>
      <w:numFmt w:val="decimal"/>
      <w:lvlText w:val="%4."/>
      <w:lvlJc w:val="left"/>
      <w:pPr>
        <w:ind w:left="2657" w:hanging="360"/>
      </w:pPr>
    </w:lvl>
    <w:lvl w:ilvl="4" w:tplc="40090019" w:tentative="1">
      <w:start w:val="1"/>
      <w:numFmt w:val="lowerLetter"/>
      <w:lvlText w:val="%5."/>
      <w:lvlJc w:val="left"/>
      <w:pPr>
        <w:ind w:left="3377" w:hanging="360"/>
      </w:pPr>
    </w:lvl>
    <w:lvl w:ilvl="5" w:tplc="4009001B" w:tentative="1">
      <w:start w:val="1"/>
      <w:numFmt w:val="lowerRoman"/>
      <w:lvlText w:val="%6."/>
      <w:lvlJc w:val="right"/>
      <w:pPr>
        <w:ind w:left="4097" w:hanging="180"/>
      </w:pPr>
    </w:lvl>
    <w:lvl w:ilvl="6" w:tplc="4009000F" w:tentative="1">
      <w:start w:val="1"/>
      <w:numFmt w:val="decimal"/>
      <w:lvlText w:val="%7."/>
      <w:lvlJc w:val="left"/>
      <w:pPr>
        <w:ind w:left="4817" w:hanging="360"/>
      </w:pPr>
    </w:lvl>
    <w:lvl w:ilvl="7" w:tplc="40090019" w:tentative="1">
      <w:start w:val="1"/>
      <w:numFmt w:val="lowerLetter"/>
      <w:lvlText w:val="%8."/>
      <w:lvlJc w:val="left"/>
      <w:pPr>
        <w:ind w:left="5537" w:hanging="360"/>
      </w:pPr>
    </w:lvl>
    <w:lvl w:ilvl="8" w:tplc="4009001B" w:tentative="1">
      <w:start w:val="1"/>
      <w:numFmt w:val="lowerRoman"/>
      <w:lvlText w:val="%9."/>
      <w:lvlJc w:val="right"/>
      <w:pPr>
        <w:ind w:left="6257" w:hanging="180"/>
      </w:pPr>
    </w:lvl>
  </w:abstractNum>
  <w:abstractNum w:abstractNumId="12" w15:restartNumberingAfterBreak="0">
    <w:nsid w:val="3AA2199F"/>
    <w:multiLevelType w:val="hybridMultilevel"/>
    <w:tmpl w:val="CE74F80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47867A9"/>
    <w:multiLevelType w:val="hybridMultilevel"/>
    <w:tmpl w:val="B1C8DAA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5396102"/>
    <w:multiLevelType w:val="hybridMultilevel"/>
    <w:tmpl w:val="53963AD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BAF31E4"/>
    <w:multiLevelType w:val="hybridMultilevel"/>
    <w:tmpl w:val="76C83E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D281541"/>
    <w:multiLevelType w:val="hybridMultilevel"/>
    <w:tmpl w:val="3C94652C"/>
    <w:lvl w:ilvl="0" w:tplc="A71EA7C8">
      <w:start w:val="1"/>
      <w:numFmt w:val="lowerLetter"/>
      <w:lvlText w:val="%1."/>
      <w:lvlJc w:val="left"/>
      <w:pPr>
        <w:ind w:left="835" w:hanging="360"/>
      </w:pPr>
      <w:rPr>
        <w:rFonts w:hint="default"/>
      </w:rPr>
    </w:lvl>
    <w:lvl w:ilvl="1" w:tplc="40090019" w:tentative="1">
      <w:start w:val="1"/>
      <w:numFmt w:val="lowerLetter"/>
      <w:lvlText w:val="%2."/>
      <w:lvlJc w:val="left"/>
      <w:pPr>
        <w:ind w:left="1555" w:hanging="360"/>
      </w:pPr>
    </w:lvl>
    <w:lvl w:ilvl="2" w:tplc="4009001B" w:tentative="1">
      <w:start w:val="1"/>
      <w:numFmt w:val="lowerRoman"/>
      <w:lvlText w:val="%3."/>
      <w:lvlJc w:val="right"/>
      <w:pPr>
        <w:ind w:left="2275" w:hanging="180"/>
      </w:pPr>
    </w:lvl>
    <w:lvl w:ilvl="3" w:tplc="4009000F" w:tentative="1">
      <w:start w:val="1"/>
      <w:numFmt w:val="decimal"/>
      <w:lvlText w:val="%4."/>
      <w:lvlJc w:val="left"/>
      <w:pPr>
        <w:ind w:left="2995" w:hanging="360"/>
      </w:pPr>
    </w:lvl>
    <w:lvl w:ilvl="4" w:tplc="40090019" w:tentative="1">
      <w:start w:val="1"/>
      <w:numFmt w:val="lowerLetter"/>
      <w:lvlText w:val="%5."/>
      <w:lvlJc w:val="left"/>
      <w:pPr>
        <w:ind w:left="3715" w:hanging="360"/>
      </w:pPr>
    </w:lvl>
    <w:lvl w:ilvl="5" w:tplc="4009001B" w:tentative="1">
      <w:start w:val="1"/>
      <w:numFmt w:val="lowerRoman"/>
      <w:lvlText w:val="%6."/>
      <w:lvlJc w:val="right"/>
      <w:pPr>
        <w:ind w:left="4435" w:hanging="180"/>
      </w:pPr>
    </w:lvl>
    <w:lvl w:ilvl="6" w:tplc="4009000F" w:tentative="1">
      <w:start w:val="1"/>
      <w:numFmt w:val="decimal"/>
      <w:lvlText w:val="%7."/>
      <w:lvlJc w:val="left"/>
      <w:pPr>
        <w:ind w:left="5155" w:hanging="360"/>
      </w:pPr>
    </w:lvl>
    <w:lvl w:ilvl="7" w:tplc="40090019" w:tentative="1">
      <w:start w:val="1"/>
      <w:numFmt w:val="lowerLetter"/>
      <w:lvlText w:val="%8."/>
      <w:lvlJc w:val="left"/>
      <w:pPr>
        <w:ind w:left="5875" w:hanging="360"/>
      </w:pPr>
    </w:lvl>
    <w:lvl w:ilvl="8" w:tplc="4009001B" w:tentative="1">
      <w:start w:val="1"/>
      <w:numFmt w:val="lowerRoman"/>
      <w:lvlText w:val="%9."/>
      <w:lvlJc w:val="right"/>
      <w:pPr>
        <w:ind w:left="6595" w:hanging="180"/>
      </w:pPr>
    </w:lvl>
  </w:abstractNum>
  <w:abstractNum w:abstractNumId="17" w15:restartNumberingAfterBreak="0">
    <w:nsid w:val="6A267BC7"/>
    <w:multiLevelType w:val="hybridMultilevel"/>
    <w:tmpl w:val="D3448F08"/>
    <w:lvl w:ilvl="0" w:tplc="E480A61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A7438E1"/>
    <w:multiLevelType w:val="hybridMultilevel"/>
    <w:tmpl w:val="78BC2C86"/>
    <w:lvl w:ilvl="0" w:tplc="FAC60064">
      <w:start w:val="1"/>
      <w:numFmt w:val="bullet"/>
      <w:lvlText w:val="-"/>
      <w:lvlJc w:val="left"/>
      <w:pPr>
        <w:ind w:left="720" w:hanging="360"/>
      </w:pPr>
      <w:rPr>
        <w:rFonts w:ascii="EYInterstate Light" w:eastAsia="Times New Roman" w:hAnsi="EYInterstate Light" w:cs="Arial" w:hint="default"/>
        <w:color w:val="00000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6BD046E7"/>
    <w:multiLevelType w:val="hybridMultilevel"/>
    <w:tmpl w:val="FF528F86"/>
    <w:lvl w:ilvl="0" w:tplc="1FA68B7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29F0D0C"/>
    <w:multiLevelType w:val="hybridMultilevel"/>
    <w:tmpl w:val="14BCB916"/>
    <w:lvl w:ilvl="0" w:tplc="B3C2C2D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9A861F0"/>
    <w:multiLevelType w:val="hybridMultilevel"/>
    <w:tmpl w:val="134801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6821222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56426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754044">
    <w:abstractNumId w:val="7"/>
  </w:num>
  <w:num w:numId="4" w16cid:durableId="432172585">
    <w:abstractNumId w:val="5"/>
  </w:num>
  <w:num w:numId="5" w16cid:durableId="1775981877">
    <w:abstractNumId w:val="1"/>
  </w:num>
  <w:num w:numId="6" w16cid:durableId="1170288403">
    <w:abstractNumId w:val="3"/>
  </w:num>
  <w:num w:numId="7" w16cid:durableId="620378043">
    <w:abstractNumId w:val="12"/>
  </w:num>
  <w:num w:numId="8" w16cid:durableId="230777567">
    <w:abstractNumId w:val="13"/>
  </w:num>
  <w:num w:numId="9" w16cid:durableId="849296302">
    <w:abstractNumId w:val="16"/>
  </w:num>
  <w:num w:numId="10" w16cid:durableId="494490412">
    <w:abstractNumId w:val="21"/>
  </w:num>
  <w:num w:numId="11" w16cid:durableId="1450323125">
    <w:abstractNumId w:val="15"/>
  </w:num>
  <w:num w:numId="12" w16cid:durableId="898171522">
    <w:abstractNumId w:val="9"/>
  </w:num>
  <w:num w:numId="13" w16cid:durableId="1596018873">
    <w:abstractNumId w:val="8"/>
  </w:num>
  <w:num w:numId="14" w16cid:durableId="1074664281">
    <w:abstractNumId w:val="18"/>
  </w:num>
  <w:num w:numId="15" w16cid:durableId="363091504">
    <w:abstractNumId w:val="4"/>
  </w:num>
  <w:num w:numId="16" w16cid:durableId="190535339">
    <w:abstractNumId w:val="14"/>
  </w:num>
  <w:num w:numId="17" w16cid:durableId="1735591679">
    <w:abstractNumId w:val="19"/>
  </w:num>
  <w:num w:numId="18" w16cid:durableId="1264337025">
    <w:abstractNumId w:val="20"/>
  </w:num>
  <w:num w:numId="19" w16cid:durableId="757138294">
    <w:abstractNumId w:val="0"/>
  </w:num>
  <w:num w:numId="20" w16cid:durableId="71465167">
    <w:abstractNumId w:val="10"/>
  </w:num>
  <w:num w:numId="21" w16cid:durableId="1336810666">
    <w:abstractNumId w:val="11"/>
  </w:num>
  <w:num w:numId="22" w16cid:durableId="309408207">
    <w:abstractNumId w:val="2"/>
  </w:num>
  <w:num w:numId="23" w16cid:durableId="82964275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817"/>
    <w:rsid w:val="00005007"/>
    <w:rsid w:val="0001505D"/>
    <w:rsid w:val="000173D3"/>
    <w:rsid w:val="00020841"/>
    <w:rsid w:val="000211AD"/>
    <w:rsid w:val="00022058"/>
    <w:rsid w:val="000237B4"/>
    <w:rsid w:val="00023DB2"/>
    <w:rsid w:val="000267F9"/>
    <w:rsid w:val="00027BBC"/>
    <w:rsid w:val="00032044"/>
    <w:rsid w:val="000325B8"/>
    <w:rsid w:val="0003750F"/>
    <w:rsid w:val="00044613"/>
    <w:rsid w:val="00056718"/>
    <w:rsid w:val="00056DAE"/>
    <w:rsid w:val="00060F30"/>
    <w:rsid w:val="00061226"/>
    <w:rsid w:val="00070795"/>
    <w:rsid w:val="000813D3"/>
    <w:rsid w:val="000814A9"/>
    <w:rsid w:val="00085F2B"/>
    <w:rsid w:val="00086A23"/>
    <w:rsid w:val="0009070D"/>
    <w:rsid w:val="000909D8"/>
    <w:rsid w:val="000927F3"/>
    <w:rsid w:val="000977B4"/>
    <w:rsid w:val="000A40A4"/>
    <w:rsid w:val="000A559D"/>
    <w:rsid w:val="000B07B5"/>
    <w:rsid w:val="000B7BC5"/>
    <w:rsid w:val="000C33D1"/>
    <w:rsid w:val="000C50A4"/>
    <w:rsid w:val="000C7157"/>
    <w:rsid w:val="000D2BE1"/>
    <w:rsid w:val="000E0096"/>
    <w:rsid w:val="000E1532"/>
    <w:rsid w:val="000E1D53"/>
    <w:rsid w:val="000E1EB8"/>
    <w:rsid w:val="000E3588"/>
    <w:rsid w:val="000E516D"/>
    <w:rsid w:val="000E6614"/>
    <w:rsid w:val="000F3079"/>
    <w:rsid w:val="000F5D4F"/>
    <w:rsid w:val="0010209D"/>
    <w:rsid w:val="001026D3"/>
    <w:rsid w:val="00103431"/>
    <w:rsid w:val="0010346C"/>
    <w:rsid w:val="00110978"/>
    <w:rsid w:val="0011209E"/>
    <w:rsid w:val="00114652"/>
    <w:rsid w:val="0012095B"/>
    <w:rsid w:val="00121179"/>
    <w:rsid w:val="0012171D"/>
    <w:rsid w:val="00123FA6"/>
    <w:rsid w:val="00124F52"/>
    <w:rsid w:val="00125679"/>
    <w:rsid w:val="00132B36"/>
    <w:rsid w:val="001332B7"/>
    <w:rsid w:val="00134CEC"/>
    <w:rsid w:val="00140A72"/>
    <w:rsid w:val="001460CA"/>
    <w:rsid w:val="00150DD0"/>
    <w:rsid w:val="00153FFB"/>
    <w:rsid w:val="001542C1"/>
    <w:rsid w:val="0015469B"/>
    <w:rsid w:val="00163721"/>
    <w:rsid w:val="00165252"/>
    <w:rsid w:val="001656C9"/>
    <w:rsid w:val="001677F9"/>
    <w:rsid w:val="00167A90"/>
    <w:rsid w:val="00175AD8"/>
    <w:rsid w:val="00181EF4"/>
    <w:rsid w:val="0018620C"/>
    <w:rsid w:val="00191999"/>
    <w:rsid w:val="00191B89"/>
    <w:rsid w:val="00192041"/>
    <w:rsid w:val="00194400"/>
    <w:rsid w:val="00197549"/>
    <w:rsid w:val="00197D01"/>
    <w:rsid w:val="001A1A07"/>
    <w:rsid w:val="001A50C2"/>
    <w:rsid w:val="001B0A1B"/>
    <w:rsid w:val="001B1705"/>
    <w:rsid w:val="001B1CED"/>
    <w:rsid w:val="001B1F76"/>
    <w:rsid w:val="001B334E"/>
    <w:rsid w:val="001B47D0"/>
    <w:rsid w:val="001C2A7C"/>
    <w:rsid w:val="001D0332"/>
    <w:rsid w:val="001D1185"/>
    <w:rsid w:val="001D52D4"/>
    <w:rsid w:val="001D79D8"/>
    <w:rsid w:val="001E13C3"/>
    <w:rsid w:val="001F2563"/>
    <w:rsid w:val="001F5464"/>
    <w:rsid w:val="001F6645"/>
    <w:rsid w:val="0020068E"/>
    <w:rsid w:val="00203AE1"/>
    <w:rsid w:val="0020689C"/>
    <w:rsid w:val="00212A69"/>
    <w:rsid w:val="00216280"/>
    <w:rsid w:val="00216C2C"/>
    <w:rsid w:val="002211E6"/>
    <w:rsid w:val="00224EE1"/>
    <w:rsid w:val="002266A0"/>
    <w:rsid w:val="00230598"/>
    <w:rsid w:val="00231D35"/>
    <w:rsid w:val="00237417"/>
    <w:rsid w:val="002414D3"/>
    <w:rsid w:val="0024158B"/>
    <w:rsid w:val="00243D63"/>
    <w:rsid w:val="00251762"/>
    <w:rsid w:val="00257F3B"/>
    <w:rsid w:val="00260F7A"/>
    <w:rsid w:val="00263745"/>
    <w:rsid w:val="0026550E"/>
    <w:rsid w:val="00266FD3"/>
    <w:rsid w:val="00267B46"/>
    <w:rsid w:val="002707BB"/>
    <w:rsid w:val="002735E0"/>
    <w:rsid w:val="00276394"/>
    <w:rsid w:val="00283063"/>
    <w:rsid w:val="0028361D"/>
    <w:rsid w:val="002852D0"/>
    <w:rsid w:val="0029108F"/>
    <w:rsid w:val="002A4D49"/>
    <w:rsid w:val="002A619C"/>
    <w:rsid w:val="002B2A77"/>
    <w:rsid w:val="002B799D"/>
    <w:rsid w:val="002C2855"/>
    <w:rsid w:val="002C4979"/>
    <w:rsid w:val="002C771F"/>
    <w:rsid w:val="002C77B5"/>
    <w:rsid w:val="002D0699"/>
    <w:rsid w:val="002D621A"/>
    <w:rsid w:val="002D783D"/>
    <w:rsid w:val="002D7BC4"/>
    <w:rsid w:val="002E20B6"/>
    <w:rsid w:val="002E6725"/>
    <w:rsid w:val="002E76B3"/>
    <w:rsid w:val="002E7A6D"/>
    <w:rsid w:val="002F06F7"/>
    <w:rsid w:val="002F0B5E"/>
    <w:rsid w:val="002F1A0C"/>
    <w:rsid w:val="002F7E3F"/>
    <w:rsid w:val="00300F0C"/>
    <w:rsid w:val="003041FD"/>
    <w:rsid w:val="00306608"/>
    <w:rsid w:val="00310AD3"/>
    <w:rsid w:val="003309B8"/>
    <w:rsid w:val="003344F6"/>
    <w:rsid w:val="003358DD"/>
    <w:rsid w:val="00342731"/>
    <w:rsid w:val="003449AB"/>
    <w:rsid w:val="00350D02"/>
    <w:rsid w:val="003514B7"/>
    <w:rsid w:val="00353CE7"/>
    <w:rsid w:val="00356AE5"/>
    <w:rsid w:val="00357B21"/>
    <w:rsid w:val="00362CC4"/>
    <w:rsid w:val="00365BBC"/>
    <w:rsid w:val="0037221F"/>
    <w:rsid w:val="0037500B"/>
    <w:rsid w:val="00375E29"/>
    <w:rsid w:val="00376977"/>
    <w:rsid w:val="00377E72"/>
    <w:rsid w:val="003808CC"/>
    <w:rsid w:val="00380BF6"/>
    <w:rsid w:val="003830DD"/>
    <w:rsid w:val="00387B52"/>
    <w:rsid w:val="00391DF1"/>
    <w:rsid w:val="00394817"/>
    <w:rsid w:val="00395E63"/>
    <w:rsid w:val="003A1AA8"/>
    <w:rsid w:val="003A5C0B"/>
    <w:rsid w:val="003A731A"/>
    <w:rsid w:val="003B09EB"/>
    <w:rsid w:val="003B0D26"/>
    <w:rsid w:val="003B19E0"/>
    <w:rsid w:val="003B3BD1"/>
    <w:rsid w:val="003B4465"/>
    <w:rsid w:val="003B4A84"/>
    <w:rsid w:val="003C0CD8"/>
    <w:rsid w:val="003C654F"/>
    <w:rsid w:val="003C66AF"/>
    <w:rsid w:val="003C6EE6"/>
    <w:rsid w:val="003D18C1"/>
    <w:rsid w:val="003D1CCD"/>
    <w:rsid w:val="003D678F"/>
    <w:rsid w:val="003E0A4E"/>
    <w:rsid w:val="003E35E8"/>
    <w:rsid w:val="003E5981"/>
    <w:rsid w:val="003E5BE8"/>
    <w:rsid w:val="003E5E5E"/>
    <w:rsid w:val="003E71BF"/>
    <w:rsid w:val="003F3A76"/>
    <w:rsid w:val="003F3D61"/>
    <w:rsid w:val="003F707D"/>
    <w:rsid w:val="003F758F"/>
    <w:rsid w:val="003F7F4D"/>
    <w:rsid w:val="00410A95"/>
    <w:rsid w:val="00412509"/>
    <w:rsid w:val="00413DF4"/>
    <w:rsid w:val="00421661"/>
    <w:rsid w:val="00422E7C"/>
    <w:rsid w:val="00423E32"/>
    <w:rsid w:val="0042617B"/>
    <w:rsid w:val="00434FFE"/>
    <w:rsid w:val="00435D85"/>
    <w:rsid w:val="004369E6"/>
    <w:rsid w:val="00442430"/>
    <w:rsid w:val="004429B4"/>
    <w:rsid w:val="004438A8"/>
    <w:rsid w:val="00444405"/>
    <w:rsid w:val="00454555"/>
    <w:rsid w:val="004574C8"/>
    <w:rsid w:val="004627AE"/>
    <w:rsid w:val="0046467C"/>
    <w:rsid w:val="0046667A"/>
    <w:rsid w:val="004667D6"/>
    <w:rsid w:val="00466F51"/>
    <w:rsid w:val="00471F43"/>
    <w:rsid w:val="00475C4D"/>
    <w:rsid w:val="00480661"/>
    <w:rsid w:val="004812E7"/>
    <w:rsid w:val="004813F1"/>
    <w:rsid w:val="004815DD"/>
    <w:rsid w:val="0048335F"/>
    <w:rsid w:val="0048427B"/>
    <w:rsid w:val="00491B3C"/>
    <w:rsid w:val="004968BF"/>
    <w:rsid w:val="004A05EA"/>
    <w:rsid w:val="004B5B79"/>
    <w:rsid w:val="004B6A63"/>
    <w:rsid w:val="004B6FC8"/>
    <w:rsid w:val="004C0824"/>
    <w:rsid w:val="004C47DB"/>
    <w:rsid w:val="004C6D9F"/>
    <w:rsid w:val="004D4C43"/>
    <w:rsid w:val="004D53FF"/>
    <w:rsid w:val="004D5758"/>
    <w:rsid w:val="004D65BB"/>
    <w:rsid w:val="004D6FBA"/>
    <w:rsid w:val="004D71CE"/>
    <w:rsid w:val="004E0986"/>
    <w:rsid w:val="004E17DA"/>
    <w:rsid w:val="004F0D47"/>
    <w:rsid w:val="004F1FAF"/>
    <w:rsid w:val="004F2758"/>
    <w:rsid w:val="004F6EAE"/>
    <w:rsid w:val="005002ED"/>
    <w:rsid w:val="00501AD5"/>
    <w:rsid w:val="005126D3"/>
    <w:rsid w:val="00515A79"/>
    <w:rsid w:val="00516237"/>
    <w:rsid w:val="00517097"/>
    <w:rsid w:val="00517EF2"/>
    <w:rsid w:val="0052028B"/>
    <w:rsid w:val="00521E28"/>
    <w:rsid w:val="005248E8"/>
    <w:rsid w:val="0053102F"/>
    <w:rsid w:val="00533E26"/>
    <w:rsid w:val="00553E8A"/>
    <w:rsid w:val="00554749"/>
    <w:rsid w:val="00555C93"/>
    <w:rsid w:val="005577C3"/>
    <w:rsid w:val="0055788A"/>
    <w:rsid w:val="0056007B"/>
    <w:rsid w:val="00571EA4"/>
    <w:rsid w:val="0057379B"/>
    <w:rsid w:val="00576701"/>
    <w:rsid w:val="005770AE"/>
    <w:rsid w:val="005834D7"/>
    <w:rsid w:val="005901E2"/>
    <w:rsid w:val="00596EDE"/>
    <w:rsid w:val="00597CEA"/>
    <w:rsid w:val="005A1D95"/>
    <w:rsid w:val="005A28E4"/>
    <w:rsid w:val="005A455F"/>
    <w:rsid w:val="005A637E"/>
    <w:rsid w:val="005A6425"/>
    <w:rsid w:val="005A79E8"/>
    <w:rsid w:val="005A7DA3"/>
    <w:rsid w:val="005B0304"/>
    <w:rsid w:val="005B1AB3"/>
    <w:rsid w:val="005B564A"/>
    <w:rsid w:val="005B5F1D"/>
    <w:rsid w:val="005B68A5"/>
    <w:rsid w:val="005C1F86"/>
    <w:rsid w:val="005D3284"/>
    <w:rsid w:val="005D56A3"/>
    <w:rsid w:val="005E3F5A"/>
    <w:rsid w:val="005E427C"/>
    <w:rsid w:val="005F0E6C"/>
    <w:rsid w:val="00601246"/>
    <w:rsid w:val="00602452"/>
    <w:rsid w:val="00605B0D"/>
    <w:rsid w:val="00613194"/>
    <w:rsid w:val="00614AC3"/>
    <w:rsid w:val="00616539"/>
    <w:rsid w:val="006224E9"/>
    <w:rsid w:val="00624BBC"/>
    <w:rsid w:val="00625BCA"/>
    <w:rsid w:val="00627257"/>
    <w:rsid w:val="00627FBA"/>
    <w:rsid w:val="006323C8"/>
    <w:rsid w:val="006330B2"/>
    <w:rsid w:val="00635B09"/>
    <w:rsid w:val="006368C9"/>
    <w:rsid w:val="00637287"/>
    <w:rsid w:val="00643322"/>
    <w:rsid w:val="00643A09"/>
    <w:rsid w:val="00645B13"/>
    <w:rsid w:val="00654013"/>
    <w:rsid w:val="006560A9"/>
    <w:rsid w:val="006608C4"/>
    <w:rsid w:val="0066357F"/>
    <w:rsid w:val="00663824"/>
    <w:rsid w:val="006663A6"/>
    <w:rsid w:val="006668A0"/>
    <w:rsid w:val="006774CA"/>
    <w:rsid w:val="00682E13"/>
    <w:rsid w:val="0068779C"/>
    <w:rsid w:val="00691609"/>
    <w:rsid w:val="00691D5A"/>
    <w:rsid w:val="00691F04"/>
    <w:rsid w:val="006938A6"/>
    <w:rsid w:val="00696309"/>
    <w:rsid w:val="0069696F"/>
    <w:rsid w:val="0069698E"/>
    <w:rsid w:val="00696CC9"/>
    <w:rsid w:val="00697309"/>
    <w:rsid w:val="006A4F81"/>
    <w:rsid w:val="006B0047"/>
    <w:rsid w:val="006B2D01"/>
    <w:rsid w:val="006B61D7"/>
    <w:rsid w:val="006C0565"/>
    <w:rsid w:val="006C0AF5"/>
    <w:rsid w:val="006C3033"/>
    <w:rsid w:val="006C4008"/>
    <w:rsid w:val="006C4459"/>
    <w:rsid w:val="006D66FE"/>
    <w:rsid w:val="006E01DC"/>
    <w:rsid w:val="006E03AF"/>
    <w:rsid w:val="006E28C5"/>
    <w:rsid w:val="006E3257"/>
    <w:rsid w:val="006E4BDA"/>
    <w:rsid w:val="006F31B7"/>
    <w:rsid w:val="006F67E4"/>
    <w:rsid w:val="006F72A1"/>
    <w:rsid w:val="00706538"/>
    <w:rsid w:val="00711664"/>
    <w:rsid w:val="00711C9C"/>
    <w:rsid w:val="00720794"/>
    <w:rsid w:val="007213FE"/>
    <w:rsid w:val="00721EBC"/>
    <w:rsid w:val="00723A50"/>
    <w:rsid w:val="007260F6"/>
    <w:rsid w:val="00726949"/>
    <w:rsid w:val="007321F3"/>
    <w:rsid w:val="0073239B"/>
    <w:rsid w:val="00737639"/>
    <w:rsid w:val="007415F8"/>
    <w:rsid w:val="00742DBC"/>
    <w:rsid w:val="00745F6A"/>
    <w:rsid w:val="00746B10"/>
    <w:rsid w:val="0075014D"/>
    <w:rsid w:val="0075060F"/>
    <w:rsid w:val="00751F7B"/>
    <w:rsid w:val="007531D5"/>
    <w:rsid w:val="00761AB4"/>
    <w:rsid w:val="007626A0"/>
    <w:rsid w:val="0076597D"/>
    <w:rsid w:val="0076715C"/>
    <w:rsid w:val="007700D0"/>
    <w:rsid w:val="00771D29"/>
    <w:rsid w:val="00772801"/>
    <w:rsid w:val="00777540"/>
    <w:rsid w:val="00777BDA"/>
    <w:rsid w:val="00784DBC"/>
    <w:rsid w:val="007853A5"/>
    <w:rsid w:val="0078686C"/>
    <w:rsid w:val="00791396"/>
    <w:rsid w:val="00792FF8"/>
    <w:rsid w:val="0079637C"/>
    <w:rsid w:val="007B2810"/>
    <w:rsid w:val="007B3E7E"/>
    <w:rsid w:val="007C1BEC"/>
    <w:rsid w:val="007C3404"/>
    <w:rsid w:val="007C54F7"/>
    <w:rsid w:val="007C65AD"/>
    <w:rsid w:val="007D0D0F"/>
    <w:rsid w:val="007D287A"/>
    <w:rsid w:val="007E0D75"/>
    <w:rsid w:val="007E1F14"/>
    <w:rsid w:val="007E2151"/>
    <w:rsid w:val="007E3193"/>
    <w:rsid w:val="007E36D4"/>
    <w:rsid w:val="007E3B68"/>
    <w:rsid w:val="007F17FC"/>
    <w:rsid w:val="007F206C"/>
    <w:rsid w:val="007F4D1D"/>
    <w:rsid w:val="00801B29"/>
    <w:rsid w:val="00801EF4"/>
    <w:rsid w:val="00806021"/>
    <w:rsid w:val="008072E1"/>
    <w:rsid w:val="008212F9"/>
    <w:rsid w:val="00821F57"/>
    <w:rsid w:val="00824B55"/>
    <w:rsid w:val="0082503A"/>
    <w:rsid w:val="00834C31"/>
    <w:rsid w:val="00836676"/>
    <w:rsid w:val="00840976"/>
    <w:rsid w:val="00840C51"/>
    <w:rsid w:val="00840FBA"/>
    <w:rsid w:val="00845095"/>
    <w:rsid w:val="00845FE4"/>
    <w:rsid w:val="00851462"/>
    <w:rsid w:val="00851CE7"/>
    <w:rsid w:val="00853F04"/>
    <w:rsid w:val="00855316"/>
    <w:rsid w:val="008554C5"/>
    <w:rsid w:val="00861B31"/>
    <w:rsid w:val="00865AEF"/>
    <w:rsid w:val="0087013B"/>
    <w:rsid w:val="008779F8"/>
    <w:rsid w:val="008855C4"/>
    <w:rsid w:val="008859AE"/>
    <w:rsid w:val="00890C1C"/>
    <w:rsid w:val="008973BC"/>
    <w:rsid w:val="008A0B7B"/>
    <w:rsid w:val="008A7B93"/>
    <w:rsid w:val="008B0793"/>
    <w:rsid w:val="008B0C88"/>
    <w:rsid w:val="008B3EEB"/>
    <w:rsid w:val="008B464E"/>
    <w:rsid w:val="008B59ED"/>
    <w:rsid w:val="008B6AA9"/>
    <w:rsid w:val="008B732A"/>
    <w:rsid w:val="008C06EF"/>
    <w:rsid w:val="008C4791"/>
    <w:rsid w:val="008C6005"/>
    <w:rsid w:val="008D3730"/>
    <w:rsid w:val="008D39BF"/>
    <w:rsid w:val="008D55EC"/>
    <w:rsid w:val="008D5FCF"/>
    <w:rsid w:val="008D6986"/>
    <w:rsid w:val="008E1981"/>
    <w:rsid w:val="008E6AA5"/>
    <w:rsid w:val="008F11F3"/>
    <w:rsid w:val="008F374F"/>
    <w:rsid w:val="008F53B1"/>
    <w:rsid w:val="008F674C"/>
    <w:rsid w:val="0090283E"/>
    <w:rsid w:val="00902A63"/>
    <w:rsid w:val="00904F72"/>
    <w:rsid w:val="00913CAD"/>
    <w:rsid w:val="0091673B"/>
    <w:rsid w:val="00916A20"/>
    <w:rsid w:val="0092245E"/>
    <w:rsid w:val="009409B9"/>
    <w:rsid w:val="00942E65"/>
    <w:rsid w:val="00943E08"/>
    <w:rsid w:val="00944CDC"/>
    <w:rsid w:val="00945F1E"/>
    <w:rsid w:val="00945F36"/>
    <w:rsid w:val="009470F7"/>
    <w:rsid w:val="00950FDB"/>
    <w:rsid w:val="009553DF"/>
    <w:rsid w:val="009631A8"/>
    <w:rsid w:val="00964AF3"/>
    <w:rsid w:val="00971F10"/>
    <w:rsid w:val="00975659"/>
    <w:rsid w:val="0097777E"/>
    <w:rsid w:val="009808F7"/>
    <w:rsid w:val="0098144A"/>
    <w:rsid w:val="009826C5"/>
    <w:rsid w:val="00984AFA"/>
    <w:rsid w:val="00987C81"/>
    <w:rsid w:val="00990089"/>
    <w:rsid w:val="0099413A"/>
    <w:rsid w:val="009957DD"/>
    <w:rsid w:val="009A2B76"/>
    <w:rsid w:val="009A3B20"/>
    <w:rsid w:val="009A3CD2"/>
    <w:rsid w:val="009A5E9F"/>
    <w:rsid w:val="009A62F0"/>
    <w:rsid w:val="009B2F42"/>
    <w:rsid w:val="009B43E6"/>
    <w:rsid w:val="009C5F34"/>
    <w:rsid w:val="009D1142"/>
    <w:rsid w:val="009D20AB"/>
    <w:rsid w:val="009E10ED"/>
    <w:rsid w:val="009E2FF9"/>
    <w:rsid w:val="009E79FB"/>
    <w:rsid w:val="009F4169"/>
    <w:rsid w:val="00A10CF5"/>
    <w:rsid w:val="00A10D88"/>
    <w:rsid w:val="00A22506"/>
    <w:rsid w:val="00A226F9"/>
    <w:rsid w:val="00A248F6"/>
    <w:rsid w:val="00A261DF"/>
    <w:rsid w:val="00A26ECD"/>
    <w:rsid w:val="00A27383"/>
    <w:rsid w:val="00A33892"/>
    <w:rsid w:val="00A33C2B"/>
    <w:rsid w:val="00A368DB"/>
    <w:rsid w:val="00A43373"/>
    <w:rsid w:val="00A43BBD"/>
    <w:rsid w:val="00A460BE"/>
    <w:rsid w:val="00A46967"/>
    <w:rsid w:val="00A50A01"/>
    <w:rsid w:val="00A51436"/>
    <w:rsid w:val="00A52880"/>
    <w:rsid w:val="00A52DA5"/>
    <w:rsid w:val="00A5772B"/>
    <w:rsid w:val="00A64941"/>
    <w:rsid w:val="00A664E6"/>
    <w:rsid w:val="00A67B45"/>
    <w:rsid w:val="00A75D8F"/>
    <w:rsid w:val="00A77BA8"/>
    <w:rsid w:val="00A77BC0"/>
    <w:rsid w:val="00A8027F"/>
    <w:rsid w:val="00A81BA5"/>
    <w:rsid w:val="00A81C84"/>
    <w:rsid w:val="00A81DCC"/>
    <w:rsid w:val="00A86A52"/>
    <w:rsid w:val="00A962A6"/>
    <w:rsid w:val="00A9680C"/>
    <w:rsid w:val="00A97771"/>
    <w:rsid w:val="00A97E97"/>
    <w:rsid w:val="00AA01D1"/>
    <w:rsid w:val="00AA0B5A"/>
    <w:rsid w:val="00AA1123"/>
    <w:rsid w:val="00AA60CB"/>
    <w:rsid w:val="00AB075A"/>
    <w:rsid w:val="00AB0F95"/>
    <w:rsid w:val="00AB2028"/>
    <w:rsid w:val="00AC332D"/>
    <w:rsid w:val="00AC501A"/>
    <w:rsid w:val="00AC55BE"/>
    <w:rsid w:val="00AD52A4"/>
    <w:rsid w:val="00AD5B08"/>
    <w:rsid w:val="00AE1653"/>
    <w:rsid w:val="00AE2153"/>
    <w:rsid w:val="00AE494D"/>
    <w:rsid w:val="00AE58EE"/>
    <w:rsid w:val="00AE5EEC"/>
    <w:rsid w:val="00AE67EA"/>
    <w:rsid w:val="00AE7012"/>
    <w:rsid w:val="00AF0769"/>
    <w:rsid w:val="00AF0821"/>
    <w:rsid w:val="00AF0E93"/>
    <w:rsid w:val="00AF6F8E"/>
    <w:rsid w:val="00B009A4"/>
    <w:rsid w:val="00B033EF"/>
    <w:rsid w:val="00B04B72"/>
    <w:rsid w:val="00B05CE5"/>
    <w:rsid w:val="00B06A47"/>
    <w:rsid w:val="00B06D92"/>
    <w:rsid w:val="00B07D2B"/>
    <w:rsid w:val="00B1012C"/>
    <w:rsid w:val="00B112B3"/>
    <w:rsid w:val="00B15004"/>
    <w:rsid w:val="00B20C83"/>
    <w:rsid w:val="00B20F3B"/>
    <w:rsid w:val="00B2186D"/>
    <w:rsid w:val="00B21E19"/>
    <w:rsid w:val="00B26308"/>
    <w:rsid w:val="00B271C2"/>
    <w:rsid w:val="00B359AC"/>
    <w:rsid w:val="00B37968"/>
    <w:rsid w:val="00B37CDA"/>
    <w:rsid w:val="00B4092D"/>
    <w:rsid w:val="00B4187F"/>
    <w:rsid w:val="00B44148"/>
    <w:rsid w:val="00B45493"/>
    <w:rsid w:val="00B4797C"/>
    <w:rsid w:val="00B50537"/>
    <w:rsid w:val="00B52301"/>
    <w:rsid w:val="00B53CA0"/>
    <w:rsid w:val="00B55689"/>
    <w:rsid w:val="00B561A2"/>
    <w:rsid w:val="00B61031"/>
    <w:rsid w:val="00B618B6"/>
    <w:rsid w:val="00B62B1C"/>
    <w:rsid w:val="00B64EB2"/>
    <w:rsid w:val="00B66273"/>
    <w:rsid w:val="00B73BD2"/>
    <w:rsid w:val="00B8482F"/>
    <w:rsid w:val="00B84BAE"/>
    <w:rsid w:val="00B8572E"/>
    <w:rsid w:val="00B9092A"/>
    <w:rsid w:val="00B921B8"/>
    <w:rsid w:val="00B92E11"/>
    <w:rsid w:val="00B962BA"/>
    <w:rsid w:val="00B9724B"/>
    <w:rsid w:val="00BB0D1F"/>
    <w:rsid w:val="00BC1C9A"/>
    <w:rsid w:val="00BC1EFD"/>
    <w:rsid w:val="00BC6F6A"/>
    <w:rsid w:val="00BD68BB"/>
    <w:rsid w:val="00BD716E"/>
    <w:rsid w:val="00BE1F82"/>
    <w:rsid w:val="00BE3091"/>
    <w:rsid w:val="00BE461A"/>
    <w:rsid w:val="00BE52EF"/>
    <w:rsid w:val="00BE6DB4"/>
    <w:rsid w:val="00BE7F58"/>
    <w:rsid w:val="00BF0E38"/>
    <w:rsid w:val="00C04E00"/>
    <w:rsid w:val="00C06AB8"/>
    <w:rsid w:val="00C07C20"/>
    <w:rsid w:val="00C23683"/>
    <w:rsid w:val="00C3044E"/>
    <w:rsid w:val="00C31BF1"/>
    <w:rsid w:val="00C32714"/>
    <w:rsid w:val="00C32A19"/>
    <w:rsid w:val="00C35B10"/>
    <w:rsid w:val="00C35EDA"/>
    <w:rsid w:val="00C41204"/>
    <w:rsid w:val="00C41700"/>
    <w:rsid w:val="00C421B9"/>
    <w:rsid w:val="00C430C4"/>
    <w:rsid w:val="00C444CF"/>
    <w:rsid w:val="00C451E2"/>
    <w:rsid w:val="00C470F7"/>
    <w:rsid w:val="00C50A9B"/>
    <w:rsid w:val="00C50F12"/>
    <w:rsid w:val="00C513B3"/>
    <w:rsid w:val="00C55CA5"/>
    <w:rsid w:val="00C663BE"/>
    <w:rsid w:val="00C76DF1"/>
    <w:rsid w:val="00C774A2"/>
    <w:rsid w:val="00C80198"/>
    <w:rsid w:val="00C810BB"/>
    <w:rsid w:val="00C82E69"/>
    <w:rsid w:val="00C837C2"/>
    <w:rsid w:val="00C842C9"/>
    <w:rsid w:val="00C90447"/>
    <w:rsid w:val="00C90821"/>
    <w:rsid w:val="00C91B16"/>
    <w:rsid w:val="00C96BF9"/>
    <w:rsid w:val="00C972AB"/>
    <w:rsid w:val="00CA1204"/>
    <w:rsid w:val="00CA2DD1"/>
    <w:rsid w:val="00CA4CA2"/>
    <w:rsid w:val="00CA6E88"/>
    <w:rsid w:val="00CB0F8D"/>
    <w:rsid w:val="00CB124C"/>
    <w:rsid w:val="00CB5BD4"/>
    <w:rsid w:val="00CB5EA4"/>
    <w:rsid w:val="00CB6A2C"/>
    <w:rsid w:val="00CC2008"/>
    <w:rsid w:val="00CC27BE"/>
    <w:rsid w:val="00CC5464"/>
    <w:rsid w:val="00CD0CC2"/>
    <w:rsid w:val="00CD748A"/>
    <w:rsid w:val="00CE6383"/>
    <w:rsid w:val="00CE6487"/>
    <w:rsid w:val="00CF4DAA"/>
    <w:rsid w:val="00CF4E6E"/>
    <w:rsid w:val="00CF6030"/>
    <w:rsid w:val="00D03F02"/>
    <w:rsid w:val="00D0490C"/>
    <w:rsid w:val="00D10C50"/>
    <w:rsid w:val="00D11E1F"/>
    <w:rsid w:val="00D15711"/>
    <w:rsid w:val="00D15FC6"/>
    <w:rsid w:val="00D17F88"/>
    <w:rsid w:val="00D214A1"/>
    <w:rsid w:val="00D222E3"/>
    <w:rsid w:val="00D316A8"/>
    <w:rsid w:val="00D35C55"/>
    <w:rsid w:val="00D46A66"/>
    <w:rsid w:val="00D4744F"/>
    <w:rsid w:val="00D50530"/>
    <w:rsid w:val="00D50A15"/>
    <w:rsid w:val="00D51BC1"/>
    <w:rsid w:val="00D5228B"/>
    <w:rsid w:val="00D53315"/>
    <w:rsid w:val="00D56DFB"/>
    <w:rsid w:val="00D56FC3"/>
    <w:rsid w:val="00D65847"/>
    <w:rsid w:val="00D65D85"/>
    <w:rsid w:val="00D679AE"/>
    <w:rsid w:val="00D71424"/>
    <w:rsid w:val="00D75B59"/>
    <w:rsid w:val="00D81ECE"/>
    <w:rsid w:val="00D834FA"/>
    <w:rsid w:val="00D8486A"/>
    <w:rsid w:val="00D85BB2"/>
    <w:rsid w:val="00D863EF"/>
    <w:rsid w:val="00D94758"/>
    <w:rsid w:val="00D97684"/>
    <w:rsid w:val="00D979D5"/>
    <w:rsid w:val="00DA0EB9"/>
    <w:rsid w:val="00DA14E1"/>
    <w:rsid w:val="00DA654A"/>
    <w:rsid w:val="00DB4A71"/>
    <w:rsid w:val="00DB4EB2"/>
    <w:rsid w:val="00DB641A"/>
    <w:rsid w:val="00DC2677"/>
    <w:rsid w:val="00DC2AF3"/>
    <w:rsid w:val="00DC57F6"/>
    <w:rsid w:val="00DD4378"/>
    <w:rsid w:val="00DD4AA9"/>
    <w:rsid w:val="00DD721B"/>
    <w:rsid w:val="00DE3D84"/>
    <w:rsid w:val="00DF4A6D"/>
    <w:rsid w:val="00DF514B"/>
    <w:rsid w:val="00DF65CE"/>
    <w:rsid w:val="00DF7281"/>
    <w:rsid w:val="00E01DF2"/>
    <w:rsid w:val="00E02542"/>
    <w:rsid w:val="00E03168"/>
    <w:rsid w:val="00E07320"/>
    <w:rsid w:val="00E122AB"/>
    <w:rsid w:val="00E1288E"/>
    <w:rsid w:val="00E151CA"/>
    <w:rsid w:val="00E22100"/>
    <w:rsid w:val="00E27848"/>
    <w:rsid w:val="00E3025E"/>
    <w:rsid w:val="00E3076E"/>
    <w:rsid w:val="00E309A7"/>
    <w:rsid w:val="00E33BAF"/>
    <w:rsid w:val="00E41E95"/>
    <w:rsid w:val="00E42C35"/>
    <w:rsid w:val="00E45429"/>
    <w:rsid w:val="00E45B5F"/>
    <w:rsid w:val="00E46A88"/>
    <w:rsid w:val="00E509BD"/>
    <w:rsid w:val="00E51D9F"/>
    <w:rsid w:val="00E54CDE"/>
    <w:rsid w:val="00E55B09"/>
    <w:rsid w:val="00E62E05"/>
    <w:rsid w:val="00E650E5"/>
    <w:rsid w:val="00E673ED"/>
    <w:rsid w:val="00E678B3"/>
    <w:rsid w:val="00E67A28"/>
    <w:rsid w:val="00E70271"/>
    <w:rsid w:val="00E728CB"/>
    <w:rsid w:val="00E81668"/>
    <w:rsid w:val="00E82935"/>
    <w:rsid w:val="00E8529B"/>
    <w:rsid w:val="00E858BD"/>
    <w:rsid w:val="00E90B6D"/>
    <w:rsid w:val="00E9231E"/>
    <w:rsid w:val="00E92544"/>
    <w:rsid w:val="00E930D6"/>
    <w:rsid w:val="00E95444"/>
    <w:rsid w:val="00EA2729"/>
    <w:rsid w:val="00EA64CC"/>
    <w:rsid w:val="00EB1BA1"/>
    <w:rsid w:val="00EB4013"/>
    <w:rsid w:val="00EB6951"/>
    <w:rsid w:val="00EC1328"/>
    <w:rsid w:val="00EC25F2"/>
    <w:rsid w:val="00EC3EB5"/>
    <w:rsid w:val="00ED02AA"/>
    <w:rsid w:val="00ED1589"/>
    <w:rsid w:val="00ED25C5"/>
    <w:rsid w:val="00EE4DB5"/>
    <w:rsid w:val="00EF1D3C"/>
    <w:rsid w:val="00EF2A29"/>
    <w:rsid w:val="00EF3E18"/>
    <w:rsid w:val="00F00F75"/>
    <w:rsid w:val="00F01E65"/>
    <w:rsid w:val="00F06466"/>
    <w:rsid w:val="00F06637"/>
    <w:rsid w:val="00F066BE"/>
    <w:rsid w:val="00F078FE"/>
    <w:rsid w:val="00F1487F"/>
    <w:rsid w:val="00F21076"/>
    <w:rsid w:val="00F22A73"/>
    <w:rsid w:val="00F30CAE"/>
    <w:rsid w:val="00F31310"/>
    <w:rsid w:val="00F37068"/>
    <w:rsid w:val="00F3753C"/>
    <w:rsid w:val="00F42FC9"/>
    <w:rsid w:val="00F52F0D"/>
    <w:rsid w:val="00F54BA8"/>
    <w:rsid w:val="00F55CDA"/>
    <w:rsid w:val="00F60C12"/>
    <w:rsid w:val="00F62BF9"/>
    <w:rsid w:val="00F73B2B"/>
    <w:rsid w:val="00F80D3A"/>
    <w:rsid w:val="00F81E2A"/>
    <w:rsid w:val="00F836CE"/>
    <w:rsid w:val="00F84380"/>
    <w:rsid w:val="00F85897"/>
    <w:rsid w:val="00F9130C"/>
    <w:rsid w:val="00F93E79"/>
    <w:rsid w:val="00F96087"/>
    <w:rsid w:val="00F96310"/>
    <w:rsid w:val="00FA17E2"/>
    <w:rsid w:val="00FA69E1"/>
    <w:rsid w:val="00FB106E"/>
    <w:rsid w:val="00FC3293"/>
    <w:rsid w:val="00FC34BE"/>
    <w:rsid w:val="00FC78F1"/>
    <w:rsid w:val="00FD30D0"/>
    <w:rsid w:val="00FD45C4"/>
    <w:rsid w:val="00FE5033"/>
    <w:rsid w:val="00FF42B0"/>
    <w:rsid w:val="00FF69C8"/>
    <w:rsid w:val="00FF6EDF"/>
    <w:rsid w:val="00FF760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E5F8A"/>
  <w15:chartTrackingRefBased/>
  <w15:docId w15:val="{D44BD1B4-BC54-4661-A6EB-DD3A66008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320"/>
  </w:style>
  <w:style w:type="paragraph" w:styleId="Heading1">
    <w:name w:val="heading 1"/>
    <w:basedOn w:val="Normal"/>
    <w:next w:val="Normal"/>
    <w:link w:val="Heading1Char"/>
    <w:uiPriority w:val="9"/>
    <w:qFormat/>
    <w:rsid w:val="003948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48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48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48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48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48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48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48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48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8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48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48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48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48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48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48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48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4817"/>
    <w:rPr>
      <w:rFonts w:eastAsiaTheme="majorEastAsia" w:cstheme="majorBidi"/>
      <w:color w:val="272727" w:themeColor="text1" w:themeTint="D8"/>
    </w:rPr>
  </w:style>
  <w:style w:type="paragraph" w:styleId="Title">
    <w:name w:val="Title"/>
    <w:basedOn w:val="Normal"/>
    <w:next w:val="Normal"/>
    <w:link w:val="TitleChar"/>
    <w:uiPriority w:val="10"/>
    <w:qFormat/>
    <w:rsid w:val="003948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48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48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48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4817"/>
    <w:pPr>
      <w:spacing w:before="160"/>
      <w:jc w:val="center"/>
    </w:pPr>
    <w:rPr>
      <w:i/>
      <w:iCs/>
      <w:color w:val="404040" w:themeColor="text1" w:themeTint="BF"/>
    </w:rPr>
  </w:style>
  <w:style w:type="character" w:customStyle="1" w:styleId="QuoteChar">
    <w:name w:val="Quote Char"/>
    <w:basedOn w:val="DefaultParagraphFont"/>
    <w:link w:val="Quote"/>
    <w:uiPriority w:val="29"/>
    <w:rsid w:val="00394817"/>
    <w:rPr>
      <w:i/>
      <w:iCs/>
      <w:color w:val="404040" w:themeColor="text1" w:themeTint="BF"/>
    </w:rPr>
  </w:style>
  <w:style w:type="paragraph" w:styleId="ListParagraph">
    <w:name w:val="List Paragraph"/>
    <w:basedOn w:val="Normal"/>
    <w:uiPriority w:val="34"/>
    <w:qFormat/>
    <w:rsid w:val="00394817"/>
    <w:pPr>
      <w:ind w:left="720"/>
      <w:contextualSpacing/>
    </w:pPr>
  </w:style>
  <w:style w:type="character" w:styleId="IntenseEmphasis">
    <w:name w:val="Intense Emphasis"/>
    <w:basedOn w:val="DefaultParagraphFont"/>
    <w:uiPriority w:val="21"/>
    <w:qFormat/>
    <w:rsid w:val="00394817"/>
    <w:rPr>
      <w:i/>
      <w:iCs/>
      <w:color w:val="0F4761" w:themeColor="accent1" w:themeShade="BF"/>
    </w:rPr>
  </w:style>
  <w:style w:type="paragraph" w:styleId="IntenseQuote">
    <w:name w:val="Intense Quote"/>
    <w:basedOn w:val="Normal"/>
    <w:next w:val="Normal"/>
    <w:link w:val="IntenseQuoteChar"/>
    <w:uiPriority w:val="30"/>
    <w:qFormat/>
    <w:rsid w:val="003948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4817"/>
    <w:rPr>
      <w:i/>
      <w:iCs/>
      <w:color w:val="0F4761" w:themeColor="accent1" w:themeShade="BF"/>
    </w:rPr>
  </w:style>
  <w:style w:type="character" w:styleId="IntenseReference">
    <w:name w:val="Intense Reference"/>
    <w:basedOn w:val="DefaultParagraphFont"/>
    <w:uiPriority w:val="32"/>
    <w:qFormat/>
    <w:rsid w:val="00394817"/>
    <w:rPr>
      <w:b/>
      <w:bCs/>
      <w:smallCaps/>
      <w:color w:val="0F4761" w:themeColor="accent1" w:themeShade="BF"/>
      <w:spacing w:val="5"/>
    </w:rPr>
  </w:style>
  <w:style w:type="paragraph" w:styleId="Header">
    <w:name w:val="header"/>
    <w:basedOn w:val="Normal"/>
    <w:link w:val="HeaderChar"/>
    <w:uiPriority w:val="99"/>
    <w:unhideWhenUsed/>
    <w:rsid w:val="00E90B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0B6D"/>
  </w:style>
  <w:style w:type="paragraph" w:styleId="Footer">
    <w:name w:val="footer"/>
    <w:basedOn w:val="Normal"/>
    <w:link w:val="FooterChar"/>
    <w:uiPriority w:val="99"/>
    <w:unhideWhenUsed/>
    <w:rsid w:val="00E90B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0B6D"/>
  </w:style>
  <w:style w:type="table" w:styleId="TableGrid">
    <w:name w:val="Table Grid"/>
    <w:basedOn w:val="TableNormal"/>
    <w:uiPriority w:val="39"/>
    <w:rsid w:val="00E90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323C8"/>
    <w:rPr>
      <w:sz w:val="16"/>
      <w:szCs w:val="16"/>
    </w:rPr>
  </w:style>
  <w:style w:type="paragraph" w:styleId="CommentText">
    <w:name w:val="annotation text"/>
    <w:basedOn w:val="Normal"/>
    <w:link w:val="CommentTextChar"/>
    <w:uiPriority w:val="99"/>
    <w:unhideWhenUsed/>
    <w:rsid w:val="006323C8"/>
    <w:pPr>
      <w:spacing w:line="240" w:lineRule="auto"/>
    </w:pPr>
    <w:rPr>
      <w:sz w:val="20"/>
      <w:szCs w:val="20"/>
    </w:rPr>
  </w:style>
  <w:style w:type="character" w:customStyle="1" w:styleId="CommentTextChar">
    <w:name w:val="Comment Text Char"/>
    <w:basedOn w:val="DefaultParagraphFont"/>
    <w:link w:val="CommentText"/>
    <w:uiPriority w:val="99"/>
    <w:rsid w:val="006323C8"/>
    <w:rPr>
      <w:sz w:val="20"/>
      <w:szCs w:val="20"/>
    </w:rPr>
  </w:style>
  <w:style w:type="paragraph" w:styleId="CommentSubject">
    <w:name w:val="annotation subject"/>
    <w:basedOn w:val="CommentText"/>
    <w:next w:val="CommentText"/>
    <w:link w:val="CommentSubjectChar"/>
    <w:uiPriority w:val="99"/>
    <w:semiHidden/>
    <w:unhideWhenUsed/>
    <w:rsid w:val="006323C8"/>
    <w:rPr>
      <w:b/>
      <w:bCs/>
    </w:rPr>
  </w:style>
  <w:style w:type="character" w:customStyle="1" w:styleId="CommentSubjectChar">
    <w:name w:val="Comment Subject Char"/>
    <w:basedOn w:val="CommentTextChar"/>
    <w:link w:val="CommentSubject"/>
    <w:uiPriority w:val="99"/>
    <w:semiHidden/>
    <w:rsid w:val="006323C8"/>
    <w:rPr>
      <w:b/>
      <w:bCs/>
      <w:sz w:val="20"/>
      <w:szCs w:val="20"/>
    </w:rPr>
  </w:style>
  <w:style w:type="paragraph" w:styleId="Revision">
    <w:name w:val="Revision"/>
    <w:hidden/>
    <w:uiPriority w:val="99"/>
    <w:semiHidden/>
    <w:rsid w:val="00CD0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1EF7B-1E6A-4E78-947B-C1A1DA91D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20</Pages>
  <Words>5953</Words>
  <Characters>31195</Characters>
  <Application>Microsoft Office Word</Application>
  <DocSecurity>0</DocSecurity>
  <Lines>693</Lines>
  <Paragraphs>382</Paragraphs>
  <ScaleCrop>false</ScaleCrop>
  <Company/>
  <LinksUpToDate>false</LinksUpToDate>
  <CharactersWithSpaces>36766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Dolly</dc:creator>
  <cp:keywords/>
  <dc:description/>
  <cp:lastModifiedBy>Dolly</cp:lastModifiedBy>
  <cp:revision>48</cp:revision>
  <dcterms:created xsi:type="dcterms:W3CDTF">2026-02-22T01:04:00Z</dcterms:created>
  <dcterms:modified xsi:type="dcterms:W3CDTF">2026-02-21T16:55:00Z</dcterms:modified>
</cp:coreProperties>
</file>