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F3E" w14:textId="77777777" w:rsidR="00CB5BD4" w:rsidRPr="00BB5715" w:rsidRDefault="00CB5BD4" w:rsidP="00532E7E">
      <w:pPr>
        <w:spacing w:after="120" w:line="276" w:lineRule="auto"/>
        <w:rPr>
          <w:rFonts w:ascii="Calibri" w:hAnsi="Calibri" w:cs="Calibri"/>
        </w:rPr>
      </w:pPr>
    </w:p>
    <w:p w14:paraId="39F79DA5" w14:textId="25AA26D0" w:rsidR="00FD142A" w:rsidRPr="00E643CB" w:rsidRDefault="00FD142A" w:rsidP="00FD142A">
      <w:pPr>
        <w:spacing w:after="120" w:line="276" w:lineRule="auto"/>
        <w:jc w:val="center"/>
        <w:rPr>
          <w:rFonts w:ascii="Calibri" w:hAnsi="Calibri" w:cs="Calibri"/>
          <w:b/>
          <w:bCs/>
          <w:lang w:bidi="en-US"/>
        </w:rPr>
      </w:pPr>
      <w:r w:rsidRPr="00E643CB">
        <w:rPr>
          <w:rFonts w:ascii="Calibri" w:hAnsi="Calibri" w:cs="Calibri"/>
          <w:b/>
          <w:bCs/>
          <w:lang w:val="en-US" w:bidi="en-US"/>
        </w:rPr>
        <w:t>PART A – RECOMMENDATIONS ON KEY ISSUES IN DRAFT IT RULES 2026</w:t>
      </w:r>
    </w:p>
    <w:p w14:paraId="4EC8F5CD" w14:textId="4132F054" w:rsidR="00E90B6D" w:rsidRPr="00E643CB" w:rsidRDefault="00E90B6D" w:rsidP="00532E7E">
      <w:pPr>
        <w:spacing w:after="120" w:line="276" w:lineRule="auto"/>
        <w:jc w:val="center"/>
        <w:rPr>
          <w:rFonts w:ascii="Calibri" w:hAnsi="Calibri" w:cs="Calibri"/>
          <w:b/>
          <w:lang w:val="en-US" w:bidi="en-US"/>
        </w:rPr>
      </w:pPr>
      <w:r w:rsidRPr="00E643CB">
        <w:rPr>
          <w:rFonts w:ascii="Calibri" w:hAnsi="Calibri" w:cs="Calibri"/>
          <w:b/>
          <w:lang w:val="en-US" w:bidi="en-US"/>
        </w:rPr>
        <w:t>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231"/>
        <w:gridCol w:w="971"/>
      </w:tblGrid>
      <w:tr w:rsidR="00F50EC4" w:rsidRPr="00B20877" w14:paraId="069327E1" w14:textId="77777777" w:rsidTr="00D55363">
        <w:trPr>
          <w:trHeight w:val="290"/>
        </w:trPr>
        <w:tc>
          <w:tcPr>
            <w:tcW w:w="267" w:type="pct"/>
            <w:shd w:val="clear" w:color="000000" w:fill="BFBFBF"/>
            <w:noWrap/>
            <w:vAlign w:val="center"/>
            <w:hideMark/>
          </w:tcPr>
          <w:p w14:paraId="16F548EB" w14:textId="77777777" w:rsidR="00B20877" w:rsidRPr="00B20877" w:rsidRDefault="00B20877" w:rsidP="00716648">
            <w:pPr>
              <w:spacing w:after="0" w:line="240" w:lineRule="auto"/>
              <w:rPr>
                <w:rFonts w:ascii="Calibri" w:eastAsia="Times New Roman" w:hAnsi="Calibri" w:cs="Calibri"/>
                <w:b/>
                <w:bCs/>
                <w:color w:val="000000"/>
                <w:kern w:val="0"/>
                <w:lang w:val="en-GB" w:eastAsia="en-GB"/>
                <w14:ligatures w14:val="none"/>
              </w:rPr>
            </w:pPr>
            <w:r w:rsidRPr="00B20877">
              <w:rPr>
                <w:rFonts w:ascii="Calibri" w:eastAsia="Times New Roman" w:hAnsi="Calibri" w:cs="Calibri"/>
                <w:b/>
                <w:bCs/>
                <w:color w:val="000000"/>
                <w:kern w:val="0"/>
                <w:lang w:val="en-GB" w:eastAsia="en-GB"/>
                <w14:ligatures w14:val="none"/>
              </w:rPr>
              <w:t>Sl. No</w:t>
            </w:r>
          </w:p>
        </w:tc>
        <w:tc>
          <w:tcPr>
            <w:tcW w:w="4384" w:type="pct"/>
            <w:shd w:val="clear" w:color="000000" w:fill="BFBFBF"/>
            <w:vAlign w:val="center"/>
            <w:hideMark/>
          </w:tcPr>
          <w:p w14:paraId="5AFB0C40" w14:textId="77777777" w:rsidR="00B20877" w:rsidRPr="00B20877" w:rsidRDefault="00B20877" w:rsidP="00716648">
            <w:pPr>
              <w:spacing w:after="0" w:line="240" w:lineRule="auto"/>
              <w:rPr>
                <w:rFonts w:ascii="Calibri" w:eastAsia="Times New Roman" w:hAnsi="Calibri" w:cs="Calibri"/>
                <w:b/>
                <w:bCs/>
                <w:color w:val="000000"/>
                <w:kern w:val="0"/>
                <w:lang w:val="en-GB" w:eastAsia="en-GB"/>
                <w14:ligatures w14:val="none"/>
              </w:rPr>
            </w:pPr>
            <w:r w:rsidRPr="00B20877">
              <w:rPr>
                <w:rFonts w:ascii="Calibri" w:eastAsia="Times New Roman" w:hAnsi="Calibri" w:cs="Calibri"/>
                <w:b/>
                <w:bCs/>
                <w:color w:val="000000"/>
                <w:kern w:val="0"/>
                <w:lang w:val="en-GB" w:eastAsia="en-GB"/>
                <w14:ligatures w14:val="none"/>
              </w:rPr>
              <w:t>Particulars</w:t>
            </w:r>
          </w:p>
        </w:tc>
        <w:tc>
          <w:tcPr>
            <w:tcW w:w="348" w:type="pct"/>
            <w:shd w:val="clear" w:color="000000" w:fill="BFBFBF"/>
            <w:noWrap/>
            <w:vAlign w:val="center"/>
            <w:hideMark/>
          </w:tcPr>
          <w:p w14:paraId="6C11EBE2" w14:textId="77777777" w:rsidR="00B20877" w:rsidRPr="00B20877" w:rsidRDefault="00B20877" w:rsidP="00716648">
            <w:pPr>
              <w:spacing w:after="0" w:line="240" w:lineRule="auto"/>
              <w:rPr>
                <w:rFonts w:ascii="Calibri" w:eastAsia="Times New Roman" w:hAnsi="Calibri" w:cs="Calibri"/>
                <w:b/>
                <w:bCs/>
                <w:color w:val="000000"/>
                <w:kern w:val="0"/>
                <w:lang w:val="en-GB" w:eastAsia="en-GB"/>
                <w14:ligatures w14:val="none"/>
              </w:rPr>
            </w:pPr>
            <w:r w:rsidRPr="00B20877">
              <w:rPr>
                <w:rFonts w:ascii="Calibri" w:eastAsia="Times New Roman" w:hAnsi="Calibri" w:cs="Calibri"/>
                <w:b/>
                <w:bCs/>
                <w:color w:val="000000"/>
                <w:kern w:val="0"/>
                <w:lang w:val="en-GB" w:eastAsia="en-GB"/>
                <w14:ligatures w14:val="none"/>
              </w:rPr>
              <w:t>Page No</w:t>
            </w:r>
          </w:p>
        </w:tc>
      </w:tr>
      <w:tr w:rsidR="00F50EC4" w:rsidRPr="00B20877" w14:paraId="788F720B" w14:textId="77777777" w:rsidTr="00D55363">
        <w:trPr>
          <w:trHeight w:val="60"/>
        </w:trPr>
        <w:tc>
          <w:tcPr>
            <w:tcW w:w="267" w:type="pct"/>
            <w:noWrap/>
            <w:vAlign w:val="center"/>
            <w:hideMark/>
          </w:tcPr>
          <w:p w14:paraId="566D9012"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w:t>
            </w:r>
          </w:p>
        </w:tc>
        <w:tc>
          <w:tcPr>
            <w:tcW w:w="4384" w:type="pct"/>
            <w:vAlign w:val="center"/>
            <w:hideMark/>
          </w:tcPr>
          <w:p w14:paraId="443CD842" w14:textId="5BAE5853"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Computation of period of stay in India for an Indian Citizen being a member of the crew of a foreign bound ship</w:t>
            </w:r>
          </w:p>
        </w:tc>
        <w:tc>
          <w:tcPr>
            <w:tcW w:w="348" w:type="pct"/>
            <w:noWrap/>
            <w:vAlign w:val="center"/>
            <w:hideMark/>
          </w:tcPr>
          <w:p w14:paraId="6D412E05" w14:textId="1DCA9B4B"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5</w:t>
            </w:r>
          </w:p>
        </w:tc>
      </w:tr>
      <w:tr w:rsidR="00F50EC4" w:rsidRPr="00B20877" w14:paraId="16A21F86" w14:textId="77777777" w:rsidTr="00D55363">
        <w:trPr>
          <w:trHeight w:val="290"/>
        </w:trPr>
        <w:tc>
          <w:tcPr>
            <w:tcW w:w="267" w:type="pct"/>
            <w:noWrap/>
            <w:vAlign w:val="center"/>
            <w:hideMark/>
          </w:tcPr>
          <w:p w14:paraId="3217167E"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w:t>
            </w:r>
          </w:p>
        </w:tc>
        <w:tc>
          <w:tcPr>
            <w:tcW w:w="4384" w:type="pct"/>
            <w:vAlign w:val="center"/>
            <w:hideMark/>
          </w:tcPr>
          <w:p w14:paraId="3AC6BB69" w14:textId="5E7F9EA9"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Perquisite valuation for electric motor vehicles</w:t>
            </w:r>
          </w:p>
        </w:tc>
        <w:tc>
          <w:tcPr>
            <w:tcW w:w="348" w:type="pct"/>
            <w:noWrap/>
            <w:vAlign w:val="center"/>
            <w:hideMark/>
          </w:tcPr>
          <w:p w14:paraId="75108A9A" w14:textId="00E9FCCF"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9F61B5">
              <w:rPr>
                <w:rFonts w:ascii="Calibri" w:eastAsia="Times New Roman" w:hAnsi="Calibri" w:cs="Calibri"/>
                <w:color w:val="000000"/>
                <w:kern w:val="0"/>
                <w:lang w:val="en-GB" w:eastAsia="en-GB"/>
                <w14:ligatures w14:val="none"/>
              </w:rPr>
              <w:t>5</w:t>
            </w:r>
          </w:p>
        </w:tc>
      </w:tr>
      <w:tr w:rsidR="00F50EC4" w:rsidRPr="00B20877" w14:paraId="77DA0C7C" w14:textId="77777777" w:rsidTr="00D55363">
        <w:trPr>
          <w:trHeight w:val="165"/>
        </w:trPr>
        <w:tc>
          <w:tcPr>
            <w:tcW w:w="267" w:type="pct"/>
            <w:noWrap/>
            <w:vAlign w:val="center"/>
            <w:hideMark/>
          </w:tcPr>
          <w:p w14:paraId="64A0089B"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w:t>
            </w:r>
          </w:p>
        </w:tc>
        <w:tc>
          <w:tcPr>
            <w:tcW w:w="4384" w:type="pct"/>
            <w:vAlign w:val="center"/>
            <w:hideMark/>
          </w:tcPr>
          <w:p w14:paraId="6A771399" w14:textId="46B3C6BD"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Introduce Exception for newly incorporated entities to file application under S. 35 of ITA 1961 (S. 45 of ITA 2025)</w:t>
            </w:r>
          </w:p>
        </w:tc>
        <w:tc>
          <w:tcPr>
            <w:tcW w:w="348" w:type="pct"/>
            <w:noWrap/>
            <w:vAlign w:val="center"/>
            <w:hideMark/>
          </w:tcPr>
          <w:p w14:paraId="7537C6FF" w14:textId="1DC3F078"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7</w:t>
            </w:r>
          </w:p>
        </w:tc>
      </w:tr>
      <w:tr w:rsidR="00F50EC4" w:rsidRPr="00B20877" w14:paraId="774C9999" w14:textId="77777777" w:rsidTr="00D55363">
        <w:trPr>
          <w:trHeight w:val="60"/>
        </w:trPr>
        <w:tc>
          <w:tcPr>
            <w:tcW w:w="267" w:type="pct"/>
            <w:noWrap/>
            <w:vAlign w:val="center"/>
            <w:hideMark/>
          </w:tcPr>
          <w:p w14:paraId="031DE7F6"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w:t>
            </w:r>
          </w:p>
        </w:tc>
        <w:tc>
          <w:tcPr>
            <w:tcW w:w="4384" w:type="pct"/>
            <w:vAlign w:val="center"/>
            <w:hideMark/>
          </w:tcPr>
          <w:p w14:paraId="2D588609" w14:textId="4B87CEA4"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Withdrawal of approval under S. 35 of ITA 1961 (S. 45 of ITA 2025)</w:t>
            </w:r>
          </w:p>
        </w:tc>
        <w:tc>
          <w:tcPr>
            <w:tcW w:w="348" w:type="pct"/>
            <w:noWrap/>
            <w:vAlign w:val="center"/>
            <w:hideMark/>
          </w:tcPr>
          <w:p w14:paraId="381ACD8E" w14:textId="60DC251C"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917E69">
              <w:rPr>
                <w:rFonts w:ascii="Calibri" w:eastAsia="Times New Roman" w:hAnsi="Calibri" w:cs="Calibri"/>
                <w:color w:val="000000"/>
                <w:kern w:val="0"/>
                <w:lang w:val="en-GB" w:eastAsia="en-GB"/>
                <w14:ligatures w14:val="none"/>
              </w:rPr>
              <w:t>7</w:t>
            </w:r>
          </w:p>
        </w:tc>
      </w:tr>
      <w:tr w:rsidR="00F50EC4" w:rsidRPr="00B20877" w14:paraId="397D6585" w14:textId="77777777" w:rsidTr="00D55363">
        <w:trPr>
          <w:trHeight w:val="60"/>
        </w:trPr>
        <w:tc>
          <w:tcPr>
            <w:tcW w:w="267" w:type="pct"/>
            <w:noWrap/>
            <w:vAlign w:val="center"/>
            <w:hideMark/>
          </w:tcPr>
          <w:p w14:paraId="50AD7AB1"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w:t>
            </w:r>
          </w:p>
        </w:tc>
        <w:tc>
          <w:tcPr>
            <w:tcW w:w="4384" w:type="pct"/>
            <w:vAlign w:val="center"/>
            <w:hideMark/>
          </w:tcPr>
          <w:p w14:paraId="2A48B8BC" w14:textId="038750F5"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42 to be extended to NBFCs and Classification of NPAs to be aligned with RBI guidelines</w:t>
            </w:r>
          </w:p>
        </w:tc>
        <w:tc>
          <w:tcPr>
            <w:tcW w:w="348" w:type="pct"/>
            <w:noWrap/>
            <w:vAlign w:val="center"/>
            <w:hideMark/>
          </w:tcPr>
          <w:p w14:paraId="42E3D55F" w14:textId="1AFFC9AA"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8</w:t>
            </w:r>
          </w:p>
        </w:tc>
      </w:tr>
      <w:tr w:rsidR="00F50EC4" w:rsidRPr="00B20877" w14:paraId="697FBB5A" w14:textId="77777777" w:rsidTr="00D55363">
        <w:trPr>
          <w:trHeight w:val="60"/>
        </w:trPr>
        <w:tc>
          <w:tcPr>
            <w:tcW w:w="267" w:type="pct"/>
            <w:noWrap/>
            <w:vAlign w:val="center"/>
            <w:hideMark/>
          </w:tcPr>
          <w:p w14:paraId="1AAC6826"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w:t>
            </w:r>
          </w:p>
        </w:tc>
        <w:tc>
          <w:tcPr>
            <w:tcW w:w="4384" w:type="pct"/>
            <w:vAlign w:val="center"/>
            <w:hideMark/>
          </w:tcPr>
          <w:p w14:paraId="6324428F" w14:textId="243CCFCC"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No additional conditions to be prescribed in addition to those prescribed in S. 61 of ITA 2025 (corresponding to S. 44BBD of ITA 1961)</w:t>
            </w:r>
          </w:p>
        </w:tc>
        <w:tc>
          <w:tcPr>
            <w:tcW w:w="348" w:type="pct"/>
            <w:noWrap/>
            <w:vAlign w:val="center"/>
            <w:hideMark/>
          </w:tcPr>
          <w:p w14:paraId="011A501B" w14:textId="637A76CF"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F25FB6">
              <w:rPr>
                <w:rFonts w:ascii="Calibri" w:eastAsia="Times New Roman" w:hAnsi="Calibri" w:cs="Calibri"/>
                <w:color w:val="000000"/>
                <w:kern w:val="0"/>
                <w:lang w:val="en-GB" w:eastAsia="en-GB"/>
                <w14:ligatures w14:val="none"/>
              </w:rPr>
              <w:t>9</w:t>
            </w:r>
          </w:p>
        </w:tc>
      </w:tr>
      <w:tr w:rsidR="00F50EC4" w:rsidRPr="00B20877" w14:paraId="18A8696B" w14:textId="77777777" w:rsidTr="00D55363">
        <w:trPr>
          <w:trHeight w:val="60"/>
        </w:trPr>
        <w:tc>
          <w:tcPr>
            <w:tcW w:w="267" w:type="pct"/>
            <w:noWrap/>
            <w:vAlign w:val="center"/>
            <w:hideMark/>
          </w:tcPr>
          <w:p w14:paraId="64435797"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w:t>
            </w:r>
          </w:p>
        </w:tc>
        <w:tc>
          <w:tcPr>
            <w:tcW w:w="4384" w:type="pct"/>
            <w:vAlign w:val="center"/>
            <w:hideMark/>
          </w:tcPr>
          <w:p w14:paraId="068436BE" w14:textId="1088F9C4"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Requirement for updating books on daily basis to be removed</w:t>
            </w:r>
          </w:p>
        </w:tc>
        <w:tc>
          <w:tcPr>
            <w:tcW w:w="348" w:type="pct"/>
            <w:noWrap/>
            <w:vAlign w:val="center"/>
            <w:hideMark/>
          </w:tcPr>
          <w:p w14:paraId="1934C64E" w14:textId="2DC87502"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1</w:t>
            </w:r>
            <w:r w:rsidR="00BA17CA">
              <w:rPr>
                <w:rFonts w:ascii="Calibri" w:eastAsia="Times New Roman" w:hAnsi="Calibri" w:cs="Calibri"/>
                <w:color w:val="000000"/>
                <w:kern w:val="0"/>
                <w:lang w:val="en-GB" w:eastAsia="en-GB"/>
                <w14:ligatures w14:val="none"/>
              </w:rPr>
              <w:t>0</w:t>
            </w:r>
          </w:p>
        </w:tc>
      </w:tr>
      <w:tr w:rsidR="00F50EC4" w:rsidRPr="00B20877" w14:paraId="4492CABE" w14:textId="77777777" w:rsidTr="00D55363">
        <w:trPr>
          <w:trHeight w:val="60"/>
        </w:trPr>
        <w:tc>
          <w:tcPr>
            <w:tcW w:w="267" w:type="pct"/>
            <w:noWrap/>
            <w:vAlign w:val="center"/>
            <w:hideMark/>
          </w:tcPr>
          <w:p w14:paraId="0FE0E180"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w:t>
            </w:r>
          </w:p>
        </w:tc>
        <w:tc>
          <w:tcPr>
            <w:tcW w:w="4384" w:type="pct"/>
            <w:vAlign w:val="center"/>
            <w:hideMark/>
          </w:tcPr>
          <w:p w14:paraId="4137A4BF" w14:textId="2EE5AB2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No. 3CEA (referred in R. 6H r.w. S. 50B(3)) Form No. 28 (referred in R. 54 r.w. S. 77(4))</w:t>
            </w:r>
          </w:p>
        </w:tc>
        <w:tc>
          <w:tcPr>
            <w:tcW w:w="348" w:type="pct"/>
            <w:noWrap/>
            <w:vAlign w:val="center"/>
            <w:hideMark/>
          </w:tcPr>
          <w:p w14:paraId="0EB8048A" w14:textId="6460B089"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1</w:t>
            </w:r>
            <w:r w:rsidR="00556F1A">
              <w:rPr>
                <w:rFonts w:ascii="Calibri" w:eastAsia="Times New Roman" w:hAnsi="Calibri" w:cs="Calibri"/>
                <w:color w:val="000000"/>
                <w:kern w:val="0"/>
                <w:lang w:val="en-GB" w:eastAsia="en-GB"/>
                <w14:ligatures w14:val="none"/>
              </w:rPr>
              <w:t>1</w:t>
            </w:r>
          </w:p>
        </w:tc>
      </w:tr>
      <w:tr w:rsidR="00F50EC4" w:rsidRPr="00B20877" w14:paraId="108C7A8E" w14:textId="77777777" w:rsidTr="00D55363">
        <w:trPr>
          <w:trHeight w:val="290"/>
        </w:trPr>
        <w:tc>
          <w:tcPr>
            <w:tcW w:w="267" w:type="pct"/>
            <w:noWrap/>
            <w:vAlign w:val="center"/>
            <w:hideMark/>
          </w:tcPr>
          <w:p w14:paraId="4E78C618"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w:t>
            </w:r>
          </w:p>
        </w:tc>
        <w:tc>
          <w:tcPr>
            <w:tcW w:w="4384" w:type="pct"/>
            <w:vAlign w:val="center"/>
            <w:hideMark/>
          </w:tcPr>
          <w:p w14:paraId="0A547637" w14:textId="079F3E8E"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Author claiming deduction (Royalty from books)</w:t>
            </w:r>
          </w:p>
        </w:tc>
        <w:tc>
          <w:tcPr>
            <w:tcW w:w="348" w:type="pct"/>
            <w:noWrap/>
            <w:vAlign w:val="center"/>
            <w:hideMark/>
          </w:tcPr>
          <w:p w14:paraId="6547DA3E" w14:textId="623EDB6B"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97841">
              <w:rPr>
                <w:rFonts w:ascii="Calibri" w:eastAsia="Times New Roman" w:hAnsi="Calibri" w:cs="Calibri"/>
                <w:color w:val="000000"/>
                <w:kern w:val="0"/>
                <w:lang w:val="en-GB" w:eastAsia="en-GB"/>
                <w14:ligatures w14:val="none"/>
              </w:rPr>
              <w:t>13</w:t>
            </w:r>
          </w:p>
        </w:tc>
      </w:tr>
      <w:tr w:rsidR="00F50EC4" w:rsidRPr="00B20877" w14:paraId="4D3C92D9" w14:textId="77777777" w:rsidTr="00D55363">
        <w:trPr>
          <w:trHeight w:val="60"/>
        </w:trPr>
        <w:tc>
          <w:tcPr>
            <w:tcW w:w="267" w:type="pct"/>
            <w:noWrap/>
            <w:vAlign w:val="center"/>
            <w:hideMark/>
          </w:tcPr>
          <w:p w14:paraId="784660FD"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10</w:t>
            </w:r>
          </w:p>
        </w:tc>
        <w:tc>
          <w:tcPr>
            <w:tcW w:w="4384" w:type="pct"/>
            <w:vAlign w:val="center"/>
            <w:hideMark/>
          </w:tcPr>
          <w:p w14:paraId="3F03CE16" w14:textId="3287640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TRC to be made sufficient if specified information is included in it.</w:t>
            </w:r>
          </w:p>
        </w:tc>
        <w:tc>
          <w:tcPr>
            <w:tcW w:w="348" w:type="pct"/>
            <w:noWrap/>
            <w:vAlign w:val="center"/>
            <w:hideMark/>
          </w:tcPr>
          <w:p w14:paraId="1005E55B" w14:textId="05D2EF9F"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0A7D45">
              <w:rPr>
                <w:rFonts w:ascii="Calibri" w:eastAsia="Times New Roman" w:hAnsi="Calibri" w:cs="Calibri"/>
                <w:color w:val="000000"/>
                <w:kern w:val="0"/>
                <w:lang w:val="en-GB" w:eastAsia="en-GB"/>
                <w14:ligatures w14:val="none"/>
              </w:rPr>
              <w:t>1</w:t>
            </w:r>
            <w:r w:rsidR="00FC5AE3">
              <w:rPr>
                <w:rFonts w:ascii="Calibri" w:eastAsia="Times New Roman" w:hAnsi="Calibri" w:cs="Calibri"/>
                <w:color w:val="000000"/>
                <w:kern w:val="0"/>
                <w:lang w:val="en-GB" w:eastAsia="en-GB"/>
                <w14:ligatures w14:val="none"/>
              </w:rPr>
              <w:t>3</w:t>
            </w:r>
          </w:p>
        </w:tc>
      </w:tr>
      <w:tr w:rsidR="00F50EC4" w:rsidRPr="00B20877" w14:paraId="7FC61D43" w14:textId="77777777" w:rsidTr="00D55363">
        <w:trPr>
          <w:trHeight w:val="60"/>
        </w:trPr>
        <w:tc>
          <w:tcPr>
            <w:tcW w:w="267" w:type="pct"/>
            <w:noWrap/>
            <w:vAlign w:val="center"/>
            <w:hideMark/>
          </w:tcPr>
          <w:p w14:paraId="27DA70EA"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11</w:t>
            </w:r>
          </w:p>
        </w:tc>
        <w:tc>
          <w:tcPr>
            <w:tcW w:w="4384" w:type="pct"/>
            <w:vAlign w:val="center"/>
            <w:hideMark/>
          </w:tcPr>
          <w:p w14:paraId="022A91EF" w14:textId="62D48F1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Remove requirement of certification by accountant in case of foreign remittances</w:t>
            </w:r>
          </w:p>
        </w:tc>
        <w:tc>
          <w:tcPr>
            <w:tcW w:w="348" w:type="pct"/>
            <w:noWrap/>
            <w:vAlign w:val="center"/>
            <w:hideMark/>
          </w:tcPr>
          <w:p w14:paraId="362D37E5" w14:textId="26F2CB05"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0A7D45">
              <w:rPr>
                <w:rFonts w:ascii="Calibri" w:eastAsia="Times New Roman" w:hAnsi="Calibri" w:cs="Calibri"/>
                <w:color w:val="000000"/>
                <w:kern w:val="0"/>
                <w:lang w:val="en-GB" w:eastAsia="en-GB"/>
                <w14:ligatures w14:val="none"/>
              </w:rPr>
              <w:t>1</w:t>
            </w:r>
            <w:r w:rsidR="00FB0F48">
              <w:rPr>
                <w:rFonts w:ascii="Calibri" w:eastAsia="Times New Roman" w:hAnsi="Calibri" w:cs="Calibri"/>
                <w:color w:val="000000"/>
                <w:kern w:val="0"/>
                <w:lang w:val="en-GB" w:eastAsia="en-GB"/>
                <w14:ligatures w14:val="none"/>
              </w:rPr>
              <w:t>4</w:t>
            </w:r>
          </w:p>
        </w:tc>
      </w:tr>
      <w:tr w:rsidR="00F50EC4" w:rsidRPr="00B20877" w14:paraId="1C6B332E" w14:textId="77777777" w:rsidTr="00D55363">
        <w:trPr>
          <w:trHeight w:val="60"/>
        </w:trPr>
        <w:tc>
          <w:tcPr>
            <w:tcW w:w="267" w:type="pct"/>
            <w:noWrap/>
            <w:vAlign w:val="center"/>
            <w:hideMark/>
          </w:tcPr>
          <w:p w14:paraId="6E5D98B6"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12</w:t>
            </w:r>
          </w:p>
        </w:tc>
        <w:tc>
          <w:tcPr>
            <w:tcW w:w="4384" w:type="pct"/>
            <w:vAlign w:val="center"/>
            <w:hideMark/>
          </w:tcPr>
          <w:p w14:paraId="17B8643F" w14:textId="4A08CEE0"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Extension of time limit for application of block assessment</w:t>
            </w:r>
          </w:p>
        </w:tc>
        <w:tc>
          <w:tcPr>
            <w:tcW w:w="348" w:type="pct"/>
            <w:noWrap/>
            <w:vAlign w:val="center"/>
            <w:hideMark/>
          </w:tcPr>
          <w:p w14:paraId="17EA8E8B" w14:textId="29867655"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0A7D45">
              <w:rPr>
                <w:rFonts w:ascii="Calibri" w:eastAsia="Times New Roman" w:hAnsi="Calibri" w:cs="Calibri"/>
                <w:color w:val="000000"/>
                <w:kern w:val="0"/>
                <w:lang w:val="en-GB" w:eastAsia="en-GB"/>
                <w14:ligatures w14:val="none"/>
              </w:rPr>
              <w:t>16</w:t>
            </w:r>
          </w:p>
        </w:tc>
      </w:tr>
      <w:tr w:rsidR="00F50EC4" w:rsidRPr="00B20877" w14:paraId="54450B68" w14:textId="77777777" w:rsidTr="00D55363">
        <w:trPr>
          <w:trHeight w:val="60"/>
        </w:trPr>
        <w:tc>
          <w:tcPr>
            <w:tcW w:w="267" w:type="pct"/>
            <w:noWrap/>
            <w:vAlign w:val="center"/>
            <w:hideMark/>
          </w:tcPr>
          <w:p w14:paraId="57972687"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13</w:t>
            </w:r>
          </w:p>
        </w:tc>
        <w:tc>
          <w:tcPr>
            <w:tcW w:w="4384" w:type="pct"/>
            <w:vAlign w:val="center"/>
            <w:hideMark/>
          </w:tcPr>
          <w:p w14:paraId="5CADF96F" w14:textId="7A541BBC"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Specify timeline for passing of order by commissioner in case of block assessment</w:t>
            </w:r>
          </w:p>
        </w:tc>
        <w:tc>
          <w:tcPr>
            <w:tcW w:w="348" w:type="pct"/>
            <w:noWrap/>
            <w:vAlign w:val="center"/>
            <w:hideMark/>
          </w:tcPr>
          <w:p w14:paraId="194702D9" w14:textId="5A1F64C1"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0A7D45">
              <w:rPr>
                <w:rFonts w:ascii="Calibri" w:eastAsia="Times New Roman" w:hAnsi="Calibri" w:cs="Calibri"/>
                <w:color w:val="000000"/>
                <w:kern w:val="0"/>
                <w:lang w:val="en-GB" w:eastAsia="en-GB"/>
                <w14:ligatures w14:val="none"/>
              </w:rPr>
              <w:t>1</w:t>
            </w:r>
            <w:r w:rsidR="007B243C">
              <w:rPr>
                <w:rFonts w:ascii="Calibri" w:eastAsia="Times New Roman" w:hAnsi="Calibri" w:cs="Calibri"/>
                <w:color w:val="000000"/>
                <w:kern w:val="0"/>
                <w:lang w:val="en-GB" w:eastAsia="en-GB"/>
                <w14:ligatures w14:val="none"/>
              </w:rPr>
              <w:t>6</w:t>
            </w:r>
          </w:p>
        </w:tc>
      </w:tr>
      <w:tr w:rsidR="00F50EC4" w:rsidRPr="00B20877" w14:paraId="2FF5BECF" w14:textId="77777777" w:rsidTr="00D55363">
        <w:trPr>
          <w:trHeight w:val="60"/>
        </w:trPr>
        <w:tc>
          <w:tcPr>
            <w:tcW w:w="267" w:type="pct"/>
            <w:noWrap/>
            <w:vAlign w:val="center"/>
            <w:hideMark/>
          </w:tcPr>
          <w:p w14:paraId="77D3870B"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14</w:t>
            </w:r>
          </w:p>
        </w:tc>
        <w:tc>
          <w:tcPr>
            <w:tcW w:w="4384" w:type="pct"/>
            <w:vAlign w:val="center"/>
            <w:hideMark/>
          </w:tcPr>
          <w:p w14:paraId="08F0B147" w14:textId="1E3E64E4"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Representations related to Form 48 (erstwhile Form 3CEB)</w:t>
            </w:r>
          </w:p>
        </w:tc>
        <w:tc>
          <w:tcPr>
            <w:tcW w:w="348" w:type="pct"/>
            <w:noWrap/>
            <w:vAlign w:val="center"/>
            <w:hideMark/>
          </w:tcPr>
          <w:p w14:paraId="14CDA313" w14:textId="72E1E546"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55363">
              <w:rPr>
                <w:rFonts w:ascii="Calibri" w:eastAsia="Times New Roman" w:hAnsi="Calibri" w:cs="Calibri"/>
                <w:color w:val="000000"/>
                <w:kern w:val="0"/>
                <w:lang w:val="en-GB" w:eastAsia="en-GB"/>
                <w14:ligatures w14:val="none"/>
              </w:rPr>
              <w:t>17</w:t>
            </w:r>
          </w:p>
        </w:tc>
      </w:tr>
      <w:tr w:rsidR="00D55363" w:rsidRPr="00B20877" w14:paraId="49E191D8" w14:textId="77777777" w:rsidTr="00D55363">
        <w:trPr>
          <w:trHeight w:val="60"/>
        </w:trPr>
        <w:tc>
          <w:tcPr>
            <w:tcW w:w="267" w:type="pct"/>
            <w:noWrap/>
            <w:vAlign w:val="center"/>
            <w:hideMark/>
          </w:tcPr>
          <w:p w14:paraId="01A5D9CE"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15</w:t>
            </w:r>
          </w:p>
        </w:tc>
        <w:tc>
          <w:tcPr>
            <w:tcW w:w="4384" w:type="pct"/>
            <w:vAlign w:val="center"/>
            <w:hideMark/>
          </w:tcPr>
          <w:p w14:paraId="52A155B4" w14:textId="776B02C1"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Recovery of expenses from AEs to be considered as part of operating revenue</w:t>
            </w:r>
          </w:p>
        </w:tc>
        <w:tc>
          <w:tcPr>
            <w:tcW w:w="348" w:type="pct"/>
            <w:noWrap/>
            <w:vAlign w:val="center"/>
            <w:hideMark/>
          </w:tcPr>
          <w:p w14:paraId="1261B821" w14:textId="1DCD986B"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20</w:t>
            </w:r>
          </w:p>
        </w:tc>
      </w:tr>
      <w:tr w:rsidR="00D55363" w:rsidRPr="00B20877" w14:paraId="482E522A" w14:textId="77777777" w:rsidTr="00D55363">
        <w:trPr>
          <w:trHeight w:val="290"/>
        </w:trPr>
        <w:tc>
          <w:tcPr>
            <w:tcW w:w="267" w:type="pct"/>
            <w:noWrap/>
            <w:vAlign w:val="center"/>
            <w:hideMark/>
          </w:tcPr>
          <w:p w14:paraId="6DA4ECB9"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16</w:t>
            </w:r>
          </w:p>
        </w:tc>
        <w:tc>
          <w:tcPr>
            <w:tcW w:w="4384" w:type="pct"/>
            <w:vAlign w:val="center"/>
            <w:hideMark/>
          </w:tcPr>
          <w:p w14:paraId="6B1A6C91" w14:textId="7BD65445"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10TB of IT Rules 1962, Rule 87 of Draft IT Rules 2026</w:t>
            </w:r>
          </w:p>
        </w:tc>
        <w:tc>
          <w:tcPr>
            <w:tcW w:w="348" w:type="pct"/>
            <w:noWrap/>
            <w:vAlign w:val="center"/>
            <w:hideMark/>
          </w:tcPr>
          <w:p w14:paraId="6FC3DE26" w14:textId="52FC6AA3"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20</w:t>
            </w:r>
          </w:p>
        </w:tc>
      </w:tr>
      <w:tr w:rsidR="00D55363" w:rsidRPr="00B20877" w14:paraId="631DA7C0" w14:textId="77777777" w:rsidTr="00D55363">
        <w:trPr>
          <w:trHeight w:val="60"/>
        </w:trPr>
        <w:tc>
          <w:tcPr>
            <w:tcW w:w="267" w:type="pct"/>
            <w:noWrap/>
            <w:vAlign w:val="center"/>
            <w:hideMark/>
          </w:tcPr>
          <w:p w14:paraId="3412E090"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17</w:t>
            </w:r>
          </w:p>
        </w:tc>
        <w:tc>
          <w:tcPr>
            <w:tcW w:w="4384" w:type="pct"/>
            <w:vAlign w:val="center"/>
            <w:hideMark/>
          </w:tcPr>
          <w:p w14:paraId="533DBCD8" w14:textId="0DD31145"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Safe Harbour Rules, Rule 10TD of IT Rules 1962, Rule 89 of Draft IT Rules 2026</w:t>
            </w:r>
          </w:p>
        </w:tc>
        <w:tc>
          <w:tcPr>
            <w:tcW w:w="348" w:type="pct"/>
            <w:noWrap/>
            <w:vAlign w:val="center"/>
            <w:hideMark/>
          </w:tcPr>
          <w:p w14:paraId="02827DB8" w14:textId="1A275DA8"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21</w:t>
            </w:r>
          </w:p>
        </w:tc>
      </w:tr>
      <w:tr w:rsidR="00D55363" w:rsidRPr="00B20877" w14:paraId="615672F5" w14:textId="77777777" w:rsidTr="00D55363">
        <w:trPr>
          <w:trHeight w:val="60"/>
        </w:trPr>
        <w:tc>
          <w:tcPr>
            <w:tcW w:w="267" w:type="pct"/>
            <w:noWrap/>
            <w:vAlign w:val="center"/>
            <w:hideMark/>
          </w:tcPr>
          <w:p w14:paraId="03B95B87"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18</w:t>
            </w:r>
          </w:p>
        </w:tc>
        <w:tc>
          <w:tcPr>
            <w:tcW w:w="4384" w:type="pct"/>
            <w:vAlign w:val="center"/>
            <w:hideMark/>
          </w:tcPr>
          <w:p w14:paraId="78F90E4D" w14:textId="4288C641"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Safe Harbour Rules, Rule 10TE of IT Rules 1962, Rule 90 and 91 of Draft IT Rules 2026</w:t>
            </w:r>
          </w:p>
        </w:tc>
        <w:tc>
          <w:tcPr>
            <w:tcW w:w="348" w:type="pct"/>
            <w:noWrap/>
            <w:vAlign w:val="center"/>
            <w:hideMark/>
          </w:tcPr>
          <w:p w14:paraId="05A68C06" w14:textId="1268F544"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22</w:t>
            </w:r>
          </w:p>
        </w:tc>
      </w:tr>
      <w:tr w:rsidR="00D55363" w:rsidRPr="00B20877" w14:paraId="3BA2AB92" w14:textId="77777777" w:rsidTr="00D55363">
        <w:trPr>
          <w:trHeight w:val="60"/>
        </w:trPr>
        <w:tc>
          <w:tcPr>
            <w:tcW w:w="267" w:type="pct"/>
            <w:noWrap/>
            <w:vAlign w:val="center"/>
            <w:hideMark/>
          </w:tcPr>
          <w:p w14:paraId="4C85045C"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19</w:t>
            </w:r>
          </w:p>
        </w:tc>
        <w:tc>
          <w:tcPr>
            <w:tcW w:w="4384" w:type="pct"/>
            <w:vAlign w:val="center"/>
            <w:hideMark/>
          </w:tcPr>
          <w:p w14:paraId="260511B8" w14:textId="32486B8D"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Application of roll-back in cases where orders have been set aside by the Tribunal.</w:t>
            </w:r>
          </w:p>
        </w:tc>
        <w:tc>
          <w:tcPr>
            <w:tcW w:w="348" w:type="pct"/>
            <w:noWrap/>
            <w:vAlign w:val="center"/>
            <w:hideMark/>
          </w:tcPr>
          <w:p w14:paraId="2B858095" w14:textId="1343F5DF"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24</w:t>
            </w:r>
          </w:p>
        </w:tc>
      </w:tr>
      <w:tr w:rsidR="00D55363" w:rsidRPr="00B20877" w14:paraId="6B08325B" w14:textId="77777777" w:rsidTr="00D55363">
        <w:trPr>
          <w:trHeight w:val="60"/>
        </w:trPr>
        <w:tc>
          <w:tcPr>
            <w:tcW w:w="267" w:type="pct"/>
            <w:noWrap/>
            <w:vAlign w:val="center"/>
            <w:hideMark/>
          </w:tcPr>
          <w:p w14:paraId="6A9CD8E7"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20</w:t>
            </w:r>
          </w:p>
        </w:tc>
        <w:tc>
          <w:tcPr>
            <w:tcW w:w="4384" w:type="pct"/>
            <w:vAlign w:val="center"/>
            <w:hideMark/>
          </w:tcPr>
          <w:p w14:paraId="1E3A0018" w14:textId="56DAD214"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Copy of TPO’s ACR audit report to be shared with the assessee</w:t>
            </w:r>
          </w:p>
        </w:tc>
        <w:tc>
          <w:tcPr>
            <w:tcW w:w="348" w:type="pct"/>
            <w:noWrap/>
            <w:vAlign w:val="center"/>
            <w:hideMark/>
          </w:tcPr>
          <w:p w14:paraId="32225AF5" w14:textId="35605082"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w:t>
            </w:r>
            <w:r w:rsidR="00A9722E">
              <w:rPr>
                <w:rFonts w:ascii="Calibri" w:eastAsia="Times New Roman" w:hAnsi="Calibri" w:cs="Calibri"/>
                <w:color w:val="000000"/>
                <w:kern w:val="0"/>
                <w:lang w:val="en-GB" w:eastAsia="en-GB"/>
                <w14:ligatures w14:val="none"/>
              </w:rPr>
              <w:t>4</w:t>
            </w:r>
          </w:p>
        </w:tc>
      </w:tr>
      <w:tr w:rsidR="00D55363" w:rsidRPr="00B20877" w14:paraId="064B87A6" w14:textId="77777777" w:rsidTr="00D55363">
        <w:trPr>
          <w:trHeight w:val="60"/>
        </w:trPr>
        <w:tc>
          <w:tcPr>
            <w:tcW w:w="267" w:type="pct"/>
            <w:noWrap/>
            <w:vAlign w:val="center"/>
            <w:hideMark/>
          </w:tcPr>
          <w:p w14:paraId="3480C698"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21</w:t>
            </w:r>
          </w:p>
        </w:tc>
        <w:tc>
          <w:tcPr>
            <w:tcW w:w="4384" w:type="pct"/>
            <w:vAlign w:val="center"/>
            <w:hideMark/>
          </w:tcPr>
          <w:p w14:paraId="4B4F80AC" w14:textId="73A69390"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Clarification to be provided on treatment of penalties arising from issues resolved under MAP</w:t>
            </w:r>
          </w:p>
        </w:tc>
        <w:tc>
          <w:tcPr>
            <w:tcW w:w="348" w:type="pct"/>
            <w:noWrap/>
            <w:vAlign w:val="center"/>
            <w:hideMark/>
          </w:tcPr>
          <w:p w14:paraId="44081CF4" w14:textId="35F5A312"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25</w:t>
            </w:r>
          </w:p>
        </w:tc>
      </w:tr>
      <w:tr w:rsidR="00D55363" w:rsidRPr="00B20877" w14:paraId="220F1335" w14:textId="77777777" w:rsidTr="00D55363">
        <w:trPr>
          <w:trHeight w:val="60"/>
        </w:trPr>
        <w:tc>
          <w:tcPr>
            <w:tcW w:w="267" w:type="pct"/>
            <w:noWrap/>
            <w:vAlign w:val="center"/>
            <w:hideMark/>
          </w:tcPr>
          <w:p w14:paraId="1A9F97F7"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22</w:t>
            </w:r>
          </w:p>
        </w:tc>
        <w:tc>
          <w:tcPr>
            <w:tcW w:w="4384" w:type="pct"/>
            <w:vAlign w:val="center"/>
            <w:hideMark/>
          </w:tcPr>
          <w:p w14:paraId="77959C18" w14:textId="5374C5F8"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Amend rule 121 to include that CIT(A) to notify taxpayer regarding acceptance of the withdrawal of an appeal</w:t>
            </w:r>
          </w:p>
        </w:tc>
        <w:tc>
          <w:tcPr>
            <w:tcW w:w="348" w:type="pct"/>
            <w:noWrap/>
            <w:vAlign w:val="center"/>
            <w:hideMark/>
          </w:tcPr>
          <w:p w14:paraId="41923BDB" w14:textId="111984CB"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25</w:t>
            </w:r>
          </w:p>
        </w:tc>
      </w:tr>
      <w:tr w:rsidR="00D55363" w:rsidRPr="00B20877" w14:paraId="15B7228D" w14:textId="77777777" w:rsidTr="00D55363">
        <w:trPr>
          <w:trHeight w:val="60"/>
        </w:trPr>
        <w:tc>
          <w:tcPr>
            <w:tcW w:w="267" w:type="pct"/>
            <w:noWrap/>
            <w:vAlign w:val="center"/>
            <w:hideMark/>
          </w:tcPr>
          <w:p w14:paraId="37609925"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23</w:t>
            </w:r>
          </w:p>
        </w:tc>
        <w:tc>
          <w:tcPr>
            <w:tcW w:w="4384" w:type="pct"/>
            <w:vAlign w:val="center"/>
            <w:hideMark/>
          </w:tcPr>
          <w:p w14:paraId="0FDFDF76" w14:textId="0ACDE201"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Clarification regarding required with respect to conversion of BAPA or MAPA into UAPA, where no resolution is achieved</w:t>
            </w:r>
          </w:p>
        </w:tc>
        <w:tc>
          <w:tcPr>
            <w:tcW w:w="348" w:type="pct"/>
            <w:noWrap/>
            <w:vAlign w:val="center"/>
            <w:hideMark/>
          </w:tcPr>
          <w:p w14:paraId="1A8C5C21" w14:textId="6DF83680"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w:t>
            </w:r>
            <w:r w:rsidR="002300F0">
              <w:rPr>
                <w:rFonts w:ascii="Calibri" w:eastAsia="Times New Roman" w:hAnsi="Calibri" w:cs="Calibri"/>
                <w:color w:val="000000"/>
                <w:kern w:val="0"/>
                <w:lang w:val="en-GB" w:eastAsia="en-GB"/>
                <w14:ligatures w14:val="none"/>
              </w:rPr>
              <w:t>5</w:t>
            </w:r>
          </w:p>
        </w:tc>
      </w:tr>
      <w:tr w:rsidR="00D55363" w:rsidRPr="00B20877" w14:paraId="7C7041FA" w14:textId="77777777" w:rsidTr="00D55363">
        <w:trPr>
          <w:trHeight w:val="60"/>
        </w:trPr>
        <w:tc>
          <w:tcPr>
            <w:tcW w:w="267" w:type="pct"/>
            <w:noWrap/>
            <w:vAlign w:val="center"/>
            <w:hideMark/>
          </w:tcPr>
          <w:p w14:paraId="2DB5366B"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24</w:t>
            </w:r>
          </w:p>
        </w:tc>
        <w:tc>
          <w:tcPr>
            <w:tcW w:w="4384" w:type="pct"/>
            <w:vAlign w:val="center"/>
            <w:hideMark/>
          </w:tcPr>
          <w:p w14:paraId="1BF56D62" w14:textId="75A326C8"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Ease TP documentation in cases where APA is signed</w:t>
            </w:r>
          </w:p>
        </w:tc>
        <w:tc>
          <w:tcPr>
            <w:tcW w:w="348" w:type="pct"/>
            <w:noWrap/>
            <w:vAlign w:val="center"/>
            <w:hideMark/>
          </w:tcPr>
          <w:p w14:paraId="3171F928" w14:textId="1EE0E978"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26</w:t>
            </w:r>
          </w:p>
        </w:tc>
      </w:tr>
      <w:tr w:rsidR="00D55363" w:rsidRPr="00B20877" w14:paraId="179485D3" w14:textId="77777777" w:rsidTr="00D55363">
        <w:trPr>
          <w:trHeight w:val="60"/>
        </w:trPr>
        <w:tc>
          <w:tcPr>
            <w:tcW w:w="267" w:type="pct"/>
            <w:noWrap/>
            <w:vAlign w:val="center"/>
            <w:hideMark/>
          </w:tcPr>
          <w:p w14:paraId="79A01AD7" w14:textId="7777777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25</w:t>
            </w:r>
          </w:p>
        </w:tc>
        <w:tc>
          <w:tcPr>
            <w:tcW w:w="4384" w:type="pct"/>
            <w:vAlign w:val="center"/>
            <w:hideMark/>
          </w:tcPr>
          <w:p w14:paraId="0E32903C" w14:textId="6A4E167D"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10DA of IT Rules 1962, Rule 123 of Draft IT Rules 2026</w:t>
            </w:r>
          </w:p>
        </w:tc>
        <w:tc>
          <w:tcPr>
            <w:tcW w:w="348" w:type="pct"/>
            <w:noWrap/>
            <w:vAlign w:val="center"/>
            <w:hideMark/>
          </w:tcPr>
          <w:p w14:paraId="44D41774" w14:textId="251B8497" w:rsidR="00D55363" w:rsidRPr="00B20877" w:rsidRDefault="00D55363" w:rsidP="00D55363">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26</w:t>
            </w:r>
          </w:p>
        </w:tc>
      </w:tr>
      <w:tr w:rsidR="00F50EC4" w:rsidRPr="00B20877" w14:paraId="2061E731" w14:textId="77777777" w:rsidTr="00D55363">
        <w:trPr>
          <w:trHeight w:val="60"/>
        </w:trPr>
        <w:tc>
          <w:tcPr>
            <w:tcW w:w="267" w:type="pct"/>
            <w:noWrap/>
            <w:vAlign w:val="center"/>
            <w:hideMark/>
          </w:tcPr>
          <w:p w14:paraId="37DEAA79"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26</w:t>
            </w:r>
          </w:p>
        </w:tc>
        <w:tc>
          <w:tcPr>
            <w:tcW w:w="4384" w:type="pct"/>
            <w:vAlign w:val="center"/>
            <w:hideMark/>
          </w:tcPr>
          <w:p w14:paraId="743EADFC" w14:textId="51902F64"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Modes of payment for the purpose of section 269SU of ITA 1961 (S. 197 of ITA 2025)</w:t>
            </w:r>
          </w:p>
        </w:tc>
        <w:tc>
          <w:tcPr>
            <w:tcW w:w="348" w:type="pct"/>
            <w:noWrap/>
            <w:vAlign w:val="center"/>
            <w:hideMark/>
          </w:tcPr>
          <w:p w14:paraId="23A58812" w14:textId="32831B8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2</w:t>
            </w:r>
            <w:r w:rsidR="00D86C5C">
              <w:rPr>
                <w:rFonts w:ascii="Calibri" w:eastAsia="Times New Roman" w:hAnsi="Calibri" w:cs="Calibri"/>
                <w:color w:val="000000"/>
                <w:kern w:val="0"/>
                <w:lang w:val="en-GB" w:eastAsia="en-GB"/>
                <w14:ligatures w14:val="none"/>
              </w:rPr>
              <w:t>6</w:t>
            </w:r>
          </w:p>
        </w:tc>
      </w:tr>
      <w:tr w:rsidR="00F50EC4" w:rsidRPr="00B20877" w14:paraId="3FABC7F2" w14:textId="77777777" w:rsidTr="00D55363">
        <w:trPr>
          <w:trHeight w:val="290"/>
        </w:trPr>
        <w:tc>
          <w:tcPr>
            <w:tcW w:w="267" w:type="pct"/>
            <w:noWrap/>
            <w:vAlign w:val="center"/>
            <w:hideMark/>
          </w:tcPr>
          <w:p w14:paraId="66EF15AB"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27</w:t>
            </w:r>
          </w:p>
        </w:tc>
        <w:tc>
          <w:tcPr>
            <w:tcW w:w="4384" w:type="pct"/>
            <w:vAlign w:val="center"/>
            <w:hideMark/>
          </w:tcPr>
          <w:p w14:paraId="7D1F3D46" w14:textId="637C4DF9"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Allow opting for CTR even in case of belated returns</w:t>
            </w:r>
          </w:p>
        </w:tc>
        <w:tc>
          <w:tcPr>
            <w:tcW w:w="348" w:type="pct"/>
            <w:noWrap/>
            <w:vAlign w:val="center"/>
            <w:hideMark/>
          </w:tcPr>
          <w:p w14:paraId="327EA5CF" w14:textId="467DE503"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27</w:t>
            </w:r>
          </w:p>
        </w:tc>
      </w:tr>
      <w:tr w:rsidR="00F50EC4" w:rsidRPr="00B20877" w14:paraId="66B25102" w14:textId="77777777" w:rsidTr="00D55363">
        <w:trPr>
          <w:trHeight w:val="290"/>
        </w:trPr>
        <w:tc>
          <w:tcPr>
            <w:tcW w:w="267" w:type="pct"/>
            <w:noWrap/>
            <w:vAlign w:val="center"/>
            <w:hideMark/>
          </w:tcPr>
          <w:p w14:paraId="3C226F46"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28</w:t>
            </w:r>
          </w:p>
        </w:tc>
        <w:tc>
          <w:tcPr>
            <w:tcW w:w="4384" w:type="pct"/>
            <w:vAlign w:val="center"/>
            <w:hideMark/>
          </w:tcPr>
          <w:p w14:paraId="10139A89" w14:textId="4744BA51"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to be aligned with provisions of the Act</w:t>
            </w:r>
          </w:p>
        </w:tc>
        <w:tc>
          <w:tcPr>
            <w:tcW w:w="348" w:type="pct"/>
            <w:noWrap/>
            <w:vAlign w:val="center"/>
            <w:hideMark/>
          </w:tcPr>
          <w:p w14:paraId="5B1C45E5" w14:textId="0D1A51F1"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28</w:t>
            </w:r>
          </w:p>
        </w:tc>
      </w:tr>
      <w:tr w:rsidR="00F50EC4" w:rsidRPr="00B20877" w14:paraId="32EA188D" w14:textId="77777777" w:rsidTr="00D55363">
        <w:trPr>
          <w:trHeight w:val="60"/>
        </w:trPr>
        <w:tc>
          <w:tcPr>
            <w:tcW w:w="267" w:type="pct"/>
            <w:noWrap/>
            <w:vAlign w:val="center"/>
            <w:hideMark/>
          </w:tcPr>
          <w:p w14:paraId="61DAAC5D"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29</w:t>
            </w:r>
          </w:p>
        </w:tc>
        <w:tc>
          <w:tcPr>
            <w:tcW w:w="4384" w:type="pct"/>
            <w:vAlign w:val="center"/>
            <w:hideMark/>
          </w:tcPr>
          <w:p w14:paraId="1D13688B" w14:textId="7335891B"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Retention of references to Wealth-tax Act, 1957, the Expenditure-tax Act, 1987, Gift-tax Act, 1958 and Interest-tax Act, 1974 in Section 250(1)(a) of ITA 2025</w:t>
            </w:r>
          </w:p>
        </w:tc>
        <w:tc>
          <w:tcPr>
            <w:tcW w:w="348" w:type="pct"/>
            <w:noWrap/>
            <w:vAlign w:val="center"/>
            <w:hideMark/>
          </w:tcPr>
          <w:p w14:paraId="0C9E6089" w14:textId="072354C2"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2</w:t>
            </w:r>
            <w:r w:rsidR="005E2AE6">
              <w:rPr>
                <w:rFonts w:ascii="Calibri" w:eastAsia="Times New Roman" w:hAnsi="Calibri" w:cs="Calibri"/>
                <w:color w:val="000000"/>
                <w:kern w:val="0"/>
                <w:lang w:val="en-GB" w:eastAsia="en-GB"/>
                <w14:ligatures w14:val="none"/>
              </w:rPr>
              <w:t>8</w:t>
            </w:r>
          </w:p>
        </w:tc>
      </w:tr>
      <w:tr w:rsidR="00F50EC4" w:rsidRPr="00B20877" w14:paraId="632C9CD9" w14:textId="77777777" w:rsidTr="00D55363">
        <w:trPr>
          <w:trHeight w:val="60"/>
        </w:trPr>
        <w:tc>
          <w:tcPr>
            <w:tcW w:w="267" w:type="pct"/>
            <w:noWrap/>
            <w:vAlign w:val="center"/>
            <w:hideMark/>
          </w:tcPr>
          <w:p w14:paraId="59BC9637"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30</w:t>
            </w:r>
          </w:p>
        </w:tc>
        <w:tc>
          <w:tcPr>
            <w:tcW w:w="4384" w:type="pct"/>
            <w:vAlign w:val="center"/>
            <w:hideMark/>
          </w:tcPr>
          <w:p w14:paraId="32DB9047" w14:textId="2545A791"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Retention of references to quoting and authentication of Aadhaar in Draft Rule 161</w:t>
            </w:r>
          </w:p>
        </w:tc>
        <w:tc>
          <w:tcPr>
            <w:tcW w:w="348" w:type="pct"/>
            <w:noWrap/>
            <w:vAlign w:val="center"/>
            <w:hideMark/>
          </w:tcPr>
          <w:p w14:paraId="2C3AB488" w14:textId="0ABE729B"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29</w:t>
            </w:r>
          </w:p>
        </w:tc>
      </w:tr>
      <w:tr w:rsidR="00F50EC4" w:rsidRPr="00B20877" w14:paraId="2719BE53" w14:textId="77777777" w:rsidTr="00D55363">
        <w:trPr>
          <w:trHeight w:val="60"/>
        </w:trPr>
        <w:tc>
          <w:tcPr>
            <w:tcW w:w="267" w:type="pct"/>
            <w:noWrap/>
            <w:vAlign w:val="center"/>
            <w:hideMark/>
          </w:tcPr>
          <w:p w14:paraId="418A09B2"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31</w:t>
            </w:r>
          </w:p>
        </w:tc>
        <w:tc>
          <w:tcPr>
            <w:tcW w:w="4384" w:type="pct"/>
            <w:vAlign w:val="center"/>
            <w:hideMark/>
          </w:tcPr>
          <w:p w14:paraId="67A2DBD6" w14:textId="64EAABFA"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Tax on Income of venture capital company or a venture capital fund, Tax on income of unit holder and business trust, Tax on income of investment fund &amp; its unit holders, Tax on income from Securitisation trust</w:t>
            </w:r>
          </w:p>
        </w:tc>
        <w:tc>
          <w:tcPr>
            <w:tcW w:w="348" w:type="pct"/>
            <w:noWrap/>
            <w:vAlign w:val="center"/>
            <w:hideMark/>
          </w:tcPr>
          <w:p w14:paraId="6DD88957" w14:textId="09E74555"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F415FE">
              <w:rPr>
                <w:rFonts w:ascii="Calibri" w:eastAsia="Times New Roman" w:hAnsi="Calibri" w:cs="Calibri"/>
                <w:color w:val="000000"/>
                <w:kern w:val="0"/>
                <w:lang w:val="en-GB" w:eastAsia="en-GB"/>
                <w14:ligatures w14:val="none"/>
              </w:rPr>
              <w:t>29</w:t>
            </w:r>
          </w:p>
        </w:tc>
      </w:tr>
      <w:tr w:rsidR="00F50EC4" w:rsidRPr="00B20877" w14:paraId="690EA9B7" w14:textId="77777777" w:rsidTr="00D55363">
        <w:trPr>
          <w:trHeight w:val="60"/>
        </w:trPr>
        <w:tc>
          <w:tcPr>
            <w:tcW w:w="267" w:type="pct"/>
            <w:noWrap/>
            <w:vAlign w:val="center"/>
            <w:hideMark/>
          </w:tcPr>
          <w:p w14:paraId="21A74966"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32</w:t>
            </w:r>
          </w:p>
        </w:tc>
        <w:tc>
          <w:tcPr>
            <w:tcW w:w="4384" w:type="pct"/>
            <w:vAlign w:val="center"/>
            <w:hideMark/>
          </w:tcPr>
          <w:p w14:paraId="29B7A054" w14:textId="1D9C5670"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Jurisdiction of Valuation Officers as per section 2(110) read with section 269 of ITA 2026 (Rule 173 of Draft IT Rules 2026)</w:t>
            </w:r>
          </w:p>
        </w:tc>
        <w:tc>
          <w:tcPr>
            <w:tcW w:w="348" w:type="pct"/>
            <w:noWrap/>
            <w:vAlign w:val="center"/>
            <w:hideMark/>
          </w:tcPr>
          <w:p w14:paraId="048E7AEE" w14:textId="4C060ED2"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32</w:t>
            </w:r>
          </w:p>
        </w:tc>
      </w:tr>
      <w:tr w:rsidR="00F50EC4" w:rsidRPr="00B20877" w14:paraId="1DFB6DC1" w14:textId="77777777" w:rsidTr="00D55363">
        <w:trPr>
          <w:trHeight w:val="60"/>
        </w:trPr>
        <w:tc>
          <w:tcPr>
            <w:tcW w:w="267" w:type="pct"/>
            <w:noWrap/>
            <w:vAlign w:val="center"/>
            <w:hideMark/>
          </w:tcPr>
          <w:p w14:paraId="7291C697" w14:textId="77777777"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33</w:t>
            </w:r>
          </w:p>
        </w:tc>
        <w:tc>
          <w:tcPr>
            <w:tcW w:w="4384" w:type="pct"/>
            <w:vAlign w:val="center"/>
            <w:hideMark/>
          </w:tcPr>
          <w:p w14:paraId="5D7C8B63" w14:textId="0704CD48"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Procedure for faceless assessment, reassessment or recomputation under section 273(1) of ITA 2025</w:t>
            </w:r>
          </w:p>
        </w:tc>
        <w:tc>
          <w:tcPr>
            <w:tcW w:w="348" w:type="pct"/>
            <w:noWrap/>
            <w:vAlign w:val="center"/>
            <w:hideMark/>
          </w:tcPr>
          <w:p w14:paraId="0DFC2A9C" w14:textId="1251908C"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A7C9F">
              <w:rPr>
                <w:rFonts w:ascii="Calibri" w:eastAsia="Times New Roman" w:hAnsi="Calibri" w:cs="Calibri"/>
                <w:color w:val="000000"/>
                <w:kern w:val="0"/>
                <w:lang w:val="en-GB" w:eastAsia="en-GB"/>
                <w14:ligatures w14:val="none"/>
              </w:rPr>
              <w:t>3</w:t>
            </w:r>
            <w:r w:rsidR="009D3DE7">
              <w:rPr>
                <w:rFonts w:ascii="Calibri" w:eastAsia="Times New Roman" w:hAnsi="Calibri" w:cs="Calibri"/>
                <w:color w:val="000000"/>
                <w:kern w:val="0"/>
                <w:lang w:val="en-GB" w:eastAsia="en-GB"/>
                <w14:ligatures w14:val="none"/>
              </w:rPr>
              <w:t>2</w:t>
            </w:r>
          </w:p>
        </w:tc>
      </w:tr>
      <w:tr w:rsidR="00FC036D" w:rsidRPr="00B20877" w14:paraId="49D7EEF4" w14:textId="77777777" w:rsidTr="00D55363">
        <w:trPr>
          <w:trHeight w:val="290"/>
        </w:trPr>
        <w:tc>
          <w:tcPr>
            <w:tcW w:w="267" w:type="pct"/>
            <w:noWrap/>
            <w:vAlign w:val="center"/>
            <w:hideMark/>
          </w:tcPr>
          <w:p w14:paraId="51AE38BD" w14:textId="77777777" w:rsidR="00FC036D" w:rsidRPr="00B20877" w:rsidRDefault="00FC036D" w:rsidP="00FC036D">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34</w:t>
            </w:r>
          </w:p>
        </w:tc>
        <w:tc>
          <w:tcPr>
            <w:tcW w:w="4384" w:type="pct"/>
            <w:vAlign w:val="center"/>
            <w:hideMark/>
          </w:tcPr>
          <w:p w14:paraId="23C38A45" w14:textId="1AAFE283" w:rsidR="00FC036D" w:rsidRPr="00B20877" w:rsidRDefault="00FC036D" w:rsidP="00FC036D">
            <w:pPr>
              <w:spacing w:after="0" w:line="240" w:lineRule="auto"/>
              <w:rPr>
                <w:rFonts w:ascii="Calibri" w:eastAsia="Times New Roman" w:hAnsi="Calibri" w:cs="Calibri"/>
                <w:color w:val="000000"/>
                <w:kern w:val="0"/>
                <w:lang w:val="en-GB" w:eastAsia="en-GB"/>
                <w14:ligatures w14:val="none"/>
              </w:rPr>
            </w:pPr>
            <w:r w:rsidRPr="003E406F">
              <w:rPr>
                <w:rFonts w:ascii="Calibri" w:hAnsi="Calibri" w:cs="Calibri"/>
                <w:bCs/>
              </w:rPr>
              <w:t>Section 11(4) / 11(4A) of ITA 1961</w:t>
            </w:r>
            <w:r>
              <w:rPr>
                <w:rFonts w:ascii="Calibri" w:hAnsi="Calibri" w:cs="Calibri"/>
                <w:bCs/>
              </w:rPr>
              <w:t xml:space="preserve"> - </w:t>
            </w:r>
            <w:r w:rsidRPr="003E406F">
              <w:rPr>
                <w:rFonts w:ascii="Calibri" w:hAnsi="Calibri" w:cs="Calibri"/>
                <w:bCs/>
              </w:rPr>
              <w:t>Rule 182 (to be issued under section 335(e) read with sections 344, 345 and 346 of ITB 2025) – Draft proposes that such commercial activity shall be treated as if it is an entity separate from the registered non</w:t>
            </w:r>
            <w:r w:rsidRPr="003E406F">
              <w:rPr>
                <w:rFonts w:ascii="Cambria Math" w:hAnsi="Cambria Math" w:cs="Cambria Math"/>
                <w:bCs/>
              </w:rPr>
              <w:t>‑</w:t>
            </w:r>
            <w:r w:rsidRPr="003E406F">
              <w:rPr>
                <w:rFonts w:ascii="Calibri" w:hAnsi="Calibri" w:cs="Calibri"/>
                <w:bCs/>
              </w:rPr>
              <w:t>profit organisation, with “gains computed under Part D of Chapter IV and separate books maintained.”</w:t>
            </w:r>
          </w:p>
        </w:tc>
        <w:tc>
          <w:tcPr>
            <w:tcW w:w="348" w:type="pct"/>
            <w:noWrap/>
            <w:vAlign w:val="center"/>
            <w:hideMark/>
          </w:tcPr>
          <w:p w14:paraId="1F9C4A37" w14:textId="640D8AD8" w:rsidR="00FC036D" w:rsidRPr="00B20877" w:rsidRDefault="00FC036D" w:rsidP="00FC036D">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33</w:t>
            </w:r>
          </w:p>
        </w:tc>
      </w:tr>
      <w:tr w:rsidR="003E406F" w:rsidRPr="00B20877" w14:paraId="0C4A9725" w14:textId="77777777" w:rsidTr="00D55363">
        <w:trPr>
          <w:trHeight w:val="290"/>
        </w:trPr>
        <w:tc>
          <w:tcPr>
            <w:tcW w:w="267" w:type="pct"/>
            <w:noWrap/>
            <w:vAlign w:val="center"/>
          </w:tcPr>
          <w:p w14:paraId="2B8389B0" w14:textId="31CFACDE" w:rsidR="003E406F" w:rsidRPr="00B20877" w:rsidRDefault="00FC036D" w:rsidP="00716648">
            <w:pPr>
              <w:spacing w:after="0" w:line="240" w:lineRule="auto"/>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35</w:t>
            </w:r>
          </w:p>
        </w:tc>
        <w:tc>
          <w:tcPr>
            <w:tcW w:w="4384" w:type="pct"/>
            <w:vAlign w:val="center"/>
          </w:tcPr>
          <w:p w14:paraId="7045E825" w14:textId="7E7F6270" w:rsidR="003E406F" w:rsidRPr="003E406F" w:rsidRDefault="003E406F" w:rsidP="00B3411C">
            <w:pPr>
              <w:spacing w:after="0" w:line="240" w:lineRule="auto"/>
              <w:rPr>
                <w:rFonts w:ascii="Calibri" w:hAnsi="Calibri" w:cs="Calibri"/>
                <w:bCs/>
              </w:rPr>
            </w:pPr>
            <w:r w:rsidRPr="003E406F">
              <w:rPr>
                <w:rFonts w:ascii="Calibri" w:hAnsi="Calibri" w:cs="Calibri"/>
                <w:bCs/>
              </w:rPr>
              <w:t>Section 11(4) / 11(4A) of ITA 1961</w:t>
            </w:r>
            <w:r>
              <w:rPr>
                <w:rFonts w:ascii="Calibri" w:hAnsi="Calibri" w:cs="Calibri"/>
                <w:bCs/>
              </w:rPr>
              <w:t xml:space="preserve"> - </w:t>
            </w:r>
            <w:r w:rsidRPr="003E406F">
              <w:rPr>
                <w:rFonts w:ascii="Calibri" w:hAnsi="Calibri" w:cs="Calibri"/>
                <w:bCs/>
              </w:rPr>
              <w:t>Rule 182 (to be issued under section 335(e) read with sections 344, 345 and 346 of ITB 2025) – Draft proposes that such commercial activity shall be treated as if it is an entity separate from the registered non</w:t>
            </w:r>
            <w:r w:rsidRPr="00B3411C">
              <w:rPr>
                <w:rFonts w:ascii="Cambria Math" w:hAnsi="Cambria Math" w:cs="Cambria Math"/>
                <w:bCs/>
              </w:rPr>
              <w:t>‑</w:t>
            </w:r>
            <w:r w:rsidRPr="003E406F">
              <w:rPr>
                <w:rFonts w:ascii="Calibri" w:hAnsi="Calibri" w:cs="Calibri"/>
                <w:bCs/>
              </w:rPr>
              <w:t>profit organisation, with “gains computed under Part D of Chapter IV and separate books maintained.”</w:t>
            </w:r>
          </w:p>
        </w:tc>
        <w:tc>
          <w:tcPr>
            <w:tcW w:w="348" w:type="pct"/>
            <w:noWrap/>
            <w:vAlign w:val="center"/>
          </w:tcPr>
          <w:p w14:paraId="44E7D105" w14:textId="7E19C7C7" w:rsidR="003E406F" w:rsidRPr="00B20877" w:rsidRDefault="00686652" w:rsidP="00716648">
            <w:pPr>
              <w:spacing w:after="0" w:line="240" w:lineRule="auto"/>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3</w:t>
            </w:r>
            <w:r w:rsidR="009D3DE7">
              <w:rPr>
                <w:rFonts w:ascii="Calibri" w:eastAsia="Times New Roman" w:hAnsi="Calibri" w:cs="Calibri"/>
                <w:color w:val="000000"/>
                <w:kern w:val="0"/>
                <w:lang w:val="en-GB" w:eastAsia="en-GB"/>
                <w14:ligatures w14:val="none"/>
              </w:rPr>
              <w:t>3</w:t>
            </w:r>
          </w:p>
        </w:tc>
      </w:tr>
      <w:tr w:rsidR="00F50EC4" w:rsidRPr="00B20877" w14:paraId="6150C4A3" w14:textId="77777777" w:rsidTr="00D55363">
        <w:trPr>
          <w:trHeight w:val="60"/>
        </w:trPr>
        <w:tc>
          <w:tcPr>
            <w:tcW w:w="267" w:type="pct"/>
            <w:noWrap/>
            <w:vAlign w:val="center"/>
            <w:hideMark/>
          </w:tcPr>
          <w:p w14:paraId="7BF6F1B6" w14:textId="0DE82990"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w:t>
            </w:r>
            <w:r w:rsidR="003D78FB">
              <w:rPr>
                <w:rFonts w:ascii="Calibri" w:eastAsia="Times New Roman" w:hAnsi="Calibri" w:cs="Calibri"/>
                <w:color w:val="000000"/>
                <w:kern w:val="0"/>
                <w:lang w:val="en-GB" w:eastAsia="en-GB"/>
                <w14:ligatures w14:val="none"/>
              </w:rPr>
              <w:t>6</w:t>
            </w:r>
          </w:p>
        </w:tc>
        <w:tc>
          <w:tcPr>
            <w:tcW w:w="4384" w:type="pct"/>
            <w:vAlign w:val="center"/>
            <w:hideMark/>
          </w:tcPr>
          <w:p w14:paraId="4BA3C29C" w14:textId="38651774"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Manner of computation of any portion of income applied by a registered non-profit organisation, directly or indirectly, for the benefit of any related person</w:t>
            </w:r>
          </w:p>
        </w:tc>
        <w:tc>
          <w:tcPr>
            <w:tcW w:w="348" w:type="pct"/>
            <w:noWrap/>
            <w:vAlign w:val="center"/>
            <w:hideMark/>
          </w:tcPr>
          <w:p w14:paraId="646DBF4C" w14:textId="0A094F48" w:rsidR="00B20877" w:rsidRPr="00B20877" w:rsidRDefault="00B20877" w:rsidP="00716648">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7811">
              <w:rPr>
                <w:rFonts w:ascii="Calibri" w:eastAsia="Times New Roman" w:hAnsi="Calibri" w:cs="Calibri"/>
                <w:color w:val="000000"/>
                <w:kern w:val="0"/>
                <w:lang w:val="en-GB" w:eastAsia="en-GB"/>
                <w14:ligatures w14:val="none"/>
              </w:rPr>
              <w:t>3</w:t>
            </w:r>
            <w:r w:rsidR="00945E6D">
              <w:rPr>
                <w:rFonts w:ascii="Calibri" w:eastAsia="Times New Roman" w:hAnsi="Calibri" w:cs="Calibri"/>
                <w:color w:val="000000"/>
                <w:kern w:val="0"/>
                <w:lang w:val="en-GB" w:eastAsia="en-GB"/>
                <w14:ligatures w14:val="none"/>
              </w:rPr>
              <w:t>4</w:t>
            </w:r>
          </w:p>
        </w:tc>
      </w:tr>
      <w:tr w:rsidR="003D78FB" w:rsidRPr="00B20877" w14:paraId="150BE8D0" w14:textId="77777777" w:rsidTr="00D55363">
        <w:trPr>
          <w:trHeight w:val="60"/>
        </w:trPr>
        <w:tc>
          <w:tcPr>
            <w:tcW w:w="267" w:type="pct"/>
            <w:noWrap/>
            <w:vAlign w:val="center"/>
            <w:hideMark/>
          </w:tcPr>
          <w:p w14:paraId="72948EFB" w14:textId="794192F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37</w:t>
            </w:r>
          </w:p>
        </w:tc>
        <w:tc>
          <w:tcPr>
            <w:tcW w:w="4384" w:type="pct"/>
            <w:vAlign w:val="center"/>
            <w:hideMark/>
          </w:tcPr>
          <w:p w14:paraId="483E375B" w14:textId="5366502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Furnishing of statement by registered non-profit organisation u/s. 342(1) of ITA 2025 for accumulating or setting apart any part of its regular income and Application under section 342(5) for change of purpose for which income has been accumulated or set apart</w:t>
            </w:r>
          </w:p>
        </w:tc>
        <w:tc>
          <w:tcPr>
            <w:tcW w:w="348" w:type="pct"/>
            <w:noWrap/>
            <w:vAlign w:val="center"/>
            <w:hideMark/>
          </w:tcPr>
          <w:p w14:paraId="15DE87C9" w14:textId="6320A82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3</w:t>
            </w:r>
            <w:r w:rsidR="009C2FB1">
              <w:rPr>
                <w:rFonts w:ascii="Calibri" w:eastAsia="Times New Roman" w:hAnsi="Calibri" w:cs="Calibri"/>
                <w:color w:val="000000"/>
                <w:kern w:val="0"/>
                <w:lang w:val="en-GB" w:eastAsia="en-GB"/>
                <w14:ligatures w14:val="none"/>
              </w:rPr>
              <w:t>5</w:t>
            </w:r>
          </w:p>
        </w:tc>
      </w:tr>
      <w:tr w:rsidR="003D78FB" w:rsidRPr="00B20877" w14:paraId="55614519" w14:textId="77777777" w:rsidTr="00D55363">
        <w:trPr>
          <w:trHeight w:val="60"/>
        </w:trPr>
        <w:tc>
          <w:tcPr>
            <w:tcW w:w="267" w:type="pct"/>
            <w:noWrap/>
            <w:vAlign w:val="center"/>
            <w:hideMark/>
          </w:tcPr>
          <w:p w14:paraId="04EF2F49" w14:textId="78E763F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38</w:t>
            </w:r>
          </w:p>
        </w:tc>
        <w:tc>
          <w:tcPr>
            <w:tcW w:w="4384" w:type="pct"/>
            <w:vAlign w:val="center"/>
            <w:hideMark/>
          </w:tcPr>
          <w:p w14:paraId="66F5AE14" w14:textId="3E62F4E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Furnishing of statement of particulars in respect of donation and certificate to the donor under section 354(1) of ITA 2025</w:t>
            </w:r>
          </w:p>
        </w:tc>
        <w:tc>
          <w:tcPr>
            <w:tcW w:w="348" w:type="pct"/>
            <w:noWrap/>
            <w:vAlign w:val="center"/>
            <w:hideMark/>
          </w:tcPr>
          <w:p w14:paraId="7A2415B2" w14:textId="3CCFFE5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3</w:t>
            </w:r>
            <w:r w:rsidR="001259DD">
              <w:rPr>
                <w:rFonts w:ascii="Calibri" w:eastAsia="Times New Roman" w:hAnsi="Calibri" w:cs="Calibri"/>
                <w:color w:val="000000"/>
                <w:kern w:val="0"/>
                <w:lang w:val="en-GB" w:eastAsia="en-GB"/>
                <w14:ligatures w14:val="none"/>
              </w:rPr>
              <w:t>8</w:t>
            </w:r>
          </w:p>
        </w:tc>
      </w:tr>
      <w:tr w:rsidR="003D78FB" w:rsidRPr="00B20877" w14:paraId="74EF652C" w14:textId="77777777" w:rsidTr="00D55363">
        <w:trPr>
          <w:trHeight w:val="60"/>
        </w:trPr>
        <w:tc>
          <w:tcPr>
            <w:tcW w:w="267" w:type="pct"/>
            <w:noWrap/>
            <w:vAlign w:val="center"/>
            <w:hideMark/>
          </w:tcPr>
          <w:p w14:paraId="0FA4BE9B" w14:textId="7BF25A5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39</w:t>
            </w:r>
          </w:p>
        </w:tc>
        <w:tc>
          <w:tcPr>
            <w:tcW w:w="4384" w:type="pct"/>
            <w:vAlign w:val="center"/>
            <w:hideMark/>
          </w:tcPr>
          <w:p w14:paraId="3E30F0B6" w14:textId="7545620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Constitution of Dispute Resolution Committee under section 379 of the Act</w:t>
            </w:r>
          </w:p>
        </w:tc>
        <w:tc>
          <w:tcPr>
            <w:tcW w:w="348" w:type="pct"/>
            <w:noWrap/>
            <w:vAlign w:val="center"/>
            <w:hideMark/>
          </w:tcPr>
          <w:p w14:paraId="768F5CFE" w14:textId="60A6B12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44BE3">
              <w:rPr>
                <w:rFonts w:ascii="Calibri" w:eastAsia="Times New Roman" w:hAnsi="Calibri" w:cs="Calibri"/>
                <w:color w:val="000000"/>
                <w:kern w:val="0"/>
                <w:lang w:val="en-GB" w:eastAsia="en-GB"/>
                <w14:ligatures w14:val="none"/>
              </w:rPr>
              <w:t>39</w:t>
            </w:r>
          </w:p>
        </w:tc>
      </w:tr>
      <w:tr w:rsidR="003D78FB" w:rsidRPr="00B20877" w14:paraId="100ECA70" w14:textId="77777777" w:rsidTr="00D55363">
        <w:trPr>
          <w:trHeight w:val="60"/>
        </w:trPr>
        <w:tc>
          <w:tcPr>
            <w:tcW w:w="267" w:type="pct"/>
            <w:noWrap/>
            <w:vAlign w:val="center"/>
            <w:hideMark/>
          </w:tcPr>
          <w:p w14:paraId="1F092E37" w14:textId="3B6B988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40</w:t>
            </w:r>
          </w:p>
        </w:tc>
        <w:tc>
          <w:tcPr>
            <w:tcW w:w="4384" w:type="pct"/>
            <w:vAlign w:val="center"/>
            <w:hideMark/>
          </w:tcPr>
          <w:p w14:paraId="3E3EB6BE" w14:textId="4EE22BC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Furnishing of evidence of claims by employee u/s. 392(5)(b) for deduction of tax from income under the head “Salaries”</w:t>
            </w:r>
          </w:p>
        </w:tc>
        <w:tc>
          <w:tcPr>
            <w:tcW w:w="348" w:type="pct"/>
            <w:noWrap/>
            <w:vAlign w:val="center"/>
            <w:hideMark/>
          </w:tcPr>
          <w:p w14:paraId="06F56ACC" w14:textId="4E8FA33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8620C7">
              <w:rPr>
                <w:rFonts w:ascii="Calibri" w:eastAsia="Times New Roman" w:hAnsi="Calibri" w:cs="Calibri"/>
                <w:color w:val="000000"/>
                <w:kern w:val="0"/>
                <w:lang w:val="en-GB" w:eastAsia="en-GB"/>
                <w14:ligatures w14:val="none"/>
              </w:rPr>
              <w:t>4</w:t>
            </w:r>
            <w:r w:rsidR="00323432">
              <w:rPr>
                <w:rFonts w:ascii="Calibri" w:eastAsia="Times New Roman" w:hAnsi="Calibri" w:cs="Calibri"/>
                <w:color w:val="000000"/>
                <w:kern w:val="0"/>
                <w:lang w:val="en-GB" w:eastAsia="en-GB"/>
                <w14:ligatures w14:val="none"/>
              </w:rPr>
              <w:t>0</w:t>
            </w:r>
          </w:p>
        </w:tc>
      </w:tr>
      <w:tr w:rsidR="003D78FB" w:rsidRPr="00B20877" w14:paraId="7852922D" w14:textId="77777777" w:rsidTr="00D55363">
        <w:trPr>
          <w:trHeight w:val="60"/>
        </w:trPr>
        <w:tc>
          <w:tcPr>
            <w:tcW w:w="267" w:type="pct"/>
            <w:noWrap/>
            <w:vAlign w:val="center"/>
            <w:hideMark/>
          </w:tcPr>
          <w:p w14:paraId="2278D240" w14:textId="06241BE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41</w:t>
            </w:r>
          </w:p>
        </w:tc>
        <w:tc>
          <w:tcPr>
            <w:tcW w:w="4384" w:type="pct"/>
            <w:vAlign w:val="center"/>
            <w:hideMark/>
          </w:tcPr>
          <w:p w14:paraId="1026B77F" w14:textId="0D60E13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Rate of exchange for the purpose of deduction of tax at source on income payable in foreign currency</w:t>
            </w:r>
          </w:p>
        </w:tc>
        <w:tc>
          <w:tcPr>
            <w:tcW w:w="348" w:type="pct"/>
            <w:noWrap/>
            <w:vAlign w:val="center"/>
            <w:hideMark/>
          </w:tcPr>
          <w:p w14:paraId="385A393C" w14:textId="22DCF34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1448F7">
              <w:rPr>
                <w:rFonts w:ascii="Calibri" w:eastAsia="Times New Roman" w:hAnsi="Calibri" w:cs="Calibri"/>
                <w:color w:val="000000"/>
                <w:kern w:val="0"/>
                <w:lang w:val="en-GB" w:eastAsia="en-GB"/>
                <w14:ligatures w14:val="none"/>
              </w:rPr>
              <w:t>0</w:t>
            </w:r>
          </w:p>
        </w:tc>
      </w:tr>
      <w:tr w:rsidR="003D78FB" w:rsidRPr="00B20877" w14:paraId="2AACF614" w14:textId="77777777" w:rsidTr="00D55363">
        <w:trPr>
          <w:trHeight w:val="60"/>
        </w:trPr>
        <w:tc>
          <w:tcPr>
            <w:tcW w:w="267" w:type="pct"/>
            <w:noWrap/>
            <w:vAlign w:val="center"/>
            <w:hideMark/>
          </w:tcPr>
          <w:p w14:paraId="12BED152" w14:textId="07B01357"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42</w:t>
            </w:r>
          </w:p>
        </w:tc>
        <w:tc>
          <w:tcPr>
            <w:tcW w:w="4384" w:type="pct"/>
            <w:vAlign w:val="center"/>
            <w:hideMark/>
          </w:tcPr>
          <w:p w14:paraId="3D70EBC4" w14:textId="5F31151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for furnishing certificate of accountant under Section 398(2) of ITA 2025</w:t>
            </w:r>
          </w:p>
        </w:tc>
        <w:tc>
          <w:tcPr>
            <w:tcW w:w="348" w:type="pct"/>
            <w:noWrap/>
            <w:vAlign w:val="center"/>
            <w:hideMark/>
          </w:tcPr>
          <w:p w14:paraId="301181CA" w14:textId="506486A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DE1030">
              <w:rPr>
                <w:rFonts w:ascii="Calibri" w:eastAsia="Times New Roman" w:hAnsi="Calibri" w:cs="Calibri"/>
                <w:color w:val="000000"/>
                <w:kern w:val="0"/>
                <w:lang w:val="en-GB" w:eastAsia="en-GB"/>
                <w14:ligatures w14:val="none"/>
              </w:rPr>
              <w:t>3</w:t>
            </w:r>
          </w:p>
        </w:tc>
      </w:tr>
      <w:tr w:rsidR="003D78FB" w:rsidRPr="00B20877" w14:paraId="6D242BF9" w14:textId="77777777" w:rsidTr="00D55363">
        <w:trPr>
          <w:trHeight w:val="60"/>
        </w:trPr>
        <w:tc>
          <w:tcPr>
            <w:tcW w:w="267" w:type="pct"/>
            <w:noWrap/>
            <w:vAlign w:val="center"/>
            <w:hideMark/>
          </w:tcPr>
          <w:p w14:paraId="486932FC" w14:textId="7BCB93A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43</w:t>
            </w:r>
          </w:p>
        </w:tc>
        <w:tc>
          <w:tcPr>
            <w:tcW w:w="4384" w:type="pct"/>
            <w:vAlign w:val="center"/>
            <w:hideMark/>
          </w:tcPr>
          <w:p w14:paraId="06D5BF99" w14:textId="60F49A2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Existing ambiguity regarding whether all persons domiciled in India are required to obtain an Income-tax Clearance Certificate (ITCC) before leaving the country</w:t>
            </w:r>
          </w:p>
        </w:tc>
        <w:tc>
          <w:tcPr>
            <w:tcW w:w="348" w:type="pct"/>
            <w:noWrap/>
            <w:vAlign w:val="center"/>
            <w:hideMark/>
          </w:tcPr>
          <w:p w14:paraId="51240016" w14:textId="7E3008A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465F99">
              <w:rPr>
                <w:rFonts w:ascii="Calibri" w:eastAsia="Times New Roman" w:hAnsi="Calibri" w:cs="Calibri"/>
                <w:color w:val="000000"/>
                <w:kern w:val="0"/>
                <w:lang w:val="en-GB" w:eastAsia="en-GB"/>
                <w14:ligatures w14:val="none"/>
              </w:rPr>
              <w:t>3</w:t>
            </w:r>
          </w:p>
        </w:tc>
      </w:tr>
      <w:tr w:rsidR="003D78FB" w:rsidRPr="00B20877" w14:paraId="02B4E101" w14:textId="77777777" w:rsidTr="00D55363">
        <w:trPr>
          <w:trHeight w:val="60"/>
        </w:trPr>
        <w:tc>
          <w:tcPr>
            <w:tcW w:w="267" w:type="pct"/>
            <w:noWrap/>
            <w:vAlign w:val="center"/>
            <w:hideMark/>
          </w:tcPr>
          <w:p w14:paraId="1FB7E373" w14:textId="27A72D1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44</w:t>
            </w:r>
          </w:p>
        </w:tc>
        <w:tc>
          <w:tcPr>
            <w:tcW w:w="4384" w:type="pct"/>
            <w:vAlign w:val="center"/>
            <w:hideMark/>
          </w:tcPr>
          <w:p w14:paraId="6C9D6D25" w14:textId="51B18C8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Furnishing of annual statement by a non-resident having a liaison office in India</w:t>
            </w:r>
          </w:p>
        </w:tc>
        <w:tc>
          <w:tcPr>
            <w:tcW w:w="348" w:type="pct"/>
            <w:noWrap/>
            <w:vAlign w:val="center"/>
            <w:hideMark/>
          </w:tcPr>
          <w:p w14:paraId="6E711162" w14:textId="05391BA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8F6A8F">
              <w:rPr>
                <w:rFonts w:ascii="Calibri" w:eastAsia="Times New Roman" w:hAnsi="Calibri" w:cs="Calibri"/>
                <w:color w:val="000000"/>
                <w:kern w:val="0"/>
                <w:lang w:val="en-GB" w:eastAsia="en-GB"/>
                <w14:ligatures w14:val="none"/>
              </w:rPr>
              <w:t>3</w:t>
            </w:r>
          </w:p>
        </w:tc>
      </w:tr>
      <w:tr w:rsidR="003D78FB" w:rsidRPr="00B20877" w14:paraId="658439E9" w14:textId="77777777" w:rsidTr="00D55363">
        <w:trPr>
          <w:trHeight w:val="60"/>
        </w:trPr>
        <w:tc>
          <w:tcPr>
            <w:tcW w:w="267" w:type="pct"/>
            <w:noWrap/>
            <w:vAlign w:val="center"/>
            <w:hideMark/>
          </w:tcPr>
          <w:p w14:paraId="70289556" w14:textId="240D1C5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45</w:t>
            </w:r>
          </w:p>
        </w:tc>
        <w:tc>
          <w:tcPr>
            <w:tcW w:w="4384" w:type="pct"/>
            <w:vAlign w:val="center"/>
            <w:hideMark/>
          </w:tcPr>
          <w:p w14:paraId="5FF60A5D" w14:textId="59114D2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Strengthen CRS Due Diligence by Mandating Enhanced Verification for High-Risk Citizenship and Residence by Investment Schemes</w:t>
            </w:r>
          </w:p>
        </w:tc>
        <w:tc>
          <w:tcPr>
            <w:tcW w:w="348" w:type="pct"/>
            <w:noWrap/>
            <w:vAlign w:val="center"/>
            <w:hideMark/>
          </w:tcPr>
          <w:p w14:paraId="7CF887F2" w14:textId="6408800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C34709">
              <w:rPr>
                <w:rFonts w:ascii="Calibri" w:eastAsia="Times New Roman" w:hAnsi="Calibri" w:cs="Calibri"/>
                <w:color w:val="000000"/>
                <w:kern w:val="0"/>
                <w:lang w:val="en-GB" w:eastAsia="en-GB"/>
                <w14:ligatures w14:val="none"/>
              </w:rPr>
              <w:t>4</w:t>
            </w:r>
          </w:p>
        </w:tc>
      </w:tr>
      <w:tr w:rsidR="003D78FB" w:rsidRPr="00B20877" w14:paraId="2C1FE2D7" w14:textId="77777777" w:rsidTr="00D55363">
        <w:trPr>
          <w:trHeight w:val="60"/>
        </w:trPr>
        <w:tc>
          <w:tcPr>
            <w:tcW w:w="267" w:type="pct"/>
            <w:noWrap/>
            <w:vAlign w:val="center"/>
            <w:hideMark/>
          </w:tcPr>
          <w:p w14:paraId="1CAE882C" w14:textId="14DEBB0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46</w:t>
            </w:r>
          </w:p>
        </w:tc>
        <w:tc>
          <w:tcPr>
            <w:tcW w:w="4384" w:type="pct"/>
            <w:vAlign w:val="center"/>
            <w:hideMark/>
          </w:tcPr>
          <w:p w14:paraId="6EAAC25E" w14:textId="07DAA8E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Mandate enhanced due-diligence for CBI/RBI-based tax-residency claims under Rule 114H / Draft Rule 240</w:t>
            </w:r>
          </w:p>
        </w:tc>
        <w:tc>
          <w:tcPr>
            <w:tcW w:w="348" w:type="pct"/>
            <w:noWrap/>
            <w:vAlign w:val="center"/>
            <w:hideMark/>
          </w:tcPr>
          <w:p w14:paraId="27EF8DCE" w14:textId="4EA2178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5844FC">
              <w:rPr>
                <w:rFonts w:ascii="Calibri" w:eastAsia="Times New Roman" w:hAnsi="Calibri" w:cs="Calibri"/>
                <w:color w:val="000000"/>
                <w:kern w:val="0"/>
                <w:lang w:val="en-GB" w:eastAsia="en-GB"/>
                <w14:ligatures w14:val="none"/>
              </w:rPr>
              <w:t>5</w:t>
            </w:r>
          </w:p>
        </w:tc>
      </w:tr>
      <w:tr w:rsidR="003D78FB" w:rsidRPr="00B20877" w14:paraId="245EA507" w14:textId="77777777" w:rsidTr="00D55363">
        <w:trPr>
          <w:trHeight w:val="60"/>
        </w:trPr>
        <w:tc>
          <w:tcPr>
            <w:tcW w:w="267" w:type="pct"/>
            <w:noWrap/>
            <w:vAlign w:val="center"/>
            <w:hideMark/>
          </w:tcPr>
          <w:p w14:paraId="5E4E2520" w14:textId="01FB15E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47</w:t>
            </w:r>
          </w:p>
        </w:tc>
        <w:tc>
          <w:tcPr>
            <w:tcW w:w="4384" w:type="pct"/>
            <w:vAlign w:val="center"/>
            <w:hideMark/>
          </w:tcPr>
          <w:p w14:paraId="76F3205A" w14:textId="2699B6F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Align India’s de minimis thresholds with the FATCA IGA in Rule 114H(5)/Rule 240(5)</w:t>
            </w:r>
          </w:p>
        </w:tc>
        <w:tc>
          <w:tcPr>
            <w:tcW w:w="348" w:type="pct"/>
            <w:noWrap/>
            <w:vAlign w:val="center"/>
            <w:hideMark/>
          </w:tcPr>
          <w:p w14:paraId="682D13D4" w14:textId="6CA3876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0478F0">
              <w:rPr>
                <w:rFonts w:ascii="Calibri" w:eastAsia="Times New Roman" w:hAnsi="Calibri" w:cs="Calibri"/>
                <w:color w:val="000000"/>
                <w:kern w:val="0"/>
                <w:lang w:val="en-GB" w:eastAsia="en-GB"/>
                <w14:ligatures w14:val="none"/>
              </w:rPr>
              <w:t>6</w:t>
            </w:r>
          </w:p>
        </w:tc>
      </w:tr>
      <w:tr w:rsidR="003D78FB" w:rsidRPr="00B20877" w14:paraId="4F98ACFE" w14:textId="77777777" w:rsidTr="00D55363">
        <w:trPr>
          <w:trHeight w:val="290"/>
        </w:trPr>
        <w:tc>
          <w:tcPr>
            <w:tcW w:w="267" w:type="pct"/>
            <w:noWrap/>
            <w:vAlign w:val="center"/>
            <w:hideMark/>
          </w:tcPr>
          <w:p w14:paraId="5DEDBE6E" w14:textId="4725AA7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48</w:t>
            </w:r>
          </w:p>
        </w:tc>
        <w:tc>
          <w:tcPr>
            <w:tcW w:w="4384" w:type="pct"/>
            <w:vAlign w:val="center"/>
            <w:hideMark/>
          </w:tcPr>
          <w:p w14:paraId="04AF6758" w14:textId="0C9F2F8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Annual information statement</w:t>
            </w:r>
          </w:p>
        </w:tc>
        <w:tc>
          <w:tcPr>
            <w:tcW w:w="348" w:type="pct"/>
            <w:noWrap/>
            <w:vAlign w:val="center"/>
            <w:hideMark/>
          </w:tcPr>
          <w:p w14:paraId="581C453A" w14:textId="1700BCA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1E6DF3">
              <w:rPr>
                <w:rFonts w:ascii="Calibri" w:eastAsia="Times New Roman" w:hAnsi="Calibri" w:cs="Calibri"/>
                <w:color w:val="000000"/>
                <w:kern w:val="0"/>
                <w:lang w:val="en-GB" w:eastAsia="en-GB"/>
                <w14:ligatures w14:val="none"/>
              </w:rPr>
              <w:t>6</w:t>
            </w:r>
          </w:p>
        </w:tc>
      </w:tr>
      <w:tr w:rsidR="003D78FB" w:rsidRPr="00B20877" w14:paraId="3386270D" w14:textId="77777777" w:rsidTr="00D55363">
        <w:trPr>
          <w:trHeight w:val="60"/>
        </w:trPr>
        <w:tc>
          <w:tcPr>
            <w:tcW w:w="267" w:type="pct"/>
            <w:noWrap/>
            <w:vAlign w:val="center"/>
            <w:hideMark/>
          </w:tcPr>
          <w:p w14:paraId="2F316DD5" w14:textId="6BE5E9D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49</w:t>
            </w:r>
          </w:p>
        </w:tc>
        <w:tc>
          <w:tcPr>
            <w:tcW w:w="4384" w:type="pct"/>
            <w:vAlign w:val="center"/>
            <w:hideMark/>
          </w:tcPr>
          <w:p w14:paraId="164F4AE4" w14:textId="4D290A7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of report of valuation by registered valuer under section 514(3) of ITA 2025</w:t>
            </w:r>
          </w:p>
        </w:tc>
        <w:tc>
          <w:tcPr>
            <w:tcW w:w="348" w:type="pct"/>
            <w:noWrap/>
            <w:vAlign w:val="center"/>
            <w:hideMark/>
          </w:tcPr>
          <w:p w14:paraId="7AF8BD61" w14:textId="7426FE9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954251">
              <w:rPr>
                <w:rFonts w:ascii="Calibri" w:eastAsia="Times New Roman" w:hAnsi="Calibri" w:cs="Calibri"/>
                <w:color w:val="000000"/>
                <w:kern w:val="0"/>
                <w:lang w:val="en-GB" w:eastAsia="en-GB"/>
                <w14:ligatures w14:val="none"/>
              </w:rPr>
              <w:t>7</w:t>
            </w:r>
          </w:p>
        </w:tc>
      </w:tr>
      <w:tr w:rsidR="003D78FB" w:rsidRPr="00B20877" w14:paraId="619B6411" w14:textId="77777777" w:rsidTr="00D55363">
        <w:trPr>
          <w:trHeight w:val="60"/>
        </w:trPr>
        <w:tc>
          <w:tcPr>
            <w:tcW w:w="267" w:type="pct"/>
            <w:noWrap/>
            <w:vAlign w:val="center"/>
            <w:hideMark/>
          </w:tcPr>
          <w:p w14:paraId="3C94FE75" w14:textId="02A8A907"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50</w:t>
            </w:r>
          </w:p>
        </w:tc>
        <w:tc>
          <w:tcPr>
            <w:tcW w:w="4384" w:type="pct"/>
            <w:vAlign w:val="center"/>
            <w:hideMark/>
          </w:tcPr>
          <w:p w14:paraId="3AF29516" w14:textId="5C5175D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51 of the IT Rules, 1962 r.w Section 288(2)(vi) of ITA 1961) - Appearance by authorised representative</w:t>
            </w:r>
          </w:p>
        </w:tc>
        <w:tc>
          <w:tcPr>
            <w:tcW w:w="348" w:type="pct"/>
            <w:noWrap/>
            <w:vAlign w:val="center"/>
            <w:hideMark/>
          </w:tcPr>
          <w:p w14:paraId="074E4AE2" w14:textId="14F1DE2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E07BC9">
              <w:rPr>
                <w:rFonts w:ascii="Calibri" w:eastAsia="Times New Roman" w:hAnsi="Calibri" w:cs="Calibri"/>
                <w:color w:val="000000"/>
                <w:kern w:val="0"/>
                <w:lang w:val="en-GB" w:eastAsia="en-GB"/>
                <w14:ligatures w14:val="none"/>
              </w:rPr>
              <w:t>8</w:t>
            </w:r>
          </w:p>
        </w:tc>
      </w:tr>
      <w:tr w:rsidR="003D78FB" w:rsidRPr="00B20877" w14:paraId="1C301125" w14:textId="77777777" w:rsidTr="00D55363">
        <w:trPr>
          <w:trHeight w:val="60"/>
        </w:trPr>
        <w:tc>
          <w:tcPr>
            <w:tcW w:w="267" w:type="pct"/>
            <w:noWrap/>
            <w:vAlign w:val="center"/>
            <w:hideMark/>
          </w:tcPr>
          <w:p w14:paraId="215AC136" w14:textId="2BD5017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51</w:t>
            </w:r>
          </w:p>
        </w:tc>
        <w:tc>
          <w:tcPr>
            <w:tcW w:w="4384" w:type="pct"/>
            <w:vAlign w:val="center"/>
            <w:hideMark/>
          </w:tcPr>
          <w:p w14:paraId="31B2F0B6" w14:textId="061B8EF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Appearance by authorised representative in certain cases</w:t>
            </w:r>
          </w:p>
        </w:tc>
        <w:tc>
          <w:tcPr>
            <w:tcW w:w="348" w:type="pct"/>
            <w:noWrap/>
            <w:vAlign w:val="center"/>
            <w:hideMark/>
          </w:tcPr>
          <w:p w14:paraId="38C94385" w14:textId="66183B57"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4</w:t>
            </w:r>
            <w:r w:rsidR="00BC26D9">
              <w:rPr>
                <w:rFonts w:ascii="Calibri" w:eastAsia="Times New Roman" w:hAnsi="Calibri" w:cs="Calibri"/>
                <w:color w:val="000000"/>
                <w:kern w:val="0"/>
                <w:lang w:val="en-GB" w:eastAsia="en-GB"/>
                <w14:ligatures w14:val="none"/>
              </w:rPr>
              <w:t>8</w:t>
            </w:r>
          </w:p>
        </w:tc>
      </w:tr>
      <w:tr w:rsidR="003D78FB" w:rsidRPr="00B20877" w14:paraId="61AF442B" w14:textId="77777777" w:rsidTr="00D55363">
        <w:trPr>
          <w:trHeight w:val="290"/>
        </w:trPr>
        <w:tc>
          <w:tcPr>
            <w:tcW w:w="267" w:type="pct"/>
            <w:noWrap/>
            <w:vAlign w:val="center"/>
            <w:hideMark/>
          </w:tcPr>
          <w:p w14:paraId="7B0E8B62" w14:textId="611AD69D"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52</w:t>
            </w:r>
          </w:p>
        </w:tc>
        <w:tc>
          <w:tcPr>
            <w:tcW w:w="4384" w:type="pct"/>
            <w:vAlign w:val="center"/>
            <w:hideMark/>
          </w:tcPr>
          <w:p w14:paraId="780631B9" w14:textId="65D31CA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Register of income-tax practitioners</w:t>
            </w:r>
          </w:p>
        </w:tc>
        <w:tc>
          <w:tcPr>
            <w:tcW w:w="348" w:type="pct"/>
            <w:noWrap/>
            <w:vAlign w:val="center"/>
            <w:hideMark/>
          </w:tcPr>
          <w:p w14:paraId="20AE819E" w14:textId="0C754E7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F50493">
              <w:rPr>
                <w:rFonts w:ascii="Calibri" w:eastAsia="Times New Roman" w:hAnsi="Calibri" w:cs="Calibri"/>
                <w:color w:val="000000"/>
                <w:kern w:val="0"/>
                <w:lang w:val="en-GB" w:eastAsia="en-GB"/>
                <w14:ligatures w14:val="none"/>
              </w:rPr>
              <w:t>49</w:t>
            </w:r>
          </w:p>
        </w:tc>
      </w:tr>
      <w:tr w:rsidR="003D78FB" w:rsidRPr="00B20877" w14:paraId="3B119D92" w14:textId="77777777" w:rsidTr="00D55363">
        <w:trPr>
          <w:trHeight w:val="290"/>
        </w:trPr>
        <w:tc>
          <w:tcPr>
            <w:tcW w:w="267" w:type="pct"/>
            <w:noWrap/>
            <w:vAlign w:val="center"/>
            <w:hideMark/>
          </w:tcPr>
          <w:p w14:paraId="1BD70130" w14:textId="1AFF2C2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53</w:t>
            </w:r>
          </w:p>
        </w:tc>
        <w:tc>
          <w:tcPr>
            <w:tcW w:w="4384" w:type="pct"/>
            <w:vAlign w:val="center"/>
            <w:hideMark/>
          </w:tcPr>
          <w:p w14:paraId="22554091" w14:textId="14FFEE3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Application for registration</w:t>
            </w:r>
          </w:p>
        </w:tc>
        <w:tc>
          <w:tcPr>
            <w:tcW w:w="348" w:type="pct"/>
            <w:noWrap/>
            <w:vAlign w:val="center"/>
            <w:hideMark/>
          </w:tcPr>
          <w:p w14:paraId="3B9AC202" w14:textId="716F03F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88663A">
              <w:rPr>
                <w:rFonts w:ascii="Calibri" w:eastAsia="Times New Roman" w:hAnsi="Calibri" w:cs="Calibri"/>
                <w:color w:val="000000"/>
                <w:kern w:val="0"/>
                <w:lang w:val="en-GB" w:eastAsia="en-GB"/>
                <w14:ligatures w14:val="none"/>
              </w:rPr>
              <w:t>49</w:t>
            </w:r>
          </w:p>
        </w:tc>
      </w:tr>
      <w:tr w:rsidR="003D78FB" w:rsidRPr="00B20877" w14:paraId="5AD11551" w14:textId="77777777" w:rsidTr="00D55363">
        <w:trPr>
          <w:trHeight w:val="290"/>
        </w:trPr>
        <w:tc>
          <w:tcPr>
            <w:tcW w:w="267" w:type="pct"/>
            <w:noWrap/>
            <w:vAlign w:val="center"/>
            <w:hideMark/>
          </w:tcPr>
          <w:p w14:paraId="2DD6B186" w14:textId="069C657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54</w:t>
            </w:r>
          </w:p>
        </w:tc>
        <w:tc>
          <w:tcPr>
            <w:tcW w:w="4384" w:type="pct"/>
            <w:vAlign w:val="center"/>
            <w:hideMark/>
          </w:tcPr>
          <w:p w14:paraId="20652019" w14:textId="5AE15BC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Certificate of registration</w:t>
            </w:r>
          </w:p>
        </w:tc>
        <w:tc>
          <w:tcPr>
            <w:tcW w:w="348" w:type="pct"/>
            <w:noWrap/>
            <w:vAlign w:val="center"/>
            <w:hideMark/>
          </w:tcPr>
          <w:p w14:paraId="628D1E52" w14:textId="08D8C84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A47A35">
              <w:rPr>
                <w:rFonts w:ascii="Calibri" w:eastAsia="Times New Roman" w:hAnsi="Calibri" w:cs="Calibri"/>
                <w:color w:val="000000"/>
                <w:kern w:val="0"/>
                <w:lang w:val="en-GB" w:eastAsia="en-GB"/>
                <w14:ligatures w14:val="none"/>
              </w:rPr>
              <w:t>50</w:t>
            </w:r>
          </w:p>
        </w:tc>
      </w:tr>
      <w:tr w:rsidR="003D78FB" w:rsidRPr="00B20877" w14:paraId="06802FB5" w14:textId="77777777" w:rsidTr="00D55363">
        <w:trPr>
          <w:trHeight w:val="290"/>
        </w:trPr>
        <w:tc>
          <w:tcPr>
            <w:tcW w:w="267" w:type="pct"/>
            <w:noWrap/>
            <w:vAlign w:val="center"/>
            <w:hideMark/>
          </w:tcPr>
          <w:p w14:paraId="222BA2FD" w14:textId="1912235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55</w:t>
            </w:r>
          </w:p>
        </w:tc>
        <w:tc>
          <w:tcPr>
            <w:tcW w:w="4384" w:type="pct"/>
            <w:vAlign w:val="center"/>
            <w:hideMark/>
          </w:tcPr>
          <w:p w14:paraId="7F188039" w14:textId="566AE78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Cancellation of certificate obtained by misrepresentation</w:t>
            </w:r>
          </w:p>
        </w:tc>
        <w:tc>
          <w:tcPr>
            <w:tcW w:w="348" w:type="pct"/>
            <w:noWrap/>
            <w:vAlign w:val="center"/>
            <w:hideMark/>
          </w:tcPr>
          <w:p w14:paraId="69FC1360" w14:textId="48F5A0C3" w:rsidR="003D78FB" w:rsidRPr="00B20877" w:rsidRDefault="00A247A6" w:rsidP="003D78FB">
            <w:pPr>
              <w:spacing w:after="0" w:line="240" w:lineRule="auto"/>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5</w:t>
            </w:r>
            <w:r w:rsidR="006E071D">
              <w:rPr>
                <w:rFonts w:ascii="Calibri" w:eastAsia="Times New Roman" w:hAnsi="Calibri" w:cs="Calibri"/>
                <w:color w:val="000000"/>
                <w:kern w:val="0"/>
                <w:lang w:val="en-GB" w:eastAsia="en-GB"/>
                <w14:ligatures w14:val="none"/>
              </w:rPr>
              <w:t>0</w:t>
            </w:r>
          </w:p>
        </w:tc>
      </w:tr>
      <w:tr w:rsidR="003D78FB" w:rsidRPr="00B20877" w14:paraId="38D88513" w14:textId="77777777" w:rsidTr="00D55363">
        <w:trPr>
          <w:trHeight w:val="60"/>
        </w:trPr>
        <w:tc>
          <w:tcPr>
            <w:tcW w:w="267" w:type="pct"/>
            <w:noWrap/>
            <w:vAlign w:val="center"/>
            <w:hideMark/>
          </w:tcPr>
          <w:p w14:paraId="67C9A457" w14:textId="4FF585DA"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56</w:t>
            </w:r>
          </w:p>
        </w:tc>
        <w:tc>
          <w:tcPr>
            <w:tcW w:w="4384" w:type="pct"/>
            <w:vAlign w:val="center"/>
            <w:hideMark/>
          </w:tcPr>
          <w:p w14:paraId="3DB29E08" w14:textId="02DB128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2DB of the IT Rules, 1962(issued under section 10(23FE) of ITA 1961)</w:t>
            </w:r>
          </w:p>
        </w:tc>
        <w:tc>
          <w:tcPr>
            <w:tcW w:w="348" w:type="pct"/>
            <w:noWrap/>
            <w:vAlign w:val="center"/>
            <w:hideMark/>
          </w:tcPr>
          <w:p w14:paraId="08657F7D" w14:textId="5765FCA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5</w:t>
            </w:r>
            <w:r w:rsidR="009D5159">
              <w:rPr>
                <w:rFonts w:ascii="Calibri" w:eastAsia="Times New Roman" w:hAnsi="Calibri" w:cs="Calibri"/>
                <w:color w:val="000000"/>
                <w:kern w:val="0"/>
                <w:lang w:val="en-GB" w:eastAsia="en-GB"/>
                <w14:ligatures w14:val="none"/>
              </w:rPr>
              <w:t>0</w:t>
            </w:r>
          </w:p>
        </w:tc>
      </w:tr>
      <w:tr w:rsidR="003D78FB" w:rsidRPr="00B20877" w14:paraId="3445E200" w14:textId="77777777" w:rsidTr="00D55363">
        <w:trPr>
          <w:trHeight w:val="290"/>
        </w:trPr>
        <w:tc>
          <w:tcPr>
            <w:tcW w:w="267" w:type="pct"/>
            <w:noWrap/>
            <w:vAlign w:val="center"/>
            <w:hideMark/>
          </w:tcPr>
          <w:p w14:paraId="6575F940" w14:textId="59E1CEFD"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57</w:t>
            </w:r>
          </w:p>
        </w:tc>
        <w:tc>
          <w:tcPr>
            <w:tcW w:w="4384" w:type="pct"/>
            <w:vAlign w:val="center"/>
            <w:hideMark/>
          </w:tcPr>
          <w:p w14:paraId="79E7F3CC" w14:textId="486E39D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Recognised Provident Fund - Investment of fund moneys</w:t>
            </w:r>
          </w:p>
        </w:tc>
        <w:tc>
          <w:tcPr>
            <w:tcW w:w="348" w:type="pct"/>
            <w:noWrap/>
            <w:vAlign w:val="center"/>
            <w:hideMark/>
          </w:tcPr>
          <w:p w14:paraId="5280DA5C" w14:textId="5E958D8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E57A59">
              <w:rPr>
                <w:rFonts w:ascii="Calibri" w:eastAsia="Times New Roman" w:hAnsi="Calibri" w:cs="Calibri"/>
                <w:color w:val="000000"/>
                <w:kern w:val="0"/>
                <w:lang w:val="en-GB" w:eastAsia="en-GB"/>
                <w14:ligatures w14:val="none"/>
              </w:rPr>
              <w:t>1</w:t>
            </w:r>
          </w:p>
        </w:tc>
      </w:tr>
      <w:tr w:rsidR="003D78FB" w:rsidRPr="00B20877" w14:paraId="5ED743FF" w14:textId="77777777" w:rsidTr="00D55363">
        <w:trPr>
          <w:trHeight w:val="290"/>
        </w:trPr>
        <w:tc>
          <w:tcPr>
            <w:tcW w:w="267" w:type="pct"/>
            <w:noWrap/>
            <w:vAlign w:val="center"/>
            <w:hideMark/>
          </w:tcPr>
          <w:p w14:paraId="77FBE706" w14:textId="46CEB446"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58</w:t>
            </w:r>
          </w:p>
        </w:tc>
        <w:tc>
          <w:tcPr>
            <w:tcW w:w="4384" w:type="pct"/>
            <w:vAlign w:val="center"/>
            <w:hideMark/>
          </w:tcPr>
          <w:p w14:paraId="15DAC6E5" w14:textId="2A6A883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Recognised provident Fund - Application for recognition</w:t>
            </w:r>
          </w:p>
        </w:tc>
        <w:tc>
          <w:tcPr>
            <w:tcW w:w="348" w:type="pct"/>
            <w:noWrap/>
            <w:vAlign w:val="center"/>
            <w:hideMark/>
          </w:tcPr>
          <w:p w14:paraId="050D0075" w14:textId="5E11905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Pr>
                <w:rFonts w:ascii="Calibri" w:eastAsia="Times New Roman" w:hAnsi="Calibri" w:cs="Calibri"/>
                <w:color w:val="000000"/>
                <w:kern w:val="0"/>
                <w:lang w:val="en-GB" w:eastAsia="en-GB"/>
                <w14:ligatures w14:val="none"/>
              </w:rPr>
              <w:t>5</w:t>
            </w:r>
            <w:r w:rsidR="00AF7FFB">
              <w:rPr>
                <w:rFonts w:ascii="Calibri" w:eastAsia="Times New Roman" w:hAnsi="Calibri" w:cs="Calibri"/>
                <w:color w:val="000000"/>
                <w:kern w:val="0"/>
                <w:lang w:val="en-GB" w:eastAsia="en-GB"/>
                <w14:ligatures w14:val="none"/>
              </w:rPr>
              <w:t>2</w:t>
            </w:r>
          </w:p>
        </w:tc>
      </w:tr>
      <w:tr w:rsidR="003D78FB" w:rsidRPr="00B20877" w14:paraId="7148482C" w14:textId="77777777" w:rsidTr="00D55363">
        <w:trPr>
          <w:trHeight w:val="290"/>
        </w:trPr>
        <w:tc>
          <w:tcPr>
            <w:tcW w:w="267" w:type="pct"/>
            <w:noWrap/>
            <w:vAlign w:val="center"/>
            <w:hideMark/>
          </w:tcPr>
          <w:p w14:paraId="03587006" w14:textId="02E6BEA5"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59</w:t>
            </w:r>
          </w:p>
        </w:tc>
        <w:tc>
          <w:tcPr>
            <w:tcW w:w="4384" w:type="pct"/>
            <w:vAlign w:val="center"/>
            <w:hideMark/>
          </w:tcPr>
          <w:p w14:paraId="72CE363F" w14:textId="7279EAC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Gratuity Fund – Definitions</w:t>
            </w:r>
          </w:p>
        </w:tc>
        <w:tc>
          <w:tcPr>
            <w:tcW w:w="348" w:type="pct"/>
            <w:noWrap/>
            <w:vAlign w:val="center"/>
            <w:hideMark/>
          </w:tcPr>
          <w:p w14:paraId="6C040532" w14:textId="382DDBB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BC69ED">
              <w:rPr>
                <w:rFonts w:ascii="Calibri" w:eastAsia="Times New Roman" w:hAnsi="Calibri" w:cs="Calibri"/>
                <w:color w:val="000000"/>
                <w:kern w:val="0"/>
                <w:lang w:val="en-GB" w:eastAsia="en-GB"/>
                <w14:ligatures w14:val="none"/>
              </w:rPr>
              <w:t>2</w:t>
            </w:r>
          </w:p>
        </w:tc>
      </w:tr>
      <w:tr w:rsidR="003D78FB" w:rsidRPr="00B20877" w14:paraId="1450C2FC" w14:textId="77777777" w:rsidTr="00D55363">
        <w:trPr>
          <w:trHeight w:val="290"/>
        </w:trPr>
        <w:tc>
          <w:tcPr>
            <w:tcW w:w="267" w:type="pct"/>
            <w:noWrap/>
            <w:vAlign w:val="center"/>
            <w:hideMark/>
          </w:tcPr>
          <w:p w14:paraId="7D05A74F" w14:textId="692C71EB"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60</w:t>
            </w:r>
          </w:p>
        </w:tc>
        <w:tc>
          <w:tcPr>
            <w:tcW w:w="4384" w:type="pct"/>
            <w:vAlign w:val="center"/>
            <w:hideMark/>
          </w:tcPr>
          <w:p w14:paraId="5CF06E1E" w14:textId="7C18AC7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Gratuity Fund – Nomination</w:t>
            </w:r>
          </w:p>
        </w:tc>
        <w:tc>
          <w:tcPr>
            <w:tcW w:w="348" w:type="pct"/>
            <w:noWrap/>
            <w:vAlign w:val="center"/>
            <w:hideMark/>
          </w:tcPr>
          <w:p w14:paraId="0EBD6ECF" w14:textId="78ECB75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BC69ED">
              <w:rPr>
                <w:rFonts w:ascii="Calibri" w:eastAsia="Times New Roman" w:hAnsi="Calibri" w:cs="Calibri"/>
                <w:color w:val="000000"/>
                <w:kern w:val="0"/>
                <w:lang w:val="en-GB" w:eastAsia="en-GB"/>
                <w14:ligatures w14:val="none"/>
              </w:rPr>
              <w:t>2</w:t>
            </w:r>
          </w:p>
        </w:tc>
      </w:tr>
      <w:tr w:rsidR="003D78FB" w:rsidRPr="00B20877" w14:paraId="14DE81F0" w14:textId="77777777" w:rsidTr="00D55363">
        <w:trPr>
          <w:trHeight w:val="290"/>
        </w:trPr>
        <w:tc>
          <w:tcPr>
            <w:tcW w:w="267" w:type="pct"/>
            <w:noWrap/>
            <w:vAlign w:val="center"/>
            <w:hideMark/>
          </w:tcPr>
          <w:p w14:paraId="7954F178" w14:textId="691B2421"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61</w:t>
            </w:r>
          </w:p>
        </w:tc>
        <w:tc>
          <w:tcPr>
            <w:tcW w:w="4384" w:type="pct"/>
            <w:vAlign w:val="center"/>
            <w:hideMark/>
          </w:tcPr>
          <w:p w14:paraId="4AC08413" w14:textId="71C439B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Gratuity Fund - Application For Approval</w:t>
            </w:r>
          </w:p>
        </w:tc>
        <w:tc>
          <w:tcPr>
            <w:tcW w:w="348" w:type="pct"/>
            <w:noWrap/>
            <w:vAlign w:val="center"/>
            <w:hideMark/>
          </w:tcPr>
          <w:p w14:paraId="5697B3ED" w14:textId="02D8AA0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912E97">
              <w:rPr>
                <w:rFonts w:ascii="Calibri" w:eastAsia="Times New Roman" w:hAnsi="Calibri" w:cs="Calibri"/>
                <w:color w:val="000000"/>
                <w:kern w:val="0"/>
                <w:lang w:val="en-GB" w:eastAsia="en-GB"/>
                <w14:ligatures w14:val="none"/>
              </w:rPr>
              <w:t>3</w:t>
            </w:r>
          </w:p>
        </w:tc>
      </w:tr>
      <w:tr w:rsidR="003D78FB" w:rsidRPr="00B20877" w14:paraId="3FA6DA70" w14:textId="77777777" w:rsidTr="00D55363">
        <w:trPr>
          <w:trHeight w:val="290"/>
        </w:trPr>
        <w:tc>
          <w:tcPr>
            <w:tcW w:w="267" w:type="pct"/>
            <w:noWrap/>
            <w:vAlign w:val="center"/>
            <w:hideMark/>
          </w:tcPr>
          <w:p w14:paraId="372B8AD0" w14:textId="5145FC13"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62</w:t>
            </w:r>
          </w:p>
        </w:tc>
        <w:tc>
          <w:tcPr>
            <w:tcW w:w="4384" w:type="pct"/>
            <w:vAlign w:val="center"/>
            <w:hideMark/>
          </w:tcPr>
          <w:p w14:paraId="1C791100" w14:textId="7817470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Gratuity Fund – Appeal</w:t>
            </w:r>
          </w:p>
        </w:tc>
        <w:tc>
          <w:tcPr>
            <w:tcW w:w="348" w:type="pct"/>
            <w:noWrap/>
            <w:vAlign w:val="center"/>
            <w:hideMark/>
          </w:tcPr>
          <w:p w14:paraId="6B8DF2C2" w14:textId="17224E8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912E97">
              <w:rPr>
                <w:rFonts w:ascii="Calibri" w:eastAsia="Times New Roman" w:hAnsi="Calibri" w:cs="Calibri"/>
                <w:color w:val="000000"/>
                <w:kern w:val="0"/>
                <w:lang w:val="en-GB" w:eastAsia="en-GB"/>
                <w14:ligatures w14:val="none"/>
              </w:rPr>
              <w:t>3</w:t>
            </w:r>
          </w:p>
        </w:tc>
      </w:tr>
      <w:tr w:rsidR="003D78FB" w:rsidRPr="00B20877" w14:paraId="35908345" w14:textId="77777777" w:rsidTr="00D55363">
        <w:trPr>
          <w:trHeight w:val="290"/>
        </w:trPr>
        <w:tc>
          <w:tcPr>
            <w:tcW w:w="267" w:type="pct"/>
            <w:noWrap/>
            <w:vAlign w:val="center"/>
            <w:hideMark/>
          </w:tcPr>
          <w:p w14:paraId="7F16CC22" w14:textId="04E448EF"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63</w:t>
            </w:r>
          </w:p>
        </w:tc>
        <w:tc>
          <w:tcPr>
            <w:tcW w:w="4384" w:type="pct"/>
            <w:vAlign w:val="center"/>
            <w:hideMark/>
          </w:tcPr>
          <w:p w14:paraId="28A21F33" w14:textId="71DBF65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Limits of reserve for unexpired risks.</w:t>
            </w:r>
          </w:p>
        </w:tc>
        <w:tc>
          <w:tcPr>
            <w:tcW w:w="348" w:type="pct"/>
            <w:noWrap/>
            <w:vAlign w:val="center"/>
            <w:hideMark/>
          </w:tcPr>
          <w:p w14:paraId="6E93C243" w14:textId="4C58A89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AB163D">
              <w:rPr>
                <w:rFonts w:ascii="Calibri" w:eastAsia="Times New Roman" w:hAnsi="Calibri" w:cs="Calibri"/>
                <w:color w:val="000000"/>
                <w:kern w:val="0"/>
                <w:lang w:val="en-GB" w:eastAsia="en-GB"/>
                <w14:ligatures w14:val="none"/>
              </w:rPr>
              <w:t>4</w:t>
            </w:r>
          </w:p>
        </w:tc>
      </w:tr>
      <w:tr w:rsidR="003D78FB" w:rsidRPr="00B20877" w14:paraId="756EC44F" w14:textId="77777777" w:rsidTr="00D55363">
        <w:trPr>
          <w:trHeight w:val="290"/>
        </w:trPr>
        <w:tc>
          <w:tcPr>
            <w:tcW w:w="267" w:type="pct"/>
            <w:noWrap/>
            <w:vAlign w:val="center"/>
            <w:hideMark/>
          </w:tcPr>
          <w:p w14:paraId="0408BC85" w14:textId="44CEBF1B"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64</w:t>
            </w:r>
          </w:p>
        </w:tc>
        <w:tc>
          <w:tcPr>
            <w:tcW w:w="4384" w:type="pct"/>
            <w:vAlign w:val="center"/>
            <w:hideMark/>
          </w:tcPr>
          <w:p w14:paraId="5E34F49C" w14:textId="77939EF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Rule125 of the IT Rules, 1962</w:t>
            </w:r>
            <w:r w:rsidR="006D5657">
              <w:rPr>
                <w:rFonts w:ascii="Calibri" w:eastAsia="Times New Roman" w:hAnsi="Calibri" w:cs="Calibri"/>
                <w:color w:val="000000"/>
                <w:kern w:val="0"/>
                <w:lang w:val="en-GB" w:eastAsia="en-GB"/>
                <w14:ligatures w14:val="none"/>
              </w:rPr>
              <w:t xml:space="preserve">, </w:t>
            </w:r>
            <w:r w:rsidR="006D5657" w:rsidRPr="006D5657">
              <w:rPr>
                <w:rFonts w:ascii="Calibri" w:eastAsia="Times New Roman" w:hAnsi="Calibri" w:cs="Calibri"/>
                <w:color w:val="000000"/>
                <w:kern w:val="0"/>
                <w:lang w:val="en-GB" w:eastAsia="en-GB"/>
                <w14:ligatures w14:val="none"/>
              </w:rPr>
              <w:t>Rule 333 of the Draft IT Rules, 2026</w:t>
            </w:r>
          </w:p>
        </w:tc>
        <w:tc>
          <w:tcPr>
            <w:tcW w:w="348" w:type="pct"/>
            <w:noWrap/>
            <w:vAlign w:val="center"/>
            <w:hideMark/>
          </w:tcPr>
          <w:p w14:paraId="3098EAA7" w14:textId="287D9FB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576B82">
              <w:rPr>
                <w:rFonts w:ascii="Calibri" w:eastAsia="Times New Roman" w:hAnsi="Calibri" w:cs="Calibri"/>
                <w:color w:val="000000"/>
                <w:kern w:val="0"/>
                <w:lang w:val="en-GB" w:eastAsia="en-GB"/>
                <w14:ligatures w14:val="none"/>
              </w:rPr>
              <w:t>5</w:t>
            </w:r>
          </w:p>
        </w:tc>
      </w:tr>
      <w:tr w:rsidR="003D78FB" w:rsidRPr="00B20877" w14:paraId="5D50E904" w14:textId="77777777" w:rsidTr="00D55363">
        <w:trPr>
          <w:trHeight w:val="60"/>
        </w:trPr>
        <w:tc>
          <w:tcPr>
            <w:tcW w:w="267" w:type="pct"/>
            <w:noWrap/>
            <w:vAlign w:val="center"/>
            <w:hideMark/>
          </w:tcPr>
          <w:p w14:paraId="356DFB05" w14:textId="4A86572F"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65</w:t>
            </w:r>
          </w:p>
        </w:tc>
        <w:tc>
          <w:tcPr>
            <w:tcW w:w="4384" w:type="pct"/>
            <w:vAlign w:val="center"/>
            <w:hideMark/>
          </w:tcPr>
          <w:p w14:paraId="5743AD15" w14:textId="1132034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3CE (S. 44DA(2) of ITA 1961)(Rule 6G of Income Tax Rules 1962) - Audit Report under sub-section (2) of section 44DA of the Income-tax Act, 1961</w:t>
            </w:r>
          </w:p>
        </w:tc>
        <w:tc>
          <w:tcPr>
            <w:tcW w:w="348" w:type="pct"/>
            <w:noWrap/>
            <w:vAlign w:val="center"/>
            <w:hideMark/>
          </w:tcPr>
          <w:p w14:paraId="5A53D64B" w14:textId="1E903F0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E863E3">
              <w:rPr>
                <w:rFonts w:ascii="Calibri" w:eastAsia="Times New Roman" w:hAnsi="Calibri" w:cs="Calibri"/>
                <w:color w:val="000000"/>
                <w:kern w:val="0"/>
                <w:lang w:val="en-GB" w:eastAsia="en-GB"/>
                <w14:ligatures w14:val="none"/>
              </w:rPr>
              <w:t>6</w:t>
            </w:r>
          </w:p>
        </w:tc>
      </w:tr>
      <w:tr w:rsidR="003D78FB" w:rsidRPr="00B20877" w14:paraId="75EDE7CF" w14:textId="77777777" w:rsidTr="00D55363">
        <w:trPr>
          <w:trHeight w:val="290"/>
        </w:trPr>
        <w:tc>
          <w:tcPr>
            <w:tcW w:w="267" w:type="pct"/>
            <w:noWrap/>
            <w:vAlign w:val="center"/>
            <w:hideMark/>
          </w:tcPr>
          <w:p w14:paraId="04081C44" w14:textId="1ECB80E4"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66</w:t>
            </w:r>
          </w:p>
        </w:tc>
        <w:tc>
          <w:tcPr>
            <w:tcW w:w="4384" w:type="pct"/>
            <w:vAlign w:val="center"/>
            <w:hideMark/>
          </w:tcPr>
          <w:p w14:paraId="46312010" w14:textId="2932670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3CD</w:t>
            </w:r>
            <w:r w:rsidR="004A01D5">
              <w:rPr>
                <w:rFonts w:ascii="Calibri" w:eastAsia="Times New Roman" w:hAnsi="Calibri" w:cs="Calibri"/>
                <w:color w:val="000000"/>
                <w:kern w:val="0"/>
                <w:lang w:val="en-GB" w:eastAsia="en-GB"/>
                <w14:ligatures w14:val="none"/>
              </w:rPr>
              <w:t xml:space="preserve"> </w:t>
            </w:r>
          </w:p>
        </w:tc>
        <w:tc>
          <w:tcPr>
            <w:tcW w:w="348" w:type="pct"/>
            <w:noWrap/>
            <w:vAlign w:val="center"/>
            <w:hideMark/>
          </w:tcPr>
          <w:p w14:paraId="65A7EAF7" w14:textId="667C15D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E863E3">
              <w:rPr>
                <w:rFonts w:ascii="Calibri" w:eastAsia="Times New Roman" w:hAnsi="Calibri" w:cs="Calibri"/>
                <w:color w:val="000000"/>
                <w:kern w:val="0"/>
                <w:lang w:val="en-GB" w:eastAsia="en-GB"/>
                <w14:ligatures w14:val="none"/>
              </w:rPr>
              <w:t>7</w:t>
            </w:r>
          </w:p>
        </w:tc>
      </w:tr>
      <w:tr w:rsidR="003D78FB" w:rsidRPr="00B20877" w14:paraId="60D81D7B" w14:textId="77777777" w:rsidTr="00D55363">
        <w:trPr>
          <w:trHeight w:val="290"/>
        </w:trPr>
        <w:tc>
          <w:tcPr>
            <w:tcW w:w="267" w:type="pct"/>
            <w:noWrap/>
            <w:vAlign w:val="center"/>
            <w:hideMark/>
          </w:tcPr>
          <w:p w14:paraId="42E2E77C" w14:textId="001C6401"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67</w:t>
            </w:r>
          </w:p>
        </w:tc>
        <w:tc>
          <w:tcPr>
            <w:tcW w:w="4384" w:type="pct"/>
            <w:vAlign w:val="center"/>
            <w:hideMark/>
          </w:tcPr>
          <w:p w14:paraId="15D7607C" w14:textId="04C6BE2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10CCF (Referred under Rule 19AE of ITA 1961)</w:t>
            </w:r>
          </w:p>
        </w:tc>
        <w:tc>
          <w:tcPr>
            <w:tcW w:w="348" w:type="pct"/>
            <w:noWrap/>
            <w:vAlign w:val="center"/>
            <w:hideMark/>
          </w:tcPr>
          <w:p w14:paraId="029D1FC3" w14:textId="1144DDE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5</w:t>
            </w:r>
            <w:r w:rsidR="008B0064">
              <w:rPr>
                <w:rFonts w:ascii="Calibri" w:eastAsia="Times New Roman" w:hAnsi="Calibri" w:cs="Calibri"/>
                <w:color w:val="000000"/>
                <w:kern w:val="0"/>
                <w:lang w:val="en-GB" w:eastAsia="en-GB"/>
                <w14:ligatures w14:val="none"/>
              </w:rPr>
              <w:t>8</w:t>
            </w:r>
          </w:p>
        </w:tc>
      </w:tr>
      <w:tr w:rsidR="003D78FB" w:rsidRPr="00B20877" w14:paraId="6B654970" w14:textId="77777777" w:rsidTr="00D55363">
        <w:trPr>
          <w:trHeight w:val="290"/>
        </w:trPr>
        <w:tc>
          <w:tcPr>
            <w:tcW w:w="267" w:type="pct"/>
            <w:noWrap/>
            <w:vAlign w:val="center"/>
            <w:hideMark/>
          </w:tcPr>
          <w:p w14:paraId="5DEFE6E1" w14:textId="5C351E2D"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68</w:t>
            </w:r>
          </w:p>
        </w:tc>
        <w:tc>
          <w:tcPr>
            <w:tcW w:w="4384" w:type="pct"/>
            <w:vAlign w:val="center"/>
            <w:hideMark/>
          </w:tcPr>
          <w:p w14:paraId="5779257F" w14:textId="212B229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10CCF (Referred under Rule 19AE of ITA 1961)</w:t>
            </w:r>
          </w:p>
        </w:tc>
        <w:tc>
          <w:tcPr>
            <w:tcW w:w="348" w:type="pct"/>
            <w:noWrap/>
            <w:vAlign w:val="center"/>
            <w:hideMark/>
          </w:tcPr>
          <w:p w14:paraId="5DA05838" w14:textId="3DF822E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8B0064">
              <w:rPr>
                <w:rFonts w:ascii="Calibri" w:eastAsia="Times New Roman" w:hAnsi="Calibri" w:cs="Calibri"/>
                <w:color w:val="000000"/>
                <w:kern w:val="0"/>
                <w:lang w:val="en-GB" w:eastAsia="en-GB"/>
                <w14:ligatures w14:val="none"/>
              </w:rPr>
              <w:t>58</w:t>
            </w:r>
          </w:p>
        </w:tc>
      </w:tr>
      <w:tr w:rsidR="003D78FB" w:rsidRPr="00B20877" w14:paraId="61E113F1" w14:textId="77777777" w:rsidTr="00D55363">
        <w:trPr>
          <w:trHeight w:val="290"/>
        </w:trPr>
        <w:tc>
          <w:tcPr>
            <w:tcW w:w="267" w:type="pct"/>
            <w:noWrap/>
            <w:vAlign w:val="center"/>
            <w:hideMark/>
          </w:tcPr>
          <w:p w14:paraId="27BF3983" w14:textId="7CD39DCE"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69</w:t>
            </w:r>
          </w:p>
        </w:tc>
        <w:tc>
          <w:tcPr>
            <w:tcW w:w="4384" w:type="pct"/>
            <w:vAlign w:val="center"/>
            <w:hideMark/>
          </w:tcPr>
          <w:p w14:paraId="6E0E18C0" w14:textId="4769D4C7"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10CCF (Referred under Rule 19AE of ITA 1961)</w:t>
            </w:r>
          </w:p>
        </w:tc>
        <w:tc>
          <w:tcPr>
            <w:tcW w:w="348" w:type="pct"/>
            <w:noWrap/>
            <w:vAlign w:val="center"/>
            <w:hideMark/>
          </w:tcPr>
          <w:p w14:paraId="2DD86680" w14:textId="4FA1F31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7E4F3D">
              <w:rPr>
                <w:rFonts w:ascii="Calibri" w:eastAsia="Times New Roman" w:hAnsi="Calibri" w:cs="Calibri"/>
                <w:color w:val="000000"/>
                <w:kern w:val="0"/>
                <w:lang w:val="en-GB" w:eastAsia="en-GB"/>
                <w14:ligatures w14:val="none"/>
              </w:rPr>
              <w:t>59</w:t>
            </w:r>
          </w:p>
        </w:tc>
      </w:tr>
      <w:tr w:rsidR="003D78FB" w:rsidRPr="00B20877" w14:paraId="6359A0EA" w14:textId="77777777" w:rsidTr="00D55363">
        <w:trPr>
          <w:trHeight w:val="290"/>
        </w:trPr>
        <w:tc>
          <w:tcPr>
            <w:tcW w:w="267" w:type="pct"/>
            <w:noWrap/>
            <w:vAlign w:val="center"/>
            <w:hideMark/>
          </w:tcPr>
          <w:p w14:paraId="12C6DD6B" w14:textId="5D59E0EB"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70</w:t>
            </w:r>
          </w:p>
        </w:tc>
        <w:tc>
          <w:tcPr>
            <w:tcW w:w="4384" w:type="pct"/>
            <w:vAlign w:val="center"/>
            <w:hideMark/>
          </w:tcPr>
          <w:p w14:paraId="722915AE" w14:textId="76AA0B9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3CEFA, 3CEFB &amp; 3CEFC of the IT Rules, 1962</w:t>
            </w:r>
          </w:p>
        </w:tc>
        <w:tc>
          <w:tcPr>
            <w:tcW w:w="348" w:type="pct"/>
            <w:noWrap/>
            <w:vAlign w:val="center"/>
            <w:hideMark/>
          </w:tcPr>
          <w:p w14:paraId="2D319CD0" w14:textId="5F1C7C5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7E4F3D">
              <w:rPr>
                <w:rFonts w:ascii="Calibri" w:eastAsia="Times New Roman" w:hAnsi="Calibri" w:cs="Calibri"/>
                <w:color w:val="000000"/>
                <w:kern w:val="0"/>
                <w:lang w:val="en-GB" w:eastAsia="en-GB"/>
                <w14:ligatures w14:val="none"/>
              </w:rPr>
              <w:t>59</w:t>
            </w:r>
          </w:p>
        </w:tc>
      </w:tr>
      <w:tr w:rsidR="003D78FB" w:rsidRPr="00B20877" w14:paraId="29158B1D" w14:textId="77777777" w:rsidTr="00D55363">
        <w:trPr>
          <w:trHeight w:val="290"/>
        </w:trPr>
        <w:tc>
          <w:tcPr>
            <w:tcW w:w="267" w:type="pct"/>
            <w:noWrap/>
            <w:vAlign w:val="center"/>
            <w:hideMark/>
          </w:tcPr>
          <w:p w14:paraId="007F2A8C" w14:textId="5C168597"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71</w:t>
            </w:r>
          </w:p>
        </w:tc>
        <w:tc>
          <w:tcPr>
            <w:tcW w:w="4384" w:type="pct"/>
            <w:vAlign w:val="center"/>
            <w:hideMark/>
          </w:tcPr>
          <w:p w14:paraId="298FE1CD" w14:textId="3A944A6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10-IG (Referred under Rule 21AI of ITA 1961)</w:t>
            </w:r>
          </w:p>
        </w:tc>
        <w:tc>
          <w:tcPr>
            <w:tcW w:w="348" w:type="pct"/>
            <w:noWrap/>
            <w:vAlign w:val="center"/>
            <w:hideMark/>
          </w:tcPr>
          <w:p w14:paraId="0FD63E02" w14:textId="1B6F377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43D9C">
              <w:rPr>
                <w:rFonts w:ascii="Calibri" w:eastAsia="Times New Roman" w:hAnsi="Calibri" w:cs="Calibri"/>
                <w:color w:val="000000"/>
                <w:kern w:val="0"/>
                <w:lang w:val="en-GB" w:eastAsia="en-GB"/>
                <w14:ligatures w14:val="none"/>
              </w:rPr>
              <w:t>0</w:t>
            </w:r>
          </w:p>
        </w:tc>
      </w:tr>
      <w:tr w:rsidR="003D78FB" w:rsidRPr="00B20877" w14:paraId="468E55C1" w14:textId="77777777" w:rsidTr="00D55363">
        <w:trPr>
          <w:trHeight w:val="290"/>
        </w:trPr>
        <w:tc>
          <w:tcPr>
            <w:tcW w:w="267" w:type="pct"/>
            <w:noWrap/>
            <w:vAlign w:val="center"/>
            <w:hideMark/>
          </w:tcPr>
          <w:p w14:paraId="3A869218" w14:textId="670FD31C"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72</w:t>
            </w:r>
          </w:p>
        </w:tc>
        <w:tc>
          <w:tcPr>
            <w:tcW w:w="4384" w:type="pct"/>
            <w:vAlign w:val="center"/>
            <w:hideMark/>
          </w:tcPr>
          <w:p w14:paraId="579F678A" w14:textId="01EF752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10-IK (Referred under Rule 21AJA of ITA 1961)</w:t>
            </w:r>
          </w:p>
        </w:tc>
        <w:tc>
          <w:tcPr>
            <w:tcW w:w="348" w:type="pct"/>
            <w:noWrap/>
            <w:vAlign w:val="center"/>
            <w:hideMark/>
          </w:tcPr>
          <w:p w14:paraId="1953FFF0" w14:textId="5C2941E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43D9C">
              <w:rPr>
                <w:rFonts w:ascii="Calibri" w:eastAsia="Times New Roman" w:hAnsi="Calibri" w:cs="Calibri"/>
                <w:color w:val="000000"/>
                <w:kern w:val="0"/>
                <w:lang w:val="en-GB" w:eastAsia="en-GB"/>
                <w14:ligatures w14:val="none"/>
              </w:rPr>
              <w:t>0</w:t>
            </w:r>
          </w:p>
        </w:tc>
      </w:tr>
      <w:tr w:rsidR="003D78FB" w:rsidRPr="00B20877" w14:paraId="41DBF857" w14:textId="77777777" w:rsidTr="00D55363">
        <w:trPr>
          <w:trHeight w:val="290"/>
        </w:trPr>
        <w:tc>
          <w:tcPr>
            <w:tcW w:w="267" w:type="pct"/>
            <w:noWrap/>
            <w:vAlign w:val="center"/>
            <w:hideMark/>
          </w:tcPr>
          <w:p w14:paraId="5D7CB676" w14:textId="6522D088"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73</w:t>
            </w:r>
          </w:p>
        </w:tc>
        <w:tc>
          <w:tcPr>
            <w:tcW w:w="4384" w:type="pct"/>
            <w:vAlign w:val="center"/>
            <w:hideMark/>
          </w:tcPr>
          <w:p w14:paraId="1470B58C" w14:textId="1EE062C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Change in Scope of Applicant</w:t>
            </w:r>
          </w:p>
        </w:tc>
        <w:tc>
          <w:tcPr>
            <w:tcW w:w="348" w:type="pct"/>
            <w:noWrap/>
            <w:vAlign w:val="center"/>
            <w:hideMark/>
          </w:tcPr>
          <w:p w14:paraId="42F165D2" w14:textId="3EB0E55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43D9C">
              <w:rPr>
                <w:rFonts w:ascii="Calibri" w:eastAsia="Times New Roman" w:hAnsi="Calibri" w:cs="Calibri"/>
                <w:color w:val="000000"/>
                <w:kern w:val="0"/>
                <w:lang w:val="en-GB" w:eastAsia="en-GB"/>
                <w14:ligatures w14:val="none"/>
              </w:rPr>
              <w:t>0</w:t>
            </w:r>
          </w:p>
        </w:tc>
      </w:tr>
      <w:tr w:rsidR="003D78FB" w:rsidRPr="00B20877" w14:paraId="3C5BFE81" w14:textId="77777777" w:rsidTr="00D55363">
        <w:trPr>
          <w:trHeight w:val="290"/>
        </w:trPr>
        <w:tc>
          <w:tcPr>
            <w:tcW w:w="267" w:type="pct"/>
            <w:noWrap/>
            <w:vAlign w:val="center"/>
            <w:hideMark/>
          </w:tcPr>
          <w:p w14:paraId="2ED2ED49" w14:textId="03A6D8D0"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74</w:t>
            </w:r>
          </w:p>
        </w:tc>
        <w:tc>
          <w:tcPr>
            <w:tcW w:w="4384" w:type="pct"/>
            <w:vAlign w:val="center"/>
            <w:hideMark/>
          </w:tcPr>
          <w:p w14:paraId="6CE5CE87" w14:textId="0F6F447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xml:space="preserve">Form No. 10A,Draft Form No. 104 </w:t>
            </w:r>
          </w:p>
        </w:tc>
        <w:tc>
          <w:tcPr>
            <w:tcW w:w="348" w:type="pct"/>
            <w:noWrap/>
            <w:vAlign w:val="center"/>
            <w:hideMark/>
          </w:tcPr>
          <w:p w14:paraId="4730F60C" w14:textId="1275527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535AF4">
              <w:rPr>
                <w:rFonts w:ascii="Calibri" w:eastAsia="Times New Roman" w:hAnsi="Calibri" w:cs="Calibri"/>
                <w:color w:val="000000"/>
                <w:kern w:val="0"/>
                <w:lang w:val="en-GB" w:eastAsia="en-GB"/>
                <w14:ligatures w14:val="none"/>
              </w:rPr>
              <w:t>1</w:t>
            </w:r>
          </w:p>
        </w:tc>
      </w:tr>
      <w:tr w:rsidR="003D78FB" w:rsidRPr="00B20877" w14:paraId="5D44514A" w14:textId="77777777" w:rsidTr="00D55363">
        <w:trPr>
          <w:trHeight w:val="60"/>
        </w:trPr>
        <w:tc>
          <w:tcPr>
            <w:tcW w:w="267" w:type="pct"/>
            <w:noWrap/>
            <w:vAlign w:val="center"/>
            <w:hideMark/>
          </w:tcPr>
          <w:p w14:paraId="303F7407" w14:textId="32D84A27"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75</w:t>
            </w:r>
          </w:p>
        </w:tc>
        <w:tc>
          <w:tcPr>
            <w:tcW w:w="4384" w:type="pct"/>
            <w:vAlign w:val="center"/>
            <w:hideMark/>
          </w:tcPr>
          <w:p w14:paraId="0D53103B" w14:textId="357C555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No. 10AB Draft Form No. 105 – Application for registration under section 332 / approval under section 133(1)(b)(ii) under ITA 2025 (activities commenced)</w:t>
            </w:r>
          </w:p>
        </w:tc>
        <w:tc>
          <w:tcPr>
            <w:tcW w:w="348" w:type="pct"/>
            <w:noWrap/>
            <w:vAlign w:val="center"/>
            <w:hideMark/>
          </w:tcPr>
          <w:p w14:paraId="46A25930" w14:textId="7814272D"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535AF4">
              <w:rPr>
                <w:rFonts w:ascii="Calibri" w:eastAsia="Times New Roman" w:hAnsi="Calibri" w:cs="Calibri"/>
                <w:color w:val="000000"/>
                <w:kern w:val="0"/>
                <w:lang w:val="en-GB" w:eastAsia="en-GB"/>
                <w14:ligatures w14:val="none"/>
              </w:rPr>
              <w:t>1</w:t>
            </w:r>
          </w:p>
        </w:tc>
      </w:tr>
      <w:tr w:rsidR="003D78FB" w:rsidRPr="00B20877" w14:paraId="6E9B37DC" w14:textId="77777777" w:rsidTr="00D55363">
        <w:trPr>
          <w:trHeight w:val="60"/>
        </w:trPr>
        <w:tc>
          <w:tcPr>
            <w:tcW w:w="267" w:type="pct"/>
            <w:noWrap/>
            <w:vAlign w:val="center"/>
            <w:hideMark/>
          </w:tcPr>
          <w:p w14:paraId="20EF6F55" w14:textId="2EA1828D"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76</w:t>
            </w:r>
          </w:p>
        </w:tc>
        <w:tc>
          <w:tcPr>
            <w:tcW w:w="4384" w:type="pct"/>
            <w:vAlign w:val="center"/>
            <w:hideMark/>
          </w:tcPr>
          <w:p w14:paraId="1C8ED57D" w14:textId="456C1C2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10A and Form 10AB, Draft Form 104 and Draft Form 105</w:t>
            </w:r>
          </w:p>
        </w:tc>
        <w:tc>
          <w:tcPr>
            <w:tcW w:w="348" w:type="pct"/>
            <w:noWrap/>
            <w:vAlign w:val="center"/>
            <w:hideMark/>
          </w:tcPr>
          <w:p w14:paraId="2EA0EC6F" w14:textId="4A7C4F4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265E27">
              <w:rPr>
                <w:rFonts w:ascii="Calibri" w:eastAsia="Times New Roman" w:hAnsi="Calibri" w:cs="Calibri"/>
                <w:color w:val="000000"/>
                <w:kern w:val="0"/>
                <w:lang w:val="en-GB" w:eastAsia="en-GB"/>
                <w14:ligatures w14:val="none"/>
              </w:rPr>
              <w:t>2</w:t>
            </w:r>
          </w:p>
        </w:tc>
      </w:tr>
      <w:tr w:rsidR="003D78FB" w:rsidRPr="00B20877" w14:paraId="2CEF854B" w14:textId="77777777" w:rsidTr="00D55363">
        <w:trPr>
          <w:trHeight w:val="60"/>
        </w:trPr>
        <w:tc>
          <w:tcPr>
            <w:tcW w:w="267" w:type="pct"/>
            <w:noWrap/>
            <w:vAlign w:val="center"/>
            <w:hideMark/>
          </w:tcPr>
          <w:p w14:paraId="53BAF572" w14:textId="051A2089"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77</w:t>
            </w:r>
          </w:p>
        </w:tc>
        <w:tc>
          <w:tcPr>
            <w:tcW w:w="4384" w:type="pct"/>
            <w:vAlign w:val="center"/>
            <w:hideMark/>
          </w:tcPr>
          <w:p w14:paraId="46670070" w14:textId="0B9CFECD"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Non-inclusion of requirement to provide ‘Status’ of Recipient/Payee</w:t>
            </w:r>
          </w:p>
        </w:tc>
        <w:tc>
          <w:tcPr>
            <w:tcW w:w="348" w:type="pct"/>
            <w:noWrap/>
            <w:vAlign w:val="center"/>
            <w:hideMark/>
          </w:tcPr>
          <w:p w14:paraId="7888A359" w14:textId="1AF03BA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265E27">
              <w:rPr>
                <w:rFonts w:ascii="Calibri" w:eastAsia="Times New Roman" w:hAnsi="Calibri" w:cs="Calibri"/>
                <w:color w:val="000000"/>
                <w:kern w:val="0"/>
                <w:lang w:val="en-GB" w:eastAsia="en-GB"/>
                <w14:ligatures w14:val="none"/>
              </w:rPr>
              <w:t>2</w:t>
            </w:r>
          </w:p>
        </w:tc>
      </w:tr>
      <w:tr w:rsidR="003D78FB" w:rsidRPr="00B20877" w14:paraId="29A8C029" w14:textId="77777777" w:rsidTr="00D55363">
        <w:trPr>
          <w:trHeight w:val="290"/>
        </w:trPr>
        <w:tc>
          <w:tcPr>
            <w:tcW w:w="267" w:type="pct"/>
            <w:noWrap/>
            <w:vAlign w:val="center"/>
            <w:hideMark/>
          </w:tcPr>
          <w:p w14:paraId="7BD960BD" w14:textId="565EDBEB"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78</w:t>
            </w:r>
          </w:p>
        </w:tc>
        <w:tc>
          <w:tcPr>
            <w:tcW w:w="4384" w:type="pct"/>
            <w:vAlign w:val="center"/>
            <w:hideMark/>
          </w:tcPr>
          <w:p w14:paraId="5D613256" w14:textId="46C8C5F6"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The exemption details to be mentioned in the form</w:t>
            </w:r>
          </w:p>
        </w:tc>
        <w:tc>
          <w:tcPr>
            <w:tcW w:w="348" w:type="pct"/>
            <w:noWrap/>
            <w:vAlign w:val="center"/>
            <w:hideMark/>
          </w:tcPr>
          <w:p w14:paraId="74D4FADC" w14:textId="46E74C6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265E27">
              <w:rPr>
                <w:rFonts w:ascii="Calibri" w:eastAsia="Times New Roman" w:hAnsi="Calibri" w:cs="Calibri"/>
                <w:color w:val="000000"/>
                <w:kern w:val="0"/>
                <w:lang w:val="en-GB" w:eastAsia="en-GB"/>
                <w14:ligatures w14:val="none"/>
              </w:rPr>
              <w:t>2</w:t>
            </w:r>
          </w:p>
        </w:tc>
      </w:tr>
      <w:tr w:rsidR="003D78FB" w:rsidRPr="00B20877" w14:paraId="757CEF26" w14:textId="77777777" w:rsidTr="00D55363">
        <w:trPr>
          <w:trHeight w:val="290"/>
        </w:trPr>
        <w:tc>
          <w:tcPr>
            <w:tcW w:w="267" w:type="pct"/>
            <w:noWrap/>
            <w:vAlign w:val="center"/>
            <w:hideMark/>
          </w:tcPr>
          <w:p w14:paraId="49E0B0A6" w14:textId="1027B066"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79</w:t>
            </w:r>
          </w:p>
        </w:tc>
        <w:tc>
          <w:tcPr>
            <w:tcW w:w="4384" w:type="pct"/>
            <w:vAlign w:val="center"/>
            <w:hideMark/>
          </w:tcPr>
          <w:p w14:paraId="4BE59C48" w14:textId="3EDA9A6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61A, Form 165</w:t>
            </w:r>
          </w:p>
        </w:tc>
        <w:tc>
          <w:tcPr>
            <w:tcW w:w="348" w:type="pct"/>
            <w:noWrap/>
            <w:vAlign w:val="center"/>
            <w:hideMark/>
          </w:tcPr>
          <w:p w14:paraId="42A9570A" w14:textId="1D9D4BA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A82A37">
              <w:rPr>
                <w:rFonts w:ascii="Calibri" w:eastAsia="Times New Roman" w:hAnsi="Calibri" w:cs="Calibri"/>
                <w:color w:val="000000"/>
                <w:kern w:val="0"/>
                <w:lang w:val="en-GB" w:eastAsia="en-GB"/>
                <w14:ligatures w14:val="none"/>
              </w:rPr>
              <w:t>3</w:t>
            </w:r>
          </w:p>
        </w:tc>
      </w:tr>
      <w:tr w:rsidR="003D78FB" w:rsidRPr="00B20877" w14:paraId="0CFF432E" w14:textId="77777777" w:rsidTr="00D55363">
        <w:trPr>
          <w:trHeight w:val="60"/>
        </w:trPr>
        <w:tc>
          <w:tcPr>
            <w:tcW w:w="267" w:type="pct"/>
            <w:noWrap/>
            <w:vAlign w:val="center"/>
            <w:hideMark/>
          </w:tcPr>
          <w:p w14:paraId="54EF80CF" w14:textId="5DA6ED5A"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80</w:t>
            </w:r>
          </w:p>
        </w:tc>
        <w:tc>
          <w:tcPr>
            <w:tcW w:w="4384" w:type="pct"/>
            <w:vAlign w:val="center"/>
            <w:hideMark/>
          </w:tcPr>
          <w:p w14:paraId="032D76B8" w14:textId="352956CE"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206C(1G) - TCS on Remittance under LRS - TCS not applicable</w:t>
            </w:r>
          </w:p>
        </w:tc>
        <w:tc>
          <w:tcPr>
            <w:tcW w:w="348" w:type="pct"/>
            <w:noWrap/>
            <w:vAlign w:val="center"/>
            <w:hideMark/>
          </w:tcPr>
          <w:p w14:paraId="02302B71" w14:textId="741D1E0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A82A37">
              <w:rPr>
                <w:rFonts w:ascii="Calibri" w:eastAsia="Times New Roman" w:hAnsi="Calibri" w:cs="Calibri"/>
                <w:color w:val="000000"/>
                <w:kern w:val="0"/>
                <w:lang w:val="en-GB" w:eastAsia="en-GB"/>
                <w14:ligatures w14:val="none"/>
              </w:rPr>
              <w:t>3</w:t>
            </w:r>
          </w:p>
        </w:tc>
      </w:tr>
      <w:tr w:rsidR="003D78FB" w:rsidRPr="00B20877" w14:paraId="317BB8EC" w14:textId="77777777" w:rsidTr="00D55363">
        <w:trPr>
          <w:trHeight w:val="290"/>
        </w:trPr>
        <w:tc>
          <w:tcPr>
            <w:tcW w:w="267" w:type="pct"/>
            <w:noWrap/>
            <w:vAlign w:val="center"/>
            <w:hideMark/>
          </w:tcPr>
          <w:p w14:paraId="37C0FDDE" w14:textId="67EC8DA7"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81</w:t>
            </w:r>
          </w:p>
        </w:tc>
        <w:tc>
          <w:tcPr>
            <w:tcW w:w="4384" w:type="pct"/>
            <w:vAlign w:val="center"/>
            <w:hideMark/>
          </w:tcPr>
          <w:p w14:paraId="01D80EC7" w14:textId="467D507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Correction Return</w:t>
            </w:r>
          </w:p>
        </w:tc>
        <w:tc>
          <w:tcPr>
            <w:tcW w:w="348" w:type="pct"/>
            <w:noWrap/>
            <w:vAlign w:val="center"/>
            <w:hideMark/>
          </w:tcPr>
          <w:p w14:paraId="58BBA37C" w14:textId="0AC2E18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612386">
              <w:rPr>
                <w:rFonts w:ascii="Calibri" w:eastAsia="Times New Roman" w:hAnsi="Calibri" w:cs="Calibri"/>
                <w:color w:val="000000"/>
                <w:kern w:val="0"/>
                <w:lang w:val="en-GB" w:eastAsia="en-GB"/>
                <w14:ligatures w14:val="none"/>
              </w:rPr>
              <w:t>4</w:t>
            </w:r>
          </w:p>
        </w:tc>
      </w:tr>
      <w:tr w:rsidR="003D78FB" w:rsidRPr="00B20877" w14:paraId="4404AFBD" w14:textId="77777777" w:rsidTr="00D55363">
        <w:trPr>
          <w:trHeight w:val="290"/>
        </w:trPr>
        <w:tc>
          <w:tcPr>
            <w:tcW w:w="267" w:type="pct"/>
            <w:noWrap/>
            <w:vAlign w:val="center"/>
            <w:hideMark/>
          </w:tcPr>
          <w:p w14:paraId="7271FD4A" w14:textId="79033873"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82</w:t>
            </w:r>
          </w:p>
        </w:tc>
        <w:tc>
          <w:tcPr>
            <w:tcW w:w="4384" w:type="pct"/>
            <w:vAlign w:val="center"/>
            <w:hideMark/>
          </w:tcPr>
          <w:p w14:paraId="1A0EEBA2" w14:textId="38E07CA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Deductee/Collectee Reference No. in TDS/TCS Returns</w:t>
            </w:r>
          </w:p>
        </w:tc>
        <w:tc>
          <w:tcPr>
            <w:tcW w:w="348" w:type="pct"/>
            <w:noWrap/>
            <w:vAlign w:val="center"/>
            <w:hideMark/>
          </w:tcPr>
          <w:p w14:paraId="4972611F" w14:textId="1CB8D91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612386">
              <w:rPr>
                <w:rFonts w:ascii="Calibri" w:eastAsia="Times New Roman" w:hAnsi="Calibri" w:cs="Calibri"/>
                <w:color w:val="000000"/>
                <w:kern w:val="0"/>
                <w:lang w:val="en-GB" w:eastAsia="en-GB"/>
                <w14:ligatures w14:val="none"/>
              </w:rPr>
              <w:t>4</w:t>
            </w:r>
          </w:p>
        </w:tc>
      </w:tr>
      <w:tr w:rsidR="003D78FB" w:rsidRPr="00B20877" w14:paraId="4A759D0A" w14:textId="77777777" w:rsidTr="00D55363">
        <w:trPr>
          <w:trHeight w:val="290"/>
        </w:trPr>
        <w:tc>
          <w:tcPr>
            <w:tcW w:w="267" w:type="pct"/>
            <w:noWrap/>
            <w:vAlign w:val="center"/>
            <w:hideMark/>
          </w:tcPr>
          <w:p w14:paraId="02D6B876" w14:textId="0B998C7E"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83</w:t>
            </w:r>
          </w:p>
        </w:tc>
        <w:tc>
          <w:tcPr>
            <w:tcW w:w="4384" w:type="pct"/>
            <w:vAlign w:val="center"/>
            <w:hideMark/>
          </w:tcPr>
          <w:p w14:paraId="026F2F55" w14:textId="3C027B7D"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Remarks for inoperative PAN</w:t>
            </w:r>
          </w:p>
        </w:tc>
        <w:tc>
          <w:tcPr>
            <w:tcW w:w="348" w:type="pct"/>
            <w:noWrap/>
            <w:vAlign w:val="center"/>
            <w:hideMark/>
          </w:tcPr>
          <w:p w14:paraId="7E7786A6" w14:textId="133E31A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D5D23">
              <w:rPr>
                <w:rFonts w:ascii="Calibri" w:eastAsia="Times New Roman" w:hAnsi="Calibri" w:cs="Calibri"/>
                <w:color w:val="000000"/>
                <w:kern w:val="0"/>
                <w:lang w:val="en-GB" w:eastAsia="en-GB"/>
                <w14:ligatures w14:val="none"/>
              </w:rPr>
              <w:t>5</w:t>
            </w:r>
          </w:p>
        </w:tc>
      </w:tr>
      <w:tr w:rsidR="003D78FB" w:rsidRPr="00B20877" w14:paraId="180B1E33" w14:textId="77777777" w:rsidTr="00D55363">
        <w:trPr>
          <w:trHeight w:val="60"/>
        </w:trPr>
        <w:tc>
          <w:tcPr>
            <w:tcW w:w="267" w:type="pct"/>
            <w:noWrap/>
            <w:vAlign w:val="center"/>
            <w:hideMark/>
          </w:tcPr>
          <w:p w14:paraId="1D165BE1" w14:textId="1CAF62DE"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84</w:t>
            </w:r>
          </w:p>
        </w:tc>
        <w:tc>
          <w:tcPr>
            <w:tcW w:w="4384" w:type="pct"/>
            <w:vAlign w:val="center"/>
            <w:hideMark/>
          </w:tcPr>
          <w:p w14:paraId="7DCF9902" w14:textId="09829B5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15CA / 15CB - 145/146, Aligning Nature of remittance with RBI purpose code descriptions.</w:t>
            </w:r>
          </w:p>
        </w:tc>
        <w:tc>
          <w:tcPr>
            <w:tcW w:w="348" w:type="pct"/>
            <w:noWrap/>
            <w:vAlign w:val="center"/>
            <w:hideMark/>
          </w:tcPr>
          <w:p w14:paraId="202DCC80" w14:textId="1DE18A2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D5D23">
              <w:rPr>
                <w:rFonts w:ascii="Calibri" w:eastAsia="Times New Roman" w:hAnsi="Calibri" w:cs="Calibri"/>
                <w:color w:val="000000"/>
                <w:kern w:val="0"/>
                <w:lang w:val="en-GB" w:eastAsia="en-GB"/>
                <w14:ligatures w14:val="none"/>
              </w:rPr>
              <w:t>5</w:t>
            </w:r>
          </w:p>
        </w:tc>
      </w:tr>
      <w:tr w:rsidR="003D78FB" w:rsidRPr="00B20877" w14:paraId="7BE9DE69" w14:textId="77777777" w:rsidTr="00D55363">
        <w:trPr>
          <w:trHeight w:val="290"/>
        </w:trPr>
        <w:tc>
          <w:tcPr>
            <w:tcW w:w="267" w:type="pct"/>
            <w:noWrap/>
            <w:vAlign w:val="center"/>
            <w:hideMark/>
          </w:tcPr>
          <w:p w14:paraId="7D9239E1" w14:textId="0F708EC1"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85</w:t>
            </w:r>
          </w:p>
        </w:tc>
        <w:tc>
          <w:tcPr>
            <w:tcW w:w="4384" w:type="pct"/>
            <w:vAlign w:val="center"/>
            <w:hideMark/>
          </w:tcPr>
          <w:p w14:paraId="6DC36525" w14:textId="0C9C6FC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Form 36 of Old Form – Appeal to Appellate Tribunal</w:t>
            </w:r>
          </w:p>
        </w:tc>
        <w:tc>
          <w:tcPr>
            <w:tcW w:w="348" w:type="pct"/>
            <w:noWrap/>
            <w:vAlign w:val="center"/>
            <w:hideMark/>
          </w:tcPr>
          <w:p w14:paraId="7C0C38BE" w14:textId="175D4DA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D5D23">
              <w:rPr>
                <w:rFonts w:ascii="Calibri" w:eastAsia="Times New Roman" w:hAnsi="Calibri" w:cs="Calibri"/>
                <w:color w:val="000000"/>
                <w:kern w:val="0"/>
                <w:lang w:val="en-GB" w:eastAsia="en-GB"/>
                <w14:ligatures w14:val="none"/>
              </w:rPr>
              <w:t>6</w:t>
            </w:r>
          </w:p>
        </w:tc>
      </w:tr>
      <w:tr w:rsidR="003D78FB" w:rsidRPr="00B20877" w14:paraId="11CD4017" w14:textId="77777777" w:rsidTr="00D55363">
        <w:trPr>
          <w:trHeight w:val="290"/>
        </w:trPr>
        <w:tc>
          <w:tcPr>
            <w:tcW w:w="267" w:type="pct"/>
            <w:noWrap/>
            <w:vAlign w:val="center"/>
            <w:hideMark/>
          </w:tcPr>
          <w:p w14:paraId="5606590E" w14:textId="6C214D1D"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86</w:t>
            </w:r>
          </w:p>
        </w:tc>
        <w:tc>
          <w:tcPr>
            <w:tcW w:w="4384" w:type="pct"/>
            <w:vAlign w:val="center"/>
            <w:hideMark/>
          </w:tcPr>
          <w:p w14:paraId="4C93521D" w14:textId="2181AFD1"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159 of draft IT rules 2026 (Rule 114B of IT rules 1962)</w:t>
            </w:r>
          </w:p>
        </w:tc>
        <w:tc>
          <w:tcPr>
            <w:tcW w:w="348" w:type="pct"/>
            <w:noWrap/>
            <w:vAlign w:val="center"/>
            <w:hideMark/>
          </w:tcPr>
          <w:p w14:paraId="4AC20F2E" w14:textId="1D40E2E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3D5D23">
              <w:rPr>
                <w:rFonts w:ascii="Calibri" w:eastAsia="Times New Roman" w:hAnsi="Calibri" w:cs="Calibri"/>
                <w:color w:val="000000"/>
                <w:kern w:val="0"/>
                <w:lang w:val="en-GB" w:eastAsia="en-GB"/>
                <w14:ligatures w14:val="none"/>
              </w:rPr>
              <w:t>6</w:t>
            </w:r>
          </w:p>
        </w:tc>
      </w:tr>
      <w:tr w:rsidR="003D78FB" w:rsidRPr="00B20877" w14:paraId="6DCCB365" w14:textId="77777777" w:rsidTr="00D55363">
        <w:trPr>
          <w:trHeight w:val="60"/>
        </w:trPr>
        <w:tc>
          <w:tcPr>
            <w:tcW w:w="267" w:type="pct"/>
            <w:noWrap/>
            <w:vAlign w:val="center"/>
            <w:hideMark/>
          </w:tcPr>
          <w:p w14:paraId="0A2066CF" w14:textId="54984AEB"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87</w:t>
            </w:r>
          </w:p>
        </w:tc>
        <w:tc>
          <w:tcPr>
            <w:tcW w:w="4384" w:type="pct"/>
            <w:vAlign w:val="center"/>
            <w:hideMark/>
          </w:tcPr>
          <w:p w14:paraId="1814CC5F" w14:textId="653E6CCD"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“Merchant banker” definition in draft Income Tax Rules 2026</w:t>
            </w:r>
          </w:p>
        </w:tc>
        <w:tc>
          <w:tcPr>
            <w:tcW w:w="348" w:type="pct"/>
            <w:noWrap/>
            <w:vAlign w:val="center"/>
            <w:hideMark/>
          </w:tcPr>
          <w:p w14:paraId="70F122B0" w14:textId="31F96BB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6</w:t>
            </w:r>
            <w:r w:rsidR="009E5A97">
              <w:rPr>
                <w:rFonts w:ascii="Calibri" w:eastAsia="Times New Roman" w:hAnsi="Calibri" w:cs="Calibri"/>
                <w:color w:val="000000"/>
                <w:kern w:val="0"/>
                <w:lang w:val="en-GB" w:eastAsia="en-GB"/>
                <w14:ligatures w14:val="none"/>
              </w:rPr>
              <w:t>7</w:t>
            </w:r>
          </w:p>
        </w:tc>
      </w:tr>
      <w:tr w:rsidR="003D78FB" w:rsidRPr="00B20877" w14:paraId="76E3C4F8" w14:textId="77777777" w:rsidTr="00D55363">
        <w:trPr>
          <w:trHeight w:val="290"/>
        </w:trPr>
        <w:tc>
          <w:tcPr>
            <w:tcW w:w="267" w:type="pct"/>
            <w:noWrap/>
            <w:vAlign w:val="center"/>
            <w:hideMark/>
          </w:tcPr>
          <w:p w14:paraId="610B1476" w14:textId="717EFD19"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88</w:t>
            </w:r>
          </w:p>
        </w:tc>
        <w:tc>
          <w:tcPr>
            <w:tcW w:w="4384" w:type="pct"/>
            <w:vAlign w:val="center"/>
            <w:hideMark/>
          </w:tcPr>
          <w:p w14:paraId="011CECEE" w14:textId="3E2EAC95"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Electronical verification of Form 5</w:t>
            </w:r>
            <w:r w:rsidR="001F6FC0">
              <w:rPr>
                <w:rFonts w:ascii="Calibri" w:eastAsia="Times New Roman" w:hAnsi="Calibri" w:cs="Calibri"/>
                <w:color w:val="000000"/>
                <w:kern w:val="0"/>
                <w:lang w:val="en-GB" w:eastAsia="en-GB"/>
                <w14:ligatures w14:val="none"/>
              </w:rPr>
              <w:t xml:space="preserve"> </w:t>
            </w:r>
            <w:r w:rsidR="001F6FC0" w:rsidRPr="001F6FC0">
              <w:rPr>
                <w:rFonts w:ascii="Calibri" w:eastAsia="Times New Roman" w:hAnsi="Calibri" w:cs="Calibri"/>
                <w:color w:val="000000"/>
                <w:kern w:val="0"/>
                <w:lang w:val="en-GB" w:eastAsia="en-GB"/>
                <w14:ligatures w14:val="none"/>
              </w:rPr>
              <w:t>Rule 6ABBB of IT Rules 1962 (referred in S. 35D of ITA 1961)</w:t>
            </w:r>
          </w:p>
        </w:tc>
        <w:tc>
          <w:tcPr>
            <w:tcW w:w="348" w:type="pct"/>
            <w:noWrap/>
            <w:vAlign w:val="center"/>
            <w:hideMark/>
          </w:tcPr>
          <w:p w14:paraId="4DBA15D1" w14:textId="6951DBC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664514">
              <w:rPr>
                <w:rFonts w:ascii="Calibri" w:eastAsia="Times New Roman" w:hAnsi="Calibri" w:cs="Calibri"/>
                <w:color w:val="000000"/>
                <w:kern w:val="0"/>
                <w:lang w:val="en-GB" w:eastAsia="en-GB"/>
                <w14:ligatures w14:val="none"/>
              </w:rPr>
              <w:t>69</w:t>
            </w:r>
          </w:p>
        </w:tc>
      </w:tr>
      <w:tr w:rsidR="003D78FB" w:rsidRPr="00B20877" w14:paraId="67BC3140" w14:textId="77777777" w:rsidTr="00D55363">
        <w:trPr>
          <w:trHeight w:val="290"/>
        </w:trPr>
        <w:tc>
          <w:tcPr>
            <w:tcW w:w="267" w:type="pct"/>
            <w:noWrap/>
            <w:vAlign w:val="center"/>
            <w:hideMark/>
          </w:tcPr>
          <w:p w14:paraId="1B0865CB" w14:textId="2FC09F38"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89</w:t>
            </w:r>
          </w:p>
        </w:tc>
        <w:tc>
          <w:tcPr>
            <w:tcW w:w="4384" w:type="pct"/>
            <w:vAlign w:val="center"/>
            <w:hideMark/>
          </w:tcPr>
          <w:p w14:paraId="2C35CE6D" w14:textId="620BCA0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Certificate of foreign inward remittance</w:t>
            </w:r>
          </w:p>
        </w:tc>
        <w:tc>
          <w:tcPr>
            <w:tcW w:w="348" w:type="pct"/>
            <w:noWrap/>
            <w:vAlign w:val="center"/>
            <w:hideMark/>
          </w:tcPr>
          <w:p w14:paraId="273CEF7C" w14:textId="7241C2E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664514">
              <w:rPr>
                <w:rFonts w:ascii="Calibri" w:eastAsia="Times New Roman" w:hAnsi="Calibri" w:cs="Calibri"/>
                <w:color w:val="000000"/>
                <w:kern w:val="0"/>
                <w:lang w:val="en-GB" w:eastAsia="en-GB"/>
                <w14:ligatures w14:val="none"/>
              </w:rPr>
              <w:t>69</w:t>
            </w:r>
          </w:p>
        </w:tc>
      </w:tr>
      <w:tr w:rsidR="003D78FB" w:rsidRPr="00B20877" w14:paraId="45EDAA1B" w14:textId="77777777" w:rsidTr="00D55363">
        <w:trPr>
          <w:trHeight w:val="290"/>
        </w:trPr>
        <w:tc>
          <w:tcPr>
            <w:tcW w:w="267" w:type="pct"/>
            <w:noWrap/>
            <w:vAlign w:val="center"/>
            <w:hideMark/>
          </w:tcPr>
          <w:p w14:paraId="39BA4FD9" w14:textId="0BA8F9FE"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90</w:t>
            </w:r>
          </w:p>
        </w:tc>
        <w:tc>
          <w:tcPr>
            <w:tcW w:w="4384" w:type="pct"/>
            <w:vAlign w:val="center"/>
            <w:hideMark/>
          </w:tcPr>
          <w:p w14:paraId="3B960B61" w14:textId="1AA74C3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xml:space="preserve">Rule 47 issued under Section 253 of ITA 1961 </w:t>
            </w:r>
          </w:p>
        </w:tc>
        <w:tc>
          <w:tcPr>
            <w:tcW w:w="348" w:type="pct"/>
            <w:noWrap/>
            <w:vAlign w:val="center"/>
            <w:hideMark/>
          </w:tcPr>
          <w:p w14:paraId="063F5006" w14:textId="78B17CE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DD14B2">
              <w:rPr>
                <w:rFonts w:ascii="Calibri" w:eastAsia="Times New Roman" w:hAnsi="Calibri" w:cs="Calibri"/>
                <w:color w:val="000000"/>
                <w:kern w:val="0"/>
                <w:lang w:val="en-GB" w:eastAsia="en-GB"/>
                <w14:ligatures w14:val="none"/>
              </w:rPr>
              <w:t>0</w:t>
            </w:r>
          </w:p>
        </w:tc>
      </w:tr>
      <w:tr w:rsidR="003D78FB" w:rsidRPr="00B20877" w14:paraId="47637511" w14:textId="77777777" w:rsidTr="00D55363">
        <w:trPr>
          <w:trHeight w:val="60"/>
        </w:trPr>
        <w:tc>
          <w:tcPr>
            <w:tcW w:w="267" w:type="pct"/>
            <w:noWrap/>
            <w:vAlign w:val="center"/>
            <w:hideMark/>
          </w:tcPr>
          <w:p w14:paraId="49A3A2ED" w14:textId="6C8B4629"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91</w:t>
            </w:r>
          </w:p>
        </w:tc>
        <w:tc>
          <w:tcPr>
            <w:tcW w:w="4384" w:type="pct"/>
            <w:vAlign w:val="center"/>
            <w:hideMark/>
          </w:tcPr>
          <w:p w14:paraId="25AE4520" w14:textId="3AB8D66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Application for obtaining an advance ruling under section 383 of ITA 2025</w:t>
            </w:r>
          </w:p>
        </w:tc>
        <w:tc>
          <w:tcPr>
            <w:tcW w:w="348" w:type="pct"/>
            <w:noWrap/>
            <w:vAlign w:val="center"/>
            <w:hideMark/>
          </w:tcPr>
          <w:p w14:paraId="299EAD1A" w14:textId="362EF4DB"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DD14B2">
              <w:rPr>
                <w:rFonts w:ascii="Calibri" w:eastAsia="Times New Roman" w:hAnsi="Calibri" w:cs="Calibri"/>
                <w:color w:val="000000"/>
                <w:kern w:val="0"/>
                <w:lang w:val="en-GB" w:eastAsia="en-GB"/>
                <w14:ligatures w14:val="none"/>
              </w:rPr>
              <w:t>0</w:t>
            </w:r>
          </w:p>
        </w:tc>
      </w:tr>
      <w:tr w:rsidR="003D78FB" w:rsidRPr="00B20877" w14:paraId="553D99DE" w14:textId="77777777" w:rsidTr="00D55363">
        <w:trPr>
          <w:trHeight w:val="290"/>
        </w:trPr>
        <w:tc>
          <w:tcPr>
            <w:tcW w:w="267" w:type="pct"/>
            <w:noWrap/>
            <w:vAlign w:val="center"/>
            <w:hideMark/>
          </w:tcPr>
          <w:p w14:paraId="4D8EF6F9" w14:textId="360F7846"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92</w:t>
            </w:r>
          </w:p>
        </w:tc>
        <w:tc>
          <w:tcPr>
            <w:tcW w:w="4384" w:type="pct"/>
            <w:vAlign w:val="center"/>
            <w:hideMark/>
          </w:tcPr>
          <w:p w14:paraId="00A59A95" w14:textId="7425AC4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xml:space="preserve">Due diligence requirement </w:t>
            </w:r>
          </w:p>
        </w:tc>
        <w:tc>
          <w:tcPr>
            <w:tcW w:w="348" w:type="pct"/>
            <w:noWrap/>
            <w:vAlign w:val="center"/>
            <w:hideMark/>
          </w:tcPr>
          <w:p w14:paraId="6C27FDB9" w14:textId="600EA77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7B2927">
              <w:rPr>
                <w:rFonts w:ascii="Calibri" w:eastAsia="Times New Roman" w:hAnsi="Calibri" w:cs="Calibri"/>
                <w:color w:val="000000"/>
                <w:kern w:val="0"/>
                <w:lang w:val="en-GB" w:eastAsia="en-GB"/>
                <w14:ligatures w14:val="none"/>
              </w:rPr>
              <w:t>3</w:t>
            </w:r>
          </w:p>
        </w:tc>
      </w:tr>
      <w:tr w:rsidR="003D78FB" w:rsidRPr="00B20877" w14:paraId="6932CCC8" w14:textId="77777777" w:rsidTr="00D55363">
        <w:trPr>
          <w:trHeight w:val="60"/>
        </w:trPr>
        <w:tc>
          <w:tcPr>
            <w:tcW w:w="267" w:type="pct"/>
            <w:noWrap/>
            <w:vAlign w:val="center"/>
            <w:hideMark/>
          </w:tcPr>
          <w:p w14:paraId="3744C22D" w14:textId="0A85E622"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93</w:t>
            </w:r>
          </w:p>
        </w:tc>
        <w:tc>
          <w:tcPr>
            <w:tcW w:w="4384" w:type="pct"/>
            <w:vAlign w:val="center"/>
            <w:hideMark/>
          </w:tcPr>
          <w:p w14:paraId="63D9FABB" w14:textId="6F5B2990"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Clause (a) of the Explanation to Rule 114F(1) of IT Rules 1962</w:t>
            </w:r>
          </w:p>
        </w:tc>
        <w:tc>
          <w:tcPr>
            <w:tcW w:w="348" w:type="pct"/>
            <w:noWrap/>
            <w:vAlign w:val="center"/>
            <w:hideMark/>
          </w:tcPr>
          <w:p w14:paraId="3C74D597" w14:textId="7B0792F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7E319F">
              <w:rPr>
                <w:rFonts w:ascii="Calibri" w:eastAsia="Times New Roman" w:hAnsi="Calibri" w:cs="Calibri"/>
                <w:color w:val="000000"/>
                <w:kern w:val="0"/>
                <w:lang w:val="en-GB" w:eastAsia="en-GB"/>
                <w14:ligatures w14:val="none"/>
              </w:rPr>
              <w:t>4</w:t>
            </w:r>
          </w:p>
        </w:tc>
      </w:tr>
      <w:tr w:rsidR="003D78FB" w:rsidRPr="00B20877" w14:paraId="5176DE96" w14:textId="77777777" w:rsidTr="00D55363">
        <w:trPr>
          <w:trHeight w:val="60"/>
        </w:trPr>
        <w:tc>
          <w:tcPr>
            <w:tcW w:w="267" w:type="pct"/>
            <w:noWrap/>
            <w:vAlign w:val="center"/>
            <w:hideMark/>
          </w:tcPr>
          <w:p w14:paraId="5CE70712" w14:textId="4DDA4B84"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94</w:t>
            </w:r>
          </w:p>
        </w:tc>
        <w:tc>
          <w:tcPr>
            <w:tcW w:w="4384" w:type="pct"/>
            <w:vAlign w:val="center"/>
            <w:hideMark/>
          </w:tcPr>
          <w:p w14:paraId="26072564" w14:textId="4381F4A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Clause (h)(viii) of the Explanation to Rule 238(1) of Draft IT Rules 2026</w:t>
            </w:r>
          </w:p>
        </w:tc>
        <w:tc>
          <w:tcPr>
            <w:tcW w:w="348" w:type="pct"/>
            <w:noWrap/>
            <w:vAlign w:val="center"/>
            <w:hideMark/>
          </w:tcPr>
          <w:p w14:paraId="7B323DB9" w14:textId="14F9F543"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7E319F">
              <w:rPr>
                <w:rFonts w:ascii="Calibri" w:eastAsia="Times New Roman" w:hAnsi="Calibri" w:cs="Calibri"/>
                <w:color w:val="000000"/>
                <w:kern w:val="0"/>
                <w:lang w:val="en-GB" w:eastAsia="en-GB"/>
                <w14:ligatures w14:val="none"/>
              </w:rPr>
              <w:t>5</w:t>
            </w:r>
          </w:p>
        </w:tc>
      </w:tr>
      <w:tr w:rsidR="003D78FB" w:rsidRPr="00B20877" w14:paraId="7F107D99" w14:textId="77777777" w:rsidTr="00D55363">
        <w:trPr>
          <w:trHeight w:val="290"/>
        </w:trPr>
        <w:tc>
          <w:tcPr>
            <w:tcW w:w="267" w:type="pct"/>
            <w:noWrap/>
            <w:vAlign w:val="center"/>
            <w:hideMark/>
          </w:tcPr>
          <w:p w14:paraId="58460E69" w14:textId="4A8FE463"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95</w:t>
            </w:r>
          </w:p>
        </w:tc>
        <w:tc>
          <w:tcPr>
            <w:tcW w:w="4384" w:type="pct"/>
            <w:vAlign w:val="center"/>
            <w:hideMark/>
          </w:tcPr>
          <w:p w14:paraId="12A3BDE5" w14:textId="510836F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Explanation (h) to Rule 114F(1) of IT Rules 1962</w:t>
            </w:r>
          </w:p>
        </w:tc>
        <w:tc>
          <w:tcPr>
            <w:tcW w:w="348" w:type="pct"/>
            <w:noWrap/>
            <w:vAlign w:val="center"/>
            <w:hideMark/>
          </w:tcPr>
          <w:p w14:paraId="2EB8B550" w14:textId="1FC767CA"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7E319F">
              <w:rPr>
                <w:rFonts w:ascii="Calibri" w:eastAsia="Times New Roman" w:hAnsi="Calibri" w:cs="Calibri"/>
                <w:color w:val="000000"/>
                <w:kern w:val="0"/>
                <w:lang w:val="en-GB" w:eastAsia="en-GB"/>
                <w14:ligatures w14:val="none"/>
              </w:rPr>
              <w:t>6</w:t>
            </w:r>
          </w:p>
        </w:tc>
      </w:tr>
      <w:tr w:rsidR="003D78FB" w:rsidRPr="00B20877" w14:paraId="7A1D62CF" w14:textId="77777777" w:rsidTr="00D55363">
        <w:trPr>
          <w:trHeight w:val="290"/>
        </w:trPr>
        <w:tc>
          <w:tcPr>
            <w:tcW w:w="267" w:type="pct"/>
            <w:noWrap/>
            <w:vAlign w:val="center"/>
            <w:hideMark/>
          </w:tcPr>
          <w:p w14:paraId="36AF57FC" w14:textId="0D399737"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96</w:t>
            </w:r>
          </w:p>
        </w:tc>
        <w:tc>
          <w:tcPr>
            <w:tcW w:w="4384" w:type="pct"/>
            <w:vAlign w:val="center"/>
            <w:hideMark/>
          </w:tcPr>
          <w:p w14:paraId="7FCF2CB2" w14:textId="7F2C9A2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Explanation (a) to Rule 114F(3) of IT Rules 1962</w:t>
            </w:r>
          </w:p>
        </w:tc>
        <w:tc>
          <w:tcPr>
            <w:tcW w:w="348" w:type="pct"/>
            <w:noWrap/>
            <w:vAlign w:val="center"/>
            <w:hideMark/>
          </w:tcPr>
          <w:p w14:paraId="49F293D0" w14:textId="56EAA5E9"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376BE8">
              <w:rPr>
                <w:rFonts w:ascii="Calibri" w:eastAsia="Times New Roman" w:hAnsi="Calibri" w:cs="Calibri"/>
                <w:color w:val="000000"/>
                <w:kern w:val="0"/>
                <w:lang w:val="en-GB" w:eastAsia="en-GB"/>
                <w14:ligatures w14:val="none"/>
              </w:rPr>
              <w:t>7</w:t>
            </w:r>
          </w:p>
        </w:tc>
      </w:tr>
      <w:tr w:rsidR="003D78FB" w:rsidRPr="00B20877" w14:paraId="1D786457" w14:textId="77777777" w:rsidTr="00D55363">
        <w:trPr>
          <w:trHeight w:val="290"/>
        </w:trPr>
        <w:tc>
          <w:tcPr>
            <w:tcW w:w="267" w:type="pct"/>
            <w:noWrap/>
            <w:vAlign w:val="center"/>
            <w:hideMark/>
          </w:tcPr>
          <w:p w14:paraId="54648DA5" w14:textId="756AC602"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97</w:t>
            </w:r>
          </w:p>
        </w:tc>
        <w:tc>
          <w:tcPr>
            <w:tcW w:w="4384" w:type="pct"/>
            <w:vAlign w:val="center"/>
            <w:hideMark/>
          </w:tcPr>
          <w:p w14:paraId="309AC2E4" w14:textId="74FA721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xml:space="preserve">Information to be maintained and reported </w:t>
            </w:r>
          </w:p>
        </w:tc>
        <w:tc>
          <w:tcPr>
            <w:tcW w:w="348" w:type="pct"/>
            <w:noWrap/>
            <w:vAlign w:val="center"/>
            <w:hideMark/>
          </w:tcPr>
          <w:p w14:paraId="3C337766" w14:textId="7A861068"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EB453F">
              <w:rPr>
                <w:rFonts w:ascii="Calibri" w:eastAsia="Times New Roman" w:hAnsi="Calibri" w:cs="Calibri"/>
                <w:color w:val="000000"/>
                <w:kern w:val="0"/>
                <w:lang w:val="en-GB" w:eastAsia="en-GB"/>
                <w14:ligatures w14:val="none"/>
              </w:rPr>
              <w:t>7</w:t>
            </w:r>
            <w:r w:rsidR="00051A05">
              <w:rPr>
                <w:rFonts w:ascii="Calibri" w:eastAsia="Times New Roman" w:hAnsi="Calibri" w:cs="Calibri"/>
                <w:color w:val="000000"/>
                <w:kern w:val="0"/>
                <w:lang w:val="en-GB" w:eastAsia="en-GB"/>
                <w14:ligatures w14:val="none"/>
              </w:rPr>
              <w:t>8</w:t>
            </w:r>
          </w:p>
        </w:tc>
      </w:tr>
      <w:tr w:rsidR="003D78FB" w:rsidRPr="00B20877" w14:paraId="7E887363" w14:textId="77777777" w:rsidTr="00D55363">
        <w:trPr>
          <w:trHeight w:val="290"/>
        </w:trPr>
        <w:tc>
          <w:tcPr>
            <w:tcW w:w="267" w:type="pct"/>
            <w:noWrap/>
            <w:vAlign w:val="center"/>
            <w:hideMark/>
          </w:tcPr>
          <w:p w14:paraId="2EAE20BE" w14:textId="1C3B414D"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98</w:t>
            </w:r>
          </w:p>
        </w:tc>
        <w:tc>
          <w:tcPr>
            <w:tcW w:w="4384" w:type="pct"/>
            <w:vAlign w:val="center"/>
            <w:hideMark/>
          </w:tcPr>
          <w:p w14:paraId="692AE945" w14:textId="11B01F6C"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114H(5)(d)(iii)(B) of IT Rules 1962</w:t>
            </w:r>
          </w:p>
        </w:tc>
        <w:tc>
          <w:tcPr>
            <w:tcW w:w="348" w:type="pct"/>
            <w:noWrap/>
            <w:vAlign w:val="center"/>
            <w:hideMark/>
          </w:tcPr>
          <w:p w14:paraId="2E43EA83" w14:textId="4B5302EF"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37D68">
              <w:rPr>
                <w:rFonts w:ascii="Calibri" w:eastAsia="Times New Roman" w:hAnsi="Calibri" w:cs="Calibri"/>
                <w:color w:val="000000"/>
                <w:kern w:val="0"/>
                <w:lang w:val="en-GB" w:eastAsia="en-GB"/>
                <w14:ligatures w14:val="none"/>
              </w:rPr>
              <w:t>79</w:t>
            </w:r>
          </w:p>
        </w:tc>
      </w:tr>
      <w:tr w:rsidR="003D78FB" w:rsidRPr="00B20877" w14:paraId="14C93C36" w14:textId="77777777" w:rsidTr="00D55363">
        <w:trPr>
          <w:trHeight w:val="290"/>
        </w:trPr>
        <w:tc>
          <w:tcPr>
            <w:tcW w:w="267" w:type="pct"/>
            <w:noWrap/>
            <w:vAlign w:val="center"/>
            <w:hideMark/>
          </w:tcPr>
          <w:p w14:paraId="53BF87F6" w14:textId="2844E324" w:rsidR="003D78FB" w:rsidRPr="00B20877" w:rsidRDefault="00EB453F"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99</w:t>
            </w:r>
          </w:p>
        </w:tc>
        <w:tc>
          <w:tcPr>
            <w:tcW w:w="4384" w:type="pct"/>
            <w:vAlign w:val="center"/>
            <w:hideMark/>
          </w:tcPr>
          <w:p w14:paraId="75CFD0E4" w14:textId="48761532"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Rule 114H(4)(b) of IT Rules 1962</w:t>
            </w:r>
          </w:p>
        </w:tc>
        <w:tc>
          <w:tcPr>
            <w:tcW w:w="348" w:type="pct"/>
            <w:noWrap/>
            <w:vAlign w:val="center"/>
            <w:hideMark/>
          </w:tcPr>
          <w:p w14:paraId="408DA394" w14:textId="74C0C7C4" w:rsidR="003D78FB" w:rsidRPr="00B20877" w:rsidRDefault="003D78FB" w:rsidP="003D78FB">
            <w:pPr>
              <w:spacing w:after="0" w:line="240" w:lineRule="auto"/>
              <w:rPr>
                <w:rFonts w:ascii="Calibri" w:eastAsia="Times New Roman" w:hAnsi="Calibri" w:cs="Calibri"/>
                <w:color w:val="000000"/>
                <w:kern w:val="0"/>
                <w:lang w:val="en-GB" w:eastAsia="en-GB"/>
                <w14:ligatures w14:val="none"/>
              </w:rPr>
            </w:pPr>
            <w:r w:rsidRPr="00B20877">
              <w:rPr>
                <w:rFonts w:ascii="Calibri" w:eastAsia="Times New Roman" w:hAnsi="Calibri" w:cs="Calibri"/>
                <w:color w:val="000000"/>
                <w:kern w:val="0"/>
                <w:lang w:val="en-GB" w:eastAsia="en-GB"/>
                <w14:ligatures w14:val="none"/>
              </w:rPr>
              <w:t> </w:t>
            </w:r>
            <w:r w:rsidR="00D37D68">
              <w:rPr>
                <w:rFonts w:ascii="Calibri" w:eastAsia="Times New Roman" w:hAnsi="Calibri" w:cs="Calibri"/>
                <w:color w:val="000000"/>
                <w:kern w:val="0"/>
                <w:lang w:val="en-GB" w:eastAsia="en-GB"/>
                <w14:ligatures w14:val="none"/>
              </w:rPr>
              <w:t>79</w:t>
            </w:r>
          </w:p>
        </w:tc>
      </w:tr>
    </w:tbl>
    <w:p w14:paraId="6A36C539" w14:textId="77777777" w:rsidR="00E90B6D" w:rsidRPr="00E643CB" w:rsidRDefault="00E90B6D" w:rsidP="00532E7E">
      <w:pPr>
        <w:spacing w:after="120" w:line="276" w:lineRule="auto"/>
        <w:rPr>
          <w:rFonts w:ascii="Calibri" w:hAnsi="Calibri" w:cs="Calibri"/>
        </w:rPr>
      </w:pPr>
    </w:p>
    <w:p w14:paraId="6A6768A3" w14:textId="77777777" w:rsidR="00B20877" w:rsidRDefault="00B20877" w:rsidP="00532E7E">
      <w:pPr>
        <w:spacing w:after="120" w:line="276" w:lineRule="auto"/>
        <w:rPr>
          <w:rFonts w:ascii="Calibri" w:hAnsi="Calibri" w:cs="Calibri"/>
        </w:rPr>
      </w:pPr>
    </w:p>
    <w:p w14:paraId="7CBD2B01" w14:textId="77777777" w:rsidR="00B20877" w:rsidRDefault="00B20877" w:rsidP="00532E7E">
      <w:pPr>
        <w:spacing w:after="120" w:line="276" w:lineRule="auto"/>
        <w:rPr>
          <w:rFonts w:ascii="Calibri" w:hAnsi="Calibri" w:cs="Calibri"/>
        </w:rPr>
      </w:pPr>
    </w:p>
    <w:p w14:paraId="0D71E46E" w14:textId="77777777" w:rsidR="00B20877" w:rsidRPr="00E643CB" w:rsidRDefault="00B20877" w:rsidP="00532E7E">
      <w:pPr>
        <w:spacing w:after="120" w:line="276" w:lineRule="auto"/>
        <w:rPr>
          <w:rFonts w:ascii="Calibri" w:hAnsi="Calibri" w:cs="Calibri"/>
        </w:rPr>
      </w:pPr>
    </w:p>
    <w:tbl>
      <w:tblPr>
        <w:tblStyle w:val="TableGrid"/>
        <w:tblW w:w="14209" w:type="dxa"/>
        <w:tblLook w:val="04A0" w:firstRow="1" w:lastRow="0" w:firstColumn="1" w:lastColumn="0" w:noHBand="0" w:noVBand="1"/>
      </w:tblPr>
      <w:tblGrid>
        <w:gridCol w:w="924"/>
        <w:gridCol w:w="2881"/>
        <w:gridCol w:w="10404"/>
      </w:tblGrid>
      <w:tr w:rsidR="00E90B6D" w:rsidRPr="00E643CB" w14:paraId="3546DC1A" w14:textId="77777777" w:rsidTr="00B7062A">
        <w:trPr>
          <w:trHeight w:val="20"/>
          <w:tblHeader/>
        </w:trPr>
        <w:tc>
          <w:tcPr>
            <w:tcW w:w="9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79B5D" w14:textId="73D257C0" w:rsidR="00E90B6D" w:rsidRPr="00D17EFE" w:rsidRDefault="00D17EFE" w:rsidP="00532E7E">
            <w:pPr>
              <w:spacing w:after="120" w:line="276" w:lineRule="auto"/>
              <w:rPr>
                <w:rFonts w:ascii="Calibri" w:hAnsi="Calibri" w:cs="Calibri"/>
                <w:b/>
                <w:lang w:bidi="en-US"/>
              </w:rPr>
            </w:pPr>
            <w:r w:rsidRPr="00D17EFE">
              <w:rPr>
                <w:rFonts w:ascii="Calibri" w:hAnsi="Calibri" w:cs="Calibri"/>
                <w:b/>
                <w:bCs/>
                <w:lang w:bidi="en-US"/>
              </w:rPr>
              <w:t>Sr. No.</w:t>
            </w:r>
          </w:p>
        </w:tc>
        <w:tc>
          <w:tcPr>
            <w:tcW w:w="28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202EE0" w14:textId="77777777" w:rsidR="00E90B6D" w:rsidRPr="0009782B" w:rsidRDefault="00E90B6D" w:rsidP="00BD4879">
            <w:pPr>
              <w:spacing w:after="120" w:line="276" w:lineRule="auto"/>
              <w:jc w:val="both"/>
              <w:rPr>
                <w:rFonts w:ascii="Calibri" w:hAnsi="Calibri" w:cs="Calibri"/>
                <w:b/>
                <w:lang w:bidi="en-US"/>
              </w:rPr>
            </w:pPr>
            <w:r w:rsidRPr="0009782B">
              <w:rPr>
                <w:rFonts w:ascii="Calibri" w:hAnsi="Calibri" w:cs="Calibri"/>
                <w:b/>
                <w:lang w:bidi="en-US"/>
              </w:rPr>
              <w:t>Subject</w:t>
            </w:r>
          </w:p>
        </w:tc>
        <w:tc>
          <w:tcPr>
            <w:tcW w:w="104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B33D63" w14:textId="77777777" w:rsidR="00E90B6D" w:rsidRPr="00E643CB" w:rsidRDefault="00E90B6D" w:rsidP="00532E7E">
            <w:pPr>
              <w:spacing w:after="120" w:line="276" w:lineRule="auto"/>
              <w:rPr>
                <w:rFonts w:ascii="Calibri" w:hAnsi="Calibri" w:cs="Calibri"/>
                <w:lang w:bidi="en-US"/>
              </w:rPr>
            </w:pPr>
            <w:r w:rsidRPr="00E643CB">
              <w:rPr>
                <w:rFonts w:ascii="Calibri" w:hAnsi="Calibri" w:cs="Calibri"/>
                <w:b/>
                <w:lang w:bidi="en-US"/>
              </w:rPr>
              <w:t>Comments / Recommendations</w:t>
            </w:r>
          </w:p>
        </w:tc>
      </w:tr>
      <w:tr w:rsidR="00E90B6D" w:rsidRPr="00E643CB" w14:paraId="2725E5C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4D8309F" w14:textId="77777777" w:rsidR="00E90B6D" w:rsidRPr="00E643CB" w:rsidRDefault="00E90B6D"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CDB1575" w14:textId="77777777" w:rsidR="007F1CF1" w:rsidRPr="0009782B" w:rsidRDefault="00E92E00" w:rsidP="00BD4879">
            <w:pPr>
              <w:spacing w:after="120" w:line="276" w:lineRule="auto"/>
              <w:jc w:val="both"/>
              <w:rPr>
                <w:rFonts w:ascii="Calibri" w:hAnsi="Calibri" w:cs="Calibri"/>
                <w:b/>
              </w:rPr>
            </w:pPr>
            <w:r w:rsidRPr="0009782B">
              <w:rPr>
                <w:rFonts w:ascii="Calibri" w:hAnsi="Calibri" w:cs="Calibri"/>
                <w:b/>
              </w:rPr>
              <w:t>Computation of period of stay in India for an Indian Citizen being a member of the crew of a foreign bound ship</w:t>
            </w:r>
          </w:p>
          <w:p w14:paraId="05C48038" w14:textId="77777777" w:rsidR="007F1CF1" w:rsidRPr="0009782B" w:rsidRDefault="007F1CF1" w:rsidP="00BD4879">
            <w:pPr>
              <w:spacing w:after="120" w:line="276" w:lineRule="auto"/>
              <w:jc w:val="both"/>
              <w:rPr>
                <w:rFonts w:ascii="Calibri" w:hAnsi="Calibri" w:cs="Calibri"/>
                <w:b/>
              </w:rPr>
            </w:pPr>
          </w:p>
          <w:p w14:paraId="58720F80" w14:textId="77777777" w:rsidR="00436396" w:rsidRPr="0009782B" w:rsidRDefault="007F1CF1" w:rsidP="00BD4879">
            <w:pPr>
              <w:spacing w:after="120" w:line="276" w:lineRule="auto"/>
              <w:jc w:val="both"/>
              <w:rPr>
                <w:rFonts w:ascii="Calibri" w:hAnsi="Calibri" w:cs="Calibri"/>
                <w:b/>
              </w:rPr>
            </w:pPr>
            <w:r w:rsidRPr="0009782B">
              <w:rPr>
                <w:rFonts w:ascii="Calibri" w:hAnsi="Calibri" w:cs="Calibri"/>
                <w:b/>
              </w:rPr>
              <w:t>Rule 126 of IT Rules 1962 (</w:t>
            </w:r>
            <w:r w:rsidR="00FF4C59" w:rsidRPr="0009782B">
              <w:rPr>
                <w:rFonts w:ascii="Calibri" w:hAnsi="Calibri" w:cs="Calibri"/>
                <w:b/>
              </w:rPr>
              <w:t xml:space="preserve">referred in S. </w:t>
            </w:r>
            <w:r w:rsidR="0060365E" w:rsidRPr="0009782B">
              <w:rPr>
                <w:rFonts w:ascii="Calibri" w:hAnsi="Calibri" w:cs="Calibri"/>
                <w:b/>
              </w:rPr>
              <w:t>6(1) of ITA 1961)</w:t>
            </w:r>
            <w:r w:rsidR="005F0E33" w:rsidRPr="0009782B">
              <w:rPr>
                <w:rFonts w:ascii="Calibri" w:hAnsi="Calibri" w:cs="Calibri"/>
                <w:b/>
              </w:rPr>
              <w:t xml:space="preserve"> </w:t>
            </w:r>
          </w:p>
          <w:p w14:paraId="65C8EB5C" w14:textId="39C86907" w:rsidR="00E90B6D" w:rsidRPr="0009782B" w:rsidRDefault="00607670" w:rsidP="00BD4879">
            <w:pPr>
              <w:spacing w:after="120" w:line="276" w:lineRule="auto"/>
              <w:jc w:val="both"/>
              <w:rPr>
                <w:rFonts w:ascii="Calibri" w:hAnsi="Calibri" w:cs="Calibri"/>
                <w:b/>
              </w:rPr>
            </w:pPr>
            <w:r w:rsidRPr="0009782B">
              <w:rPr>
                <w:rFonts w:ascii="Calibri" w:hAnsi="Calibri" w:cs="Calibri"/>
                <w:b/>
              </w:rPr>
              <w:t>Rule 8 of Draft IT Rules 2026</w:t>
            </w:r>
            <w:r w:rsidR="00833387" w:rsidRPr="0009782B">
              <w:rPr>
                <w:rFonts w:ascii="Calibri" w:hAnsi="Calibri" w:cs="Calibri"/>
                <w:b/>
              </w:rPr>
              <w:t xml:space="preserve"> (referred in S. 6(6) of ITA 2025)</w:t>
            </w:r>
          </w:p>
        </w:tc>
        <w:tc>
          <w:tcPr>
            <w:tcW w:w="10404" w:type="dxa"/>
            <w:tcBorders>
              <w:top w:val="single" w:sz="4" w:space="0" w:color="auto"/>
              <w:left w:val="single" w:sz="4" w:space="0" w:color="auto"/>
              <w:bottom w:val="single" w:sz="4" w:space="0" w:color="auto"/>
              <w:right w:val="single" w:sz="4" w:space="0" w:color="auto"/>
            </w:tcBorders>
            <w:hideMark/>
          </w:tcPr>
          <w:p w14:paraId="67FA184A" w14:textId="77777777" w:rsidR="00E90B6D" w:rsidRPr="00E643CB" w:rsidRDefault="00E90B6D" w:rsidP="00532E7E">
            <w:pPr>
              <w:spacing w:after="120" w:line="276" w:lineRule="auto"/>
              <w:rPr>
                <w:rFonts w:ascii="Calibri" w:hAnsi="Calibri" w:cs="Calibri"/>
                <w:lang w:bidi="en-US"/>
              </w:rPr>
            </w:pPr>
            <w:r w:rsidRPr="00E643CB">
              <w:rPr>
                <w:rFonts w:ascii="Calibri" w:hAnsi="Calibri" w:cs="Calibri"/>
                <w:b/>
                <w:lang w:bidi="en-US"/>
              </w:rPr>
              <w:t>Rationale</w:t>
            </w:r>
            <w:r w:rsidRPr="00E643CB">
              <w:rPr>
                <w:rFonts w:ascii="Calibri" w:hAnsi="Calibri" w:cs="Calibri"/>
                <w:lang w:bidi="en-US"/>
              </w:rPr>
              <w:t>:</w:t>
            </w:r>
          </w:p>
          <w:p w14:paraId="0082AFFE" w14:textId="1140DF0F" w:rsidR="00E90B6D" w:rsidRPr="00E643CB" w:rsidRDefault="005B1E64" w:rsidP="00532E7E">
            <w:pPr>
              <w:numPr>
                <w:ilvl w:val="0"/>
                <w:numId w:val="3"/>
              </w:numPr>
              <w:spacing w:after="120" w:line="276" w:lineRule="auto"/>
              <w:rPr>
                <w:rFonts w:ascii="Calibri" w:hAnsi="Calibri" w:cs="Calibri"/>
                <w:lang w:bidi="en-US"/>
              </w:rPr>
            </w:pPr>
            <w:r w:rsidRPr="00E643CB">
              <w:rPr>
                <w:rFonts w:ascii="Calibri" w:hAnsi="Calibri" w:cs="Calibri"/>
                <w:lang w:bidi="en-US"/>
              </w:rPr>
              <w:t>The new rules are substantially identical to existing rules, except that the old rules used the word ‘ship’ while the word ‘foreign bound ship’ has been used in the new rules</w:t>
            </w:r>
            <w:r w:rsidR="00B80056" w:rsidRPr="00E643CB">
              <w:rPr>
                <w:rFonts w:ascii="Calibri" w:hAnsi="Calibri" w:cs="Calibri"/>
                <w:lang w:bidi="en-US"/>
              </w:rPr>
              <w:t>.</w:t>
            </w:r>
          </w:p>
          <w:p w14:paraId="3C5C4C4D" w14:textId="3F242111" w:rsidR="00E90B6D" w:rsidRPr="00E643CB" w:rsidRDefault="003F09DF" w:rsidP="00532E7E">
            <w:pPr>
              <w:numPr>
                <w:ilvl w:val="0"/>
                <w:numId w:val="3"/>
              </w:numPr>
              <w:spacing w:after="120" w:line="276" w:lineRule="auto"/>
              <w:rPr>
                <w:rFonts w:ascii="Calibri" w:hAnsi="Calibri" w:cs="Calibri"/>
                <w:lang w:bidi="en-US"/>
              </w:rPr>
            </w:pPr>
            <w:r w:rsidRPr="00E643CB">
              <w:rPr>
                <w:rFonts w:ascii="Calibri" w:hAnsi="Calibri" w:cs="Calibri"/>
                <w:lang w:bidi="en-US"/>
              </w:rPr>
              <w:t>While the term in new rules is in line with the term used in the law, a clarification may be considered such that introduction of the said term in rules does not narrow the scope vis à vis the existing rules.</w:t>
            </w:r>
          </w:p>
          <w:p w14:paraId="3BE7EEF4" w14:textId="77777777" w:rsidR="00E90B6D" w:rsidRPr="00E643CB" w:rsidRDefault="00E90B6D" w:rsidP="00532E7E">
            <w:pPr>
              <w:spacing w:after="120" w:line="276" w:lineRule="auto"/>
              <w:rPr>
                <w:rFonts w:ascii="Calibri" w:hAnsi="Calibri" w:cs="Calibri"/>
                <w:lang w:bidi="en-US"/>
              </w:rPr>
            </w:pPr>
            <w:r w:rsidRPr="00E643CB">
              <w:rPr>
                <w:rFonts w:ascii="Calibri" w:hAnsi="Calibri" w:cs="Calibri"/>
                <w:b/>
                <w:lang w:bidi="en-US"/>
              </w:rPr>
              <w:t>Recommendation</w:t>
            </w:r>
            <w:r w:rsidRPr="00E643CB">
              <w:rPr>
                <w:rFonts w:ascii="Calibri" w:hAnsi="Calibri" w:cs="Calibri"/>
                <w:lang w:bidi="en-US"/>
              </w:rPr>
              <w:t>:</w:t>
            </w:r>
          </w:p>
          <w:p w14:paraId="4BC6DD55" w14:textId="55C21AA5" w:rsidR="00E90B6D" w:rsidRPr="00E643CB" w:rsidRDefault="002046E2" w:rsidP="00532E7E">
            <w:pPr>
              <w:numPr>
                <w:ilvl w:val="0"/>
                <w:numId w:val="3"/>
              </w:numPr>
              <w:spacing w:after="120" w:line="276" w:lineRule="auto"/>
              <w:rPr>
                <w:rFonts w:ascii="Calibri" w:hAnsi="Calibri" w:cs="Calibri"/>
                <w:lang w:bidi="en-US"/>
              </w:rPr>
            </w:pPr>
            <w:r w:rsidRPr="00E643CB">
              <w:rPr>
                <w:rFonts w:ascii="Calibri" w:hAnsi="Calibri" w:cs="Calibri"/>
                <w:lang w:bidi="en-US"/>
              </w:rPr>
              <w:t>It is recommended to clarify that the term ‘foreign bound ship’ needs to be read harmoniously with the definition of ‘eligible voyage’ as provided in the rule.</w:t>
            </w:r>
          </w:p>
        </w:tc>
      </w:tr>
      <w:tr w:rsidR="00E90B6D" w:rsidRPr="00E643CB" w14:paraId="3A7041A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2AAAFFB" w14:textId="77777777" w:rsidR="00E90B6D" w:rsidRPr="00E643CB" w:rsidRDefault="00E90B6D"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2445B75" w14:textId="77777777" w:rsidR="007128F5" w:rsidRPr="0009782B" w:rsidRDefault="00355B2E" w:rsidP="00BD4879">
            <w:pPr>
              <w:spacing w:after="120" w:line="276" w:lineRule="auto"/>
              <w:jc w:val="both"/>
              <w:rPr>
                <w:rFonts w:ascii="Calibri" w:hAnsi="Calibri" w:cs="Calibri"/>
                <w:b/>
                <w:lang w:bidi="en-US"/>
              </w:rPr>
            </w:pPr>
            <w:r w:rsidRPr="0009782B">
              <w:rPr>
                <w:rFonts w:ascii="Calibri" w:hAnsi="Calibri" w:cs="Calibri"/>
                <w:b/>
                <w:lang w:bidi="en-US"/>
              </w:rPr>
              <w:t>Perquisite valuation for electric motor vehicles</w:t>
            </w:r>
          </w:p>
          <w:p w14:paraId="16CA255A" w14:textId="77777777" w:rsidR="00355B2E" w:rsidRPr="0009782B" w:rsidRDefault="00355B2E" w:rsidP="00BD4879">
            <w:pPr>
              <w:spacing w:after="120" w:line="276" w:lineRule="auto"/>
              <w:jc w:val="both"/>
              <w:rPr>
                <w:rFonts w:ascii="Calibri" w:hAnsi="Calibri" w:cs="Calibri"/>
                <w:b/>
                <w:lang w:bidi="en-US"/>
              </w:rPr>
            </w:pPr>
          </w:p>
          <w:p w14:paraId="63B4B588" w14:textId="2EA7191D" w:rsidR="00355B2E" w:rsidRPr="0009782B" w:rsidRDefault="00355B2E" w:rsidP="00BD4879">
            <w:pPr>
              <w:spacing w:after="120" w:line="276" w:lineRule="auto"/>
              <w:jc w:val="both"/>
              <w:rPr>
                <w:rFonts w:ascii="Calibri" w:hAnsi="Calibri" w:cs="Calibri"/>
                <w:b/>
                <w:lang w:bidi="en-US"/>
              </w:rPr>
            </w:pPr>
            <w:r w:rsidRPr="0009782B">
              <w:rPr>
                <w:rFonts w:ascii="Calibri" w:hAnsi="Calibri" w:cs="Calibri"/>
                <w:b/>
                <w:lang w:bidi="en-US"/>
              </w:rPr>
              <w:t>Rule 3 (2)</w:t>
            </w:r>
            <w:r w:rsidR="0011623B" w:rsidRPr="0009782B">
              <w:rPr>
                <w:rFonts w:ascii="Calibri" w:hAnsi="Calibri" w:cs="Calibri"/>
                <w:b/>
                <w:lang w:bidi="en-US"/>
              </w:rPr>
              <w:t xml:space="preserve"> of IT Rules 1962</w:t>
            </w:r>
            <w:r w:rsidRPr="0009782B">
              <w:rPr>
                <w:rFonts w:ascii="Calibri" w:hAnsi="Calibri" w:cs="Calibri"/>
                <w:b/>
                <w:lang w:bidi="en-US"/>
              </w:rPr>
              <w:t xml:space="preserve"> (referred </w:t>
            </w:r>
            <w:r w:rsidR="0011623B" w:rsidRPr="0009782B">
              <w:rPr>
                <w:rFonts w:ascii="Calibri" w:hAnsi="Calibri" w:cs="Calibri"/>
                <w:b/>
                <w:lang w:bidi="en-US"/>
              </w:rPr>
              <w:t>in S.17</w:t>
            </w:r>
            <w:r w:rsidRPr="0009782B">
              <w:rPr>
                <w:rFonts w:ascii="Calibri" w:hAnsi="Calibri" w:cs="Calibri"/>
                <w:b/>
                <w:lang w:bidi="en-US"/>
              </w:rPr>
              <w:t>(2)</w:t>
            </w:r>
            <w:r w:rsidR="0011623B" w:rsidRPr="0009782B">
              <w:rPr>
                <w:rFonts w:ascii="Calibri" w:hAnsi="Calibri" w:cs="Calibri"/>
                <w:b/>
                <w:lang w:bidi="en-US"/>
              </w:rPr>
              <w:t xml:space="preserve"> of ITA 1961)</w:t>
            </w:r>
          </w:p>
          <w:p w14:paraId="1F0FD1DB" w14:textId="43358D1D" w:rsidR="0011623B" w:rsidRPr="0009782B" w:rsidRDefault="005C142E" w:rsidP="00BD4879">
            <w:pPr>
              <w:spacing w:after="120" w:line="276" w:lineRule="auto"/>
              <w:jc w:val="both"/>
              <w:rPr>
                <w:rFonts w:ascii="Calibri" w:hAnsi="Calibri" w:cs="Calibri"/>
                <w:b/>
                <w:lang w:bidi="en-US"/>
              </w:rPr>
            </w:pPr>
            <w:r w:rsidRPr="0009782B">
              <w:rPr>
                <w:rFonts w:ascii="Calibri" w:hAnsi="Calibri" w:cs="Calibri"/>
                <w:b/>
                <w:lang w:bidi="en-US"/>
              </w:rPr>
              <w:t>Rule 15 (3) of Draft IT Rules 2026 (</w:t>
            </w:r>
            <w:r w:rsidR="008539D0" w:rsidRPr="0009782B">
              <w:rPr>
                <w:rFonts w:ascii="Calibri" w:hAnsi="Calibri" w:cs="Calibri"/>
                <w:b/>
                <w:lang w:bidi="en-US"/>
              </w:rPr>
              <w:t xml:space="preserve">referred in </w:t>
            </w:r>
            <w:r w:rsidRPr="0009782B">
              <w:rPr>
                <w:rFonts w:ascii="Calibri" w:hAnsi="Calibri" w:cs="Calibri"/>
                <w:b/>
                <w:lang w:bidi="en-US"/>
              </w:rPr>
              <w:t>S. 17 of ITA 2025)</w:t>
            </w:r>
          </w:p>
          <w:p w14:paraId="22E3A942" w14:textId="77777777" w:rsidR="0011623B" w:rsidRPr="0009782B" w:rsidRDefault="0011623B" w:rsidP="00BD4879">
            <w:pPr>
              <w:spacing w:after="120" w:line="276" w:lineRule="auto"/>
              <w:jc w:val="both"/>
              <w:rPr>
                <w:rFonts w:ascii="Calibri" w:hAnsi="Calibri" w:cs="Calibri"/>
                <w:b/>
                <w:lang w:bidi="en-US"/>
              </w:rPr>
            </w:pPr>
          </w:p>
          <w:p w14:paraId="092DF6FF" w14:textId="77777777" w:rsidR="00E90B6D" w:rsidRPr="0009782B" w:rsidRDefault="00E90B6D" w:rsidP="00BD4879">
            <w:pPr>
              <w:spacing w:after="120" w:line="276" w:lineRule="auto"/>
              <w:jc w:val="both"/>
              <w:rPr>
                <w:rFonts w:ascii="Calibri" w:hAnsi="Calibri" w:cs="Calibri"/>
                <w:b/>
                <w:lang w:bidi="en-US"/>
              </w:rPr>
            </w:pPr>
          </w:p>
        </w:tc>
        <w:tc>
          <w:tcPr>
            <w:tcW w:w="10404" w:type="dxa"/>
            <w:tcBorders>
              <w:top w:val="single" w:sz="4" w:space="0" w:color="auto"/>
              <w:left w:val="single" w:sz="4" w:space="0" w:color="auto"/>
              <w:bottom w:val="single" w:sz="4" w:space="0" w:color="auto"/>
              <w:right w:val="single" w:sz="4" w:space="0" w:color="auto"/>
            </w:tcBorders>
          </w:tcPr>
          <w:p w14:paraId="4792F7EE" w14:textId="77777777" w:rsidR="007128F5" w:rsidRPr="00E643CB" w:rsidRDefault="007128F5" w:rsidP="00532E7E">
            <w:pPr>
              <w:spacing w:after="120" w:line="276" w:lineRule="auto"/>
              <w:rPr>
                <w:rFonts w:ascii="Calibri" w:hAnsi="Calibri" w:cs="Calibri"/>
                <w:b/>
                <w:lang w:bidi="en-US"/>
              </w:rPr>
            </w:pPr>
            <w:r w:rsidRPr="00E643CB">
              <w:rPr>
                <w:rFonts w:ascii="Calibri" w:hAnsi="Calibri" w:cs="Calibri"/>
                <w:b/>
                <w:lang w:bidi="en-US"/>
              </w:rPr>
              <w:t>Rationale:</w:t>
            </w:r>
          </w:p>
          <w:p w14:paraId="584EF067" w14:textId="77777777" w:rsidR="00DC6750" w:rsidRPr="00E643CB" w:rsidRDefault="007128F5"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Perquisite valuation for motor vehicles used partly for official and partly for personal purposes has increased:</w:t>
            </w:r>
          </w:p>
          <w:p w14:paraId="2E119BFD" w14:textId="78866EA0" w:rsidR="007128F5" w:rsidRPr="00E643CB" w:rsidRDefault="007128F5"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In case where expenses on running and maintenance are met or reimbursed by employer:</w:t>
            </w:r>
          </w:p>
          <w:p w14:paraId="7499F42D" w14:textId="37400771" w:rsidR="007128F5" w:rsidRPr="00E643CB" w:rsidRDefault="007128F5" w:rsidP="0009782B">
            <w:pPr>
              <w:pStyle w:val="ListParagraph"/>
              <w:numPr>
                <w:ilvl w:val="0"/>
                <w:numId w:val="38"/>
              </w:numPr>
              <w:spacing w:after="120" w:line="276" w:lineRule="auto"/>
              <w:ind w:left="1183"/>
              <w:contextualSpacing w:val="0"/>
              <w:rPr>
                <w:rFonts w:ascii="Calibri" w:hAnsi="Calibri" w:cs="Calibri"/>
                <w:lang w:bidi="en-US"/>
              </w:rPr>
            </w:pPr>
            <w:r w:rsidRPr="00E643CB">
              <w:rPr>
                <w:rFonts w:ascii="Calibri" w:hAnsi="Calibri" w:cs="Calibri"/>
                <w:lang w:bidi="en-US"/>
              </w:rPr>
              <w:t>Cars up to 1.6L CC engine</w:t>
            </w:r>
            <w:r w:rsidR="008A76D2" w:rsidRPr="00E643CB">
              <w:rPr>
                <w:rFonts w:ascii="Calibri" w:hAnsi="Calibri" w:cs="Calibri"/>
                <w:lang w:bidi="en-US"/>
              </w:rPr>
              <w:t>:</w:t>
            </w:r>
            <w:r w:rsidRPr="00E643CB">
              <w:rPr>
                <w:rFonts w:ascii="Calibri" w:hAnsi="Calibri" w:cs="Calibri"/>
                <w:lang w:bidi="en-US"/>
              </w:rPr>
              <w:t xml:space="preserve"> INR 1,800 to INR 5,000 per month</w:t>
            </w:r>
          </w:p>
          <w:p w14:paraId="51395630" w14:textId="77777777" w:rsidR="007128F5" w:rsidRPr="00E643CB" w:rsidRDefault="007128F5" w:rsidP="0009782B">
            <w:pPr>
              <w:pStyle w:val="ListParagraph"/>
              <w:numPr>
                <w:ilvl w:val="0"/>
                <w:numId w:val="38"/>
              </w:numPr>
              <w:spacing w:after="120" w:line="276" w:lineRule="auto"/>
              <w:ind w:left="1183"/>
              <w:contextualSpacing w:val="0"/>
              <w:rPr>
                <w:rFonts w:ascii="Calibri" w:hAnsi="Calibri" w:cs="Calibri"/>
                <w:lang w:bidi="en-US"/>
              </w:rPr>
            </w:pPr>
            <w:r w:rsidRPr="00E643CB">
              <w:rPr>
                <w:rFonts w:ascii="Calibri" w:hAnsi="Calibri" w:cs="Calibri"/>
                <w:lang w:bidi="en-US"/>
              </w:rPr>
              <w:t>Cars above 1.6L CC engine: INR 2,400 to INR 7,000 per month</w:t>
            </w:r>
          </w:p>
          <w:p w14:paraId="1FAC4263" w14:textId="77777777" w:rsidR="007128F5" w:rsidRPr="00E643CB" w:rsidRDefault="007128F5"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 xml:space="preserve">In case where expenses on running and maintenance are met by employee – </w:t>
            </w:r>
          </w:p>
          <w:p w14:paraId="2E7B865D" w14:textId="373ED192" w:rsidR="007128F5" w:rsidRPr="00E643CB" w:rsidRDefault="007128F5" w:rsidP="0009782B">
            <w:pPr>
              <w:pStyle w:val="ListParagraph"/>
              <w:numPr>
                <w:ilvl w:val="0"/>
                <w:numId w:val="38"/>
              </w:numPr>
              <w:spacing w:after="120" w:line="276" w:lineRule="auto"/>
              <w:ind w:left="1183"/>
              <w:contextualSpacing w:val="0"/>
              <w:rPr>
                <w:rFonts w:ascii="Calibri" w:hAnsi="Calibri" w:cs="Calibri"/>
                <w:lang w:bidi="en-US"/>
              </w:rPr>
            </w:pPr>
            <w:r w:rsidRPr="00E643CB">
              <w:rPr>
                <w:rFonts w:ascii="Calibri" w:hAnsi="Calibri" w:cs="Calibri"/>
                <w:lang w:bidi="en-US"/>
              </w:rPr>
              <w:t>Cars up to 1.6 L CC engine</w:t>
            </w:r>
            <w:r w:rsidR="008A76D2" w:rsidRPr="00E643CB">
              <w:rPr>
                <w:rFonts w:ascii="Calibri" w:hAnsi="Calibri" w:cs="Calibri"/>
                <w:lang w:bidi="en-US"/>
              </w:rPr>
              <w:t>:</w:t>
            </w:r>
            <w:r w:rsidRPr="00E643CB">
              <w:rPr>
                <w:rFonts w:ascii="Calibri" w:hAnsi="Calibri" w:cs="Calibri"/>
                <w:lang w:bidi="en-US"/>
              </w:rPr>
              <w:t xml:space="preserve"> INR 600 to INR 2,000 per month</w:t>
            </w:r>
          </w:p>
          <w:p w14:paraId="3D904238" w14:textId="77777777" w:rsidR="007128F5" w:rsidRPr="00E643CB" w:rsidRDefault="007128F5" w:rsidP="0009782B">
            <w:pPr>
              <w:pStyle w:val="ListParagraph"/>
              <w:numPr>
                <w:ilvl w:val="0"/>
                <w:numId w:val="38"/>
              </w:numPr>
              <w:spacing w:after="120" w:line="276" w:lineRule="auto"/>
              <w:ind w:left="1183"/>
              <w:contextualSpacing w:val="0"/>
              <w:rPr>
                <w:rFonts w:ascii="Calibri" w:hAnsi="Calibri" w:cs="Calibri"/>
                <w:lang w:bidi="en-US"/>
              </w:rPr>
            </w:pPr>
            <w:r w:rsidRPr="00E643CB">
              <w:rPr>
                <w:rFonts w:ascii="Calibri" w:hAnsi="Calibri" w:cs="Calibri"/>
                <w:lang w:bidi="en-US"/>
              </w:rPr>
              <w:t>Cars above 1.6L CC engine: INR 900 to INR 3,000 per month</w:t>
            </w:r>
          </w:p>
          <w:p w14:paraId="1E7365EF" w14:textId="77777777" w:rsidR="00DC6750" w:rsidRPr="00E643CB" w:rsidRDefault="007128F5"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If Chauffeur is provided to run the motor car the value has increased from INR 900 to INR 3,000 per month</w:t>
            </w:r>
          </w:p>
          <w:p w14:paraId="1F3047FD" w14:textId="77777777" w:rsidR="007128F5" w:rsidRPr="00E643CB" w:rsidRDefault="007128F5"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Where employee owns and uses any other automative vehicle and expenses for running and maintenance are borne by employer the value has increased from INR 900 to INR 3,000 per month.</w:t>
            </w:r>
          </w:p>
          <w:p w14:paraId="0022FE44" w14:textId="13D11A88" w:rsidR="0042584C" w:rsidRPr="00E643CB" w:rsidRDefault="00306D9C"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As valuation continues to be linked to engine capacity, the draft rules also do not specify how perquisite valuation would apply to electric vehicles, and clarificatory guidance may be required.</w:t>
            </w:r>
          </w:p>
          <w:p w14:paraId="339328E6" w14:textId="6D01388D" w:rsidR="00306D9C" w:rsidRPr="00E643CB" w:rsidRDefault="00306D9C" w:rsidP="00532E7E">
            <w:pPr>
              <w:spacing w:after="120" w:line="276" w:lineRule="auto"/>
              <w:rPr>
                <w:rFonts w:ascii="Calibri" w:hAnsi="Calibri" w:cs="Calibri"/>
                <w:b/>
                <w:lang w:bidi="en-US"/>
              </w:rPr>
            </w:pPr>
            <w:r w:rsidRPr="00E643CB">
              <w:rPr>
                <w:rFonts w:ascii="Calibri" w:hAnsi="Calibri" w:cs="Calibri"/>
                <w:b/>
                <w:lang w:bidi="en-US"/>
              </w:rPr>
              <w:t>Recommendation:</w:t>
            </w:r>
          </w:p>
          <w:p w14:paraId="7A3157A2" w14:textId="77777777" w:rsidR="00B905A0" w:rsidRPr="00D17EFE" w:rsidRDefault="00B905A0" w:rsidP="00D17EFE">
            <w:pPr>
              <w:pStyle w:val="ListParagraph"/>
              <w:numPr>
                <w:ilvl w:val="0"/>
                <w:numId w:val="4"/>
              </w:numPr>
              <w:shd w:val="clear" w:color="auto" w:fill="FFFFFF" w:themeFill="background1"/>
              <w:spacing w:after="120" w:line="276" w:lineRule="auto"/>
              <w:contextualSpacing w:val="0"/>
              <w:jc w:val="both"/>
              <w:rPr>
                <w:rFonts w:ascii="Calibri" w:eastAsiaTheme="minorEastAsia" w:hAnsi="Calibri" w:cs="Calibri"/>
              </w:rPr>
            </w:pPr>
            <w:r w:rsidRPr="00D17EFE">
              <w:rPr>
                <w:rFonts w:ascii="Calibri" w:eastAsiaTheme="minorEastAsia" w:hAnsi="Calibri" w:cs="Calibri"/>
              </w:rPr>
              <w:t xml:space="preserve">Given the fact that the Government of India is actively pursuing the penetration of electric vehicles into the market as well as the added focus of all corporates into energy sustainability and carbon neutrality, electric </w:t>
            </w:r>
            <w:r w:rsidRPr="00D17EFE">
              <w:rPr>
                <w:rFonts w:ascii="Calibri" w:hAnsi="Calibri" w:cs="Calibri"/>
              </w:rPr>
              <w:t>motor</w:t>
            </w:r>
            <w:r w:rsidRPr="00D17EFE">
              <w:rPr>
                <w:rFonts w:ascii="Calibri" w:eastAsiaTheme="minorEastAsia" w:hAnsi="Calibri" w:cs="Calibri"/>
              </w:rPr>
              <w:t xml:space="preserve"> cars are becoming increasingly popular with many individuals opting for electric variants of popular vehicle brands. It would be only natural that tax laws also keep pace with the changing environment and encourage people to switch over to cleaner energy options. This would enable employers to buy and allocate such electric vehicles for use by their employees, without having any concerns on either depriving their employees of the concessional perquisite value or facing any litigation for applying incorrect perquisite value for withholding tax purpose.</w:t>
            </w:r>
          </w:p>
          <w:p w14:paraId="5ADD6325" w14:textId="4E6F8B90" w:rsidR="00B905A0" w:rsidRDefault="00324FEC" w:rsidP="00B905A0">
            <w:pPr>
              <w:pStyle w:val="ListParagraph"/>
              <w:numPr>
                <w:ilvl w:val="0"/>
                <w:numId w:val="4"/>
              </w:numPr>
              <w:spacing w:after="120" w:line="276" w:lineRule="auto"/>
              <w:contextualSpacing w:val="0"/>
              <w:rPr>
                <w:rFonts w:ascii="Calibri" w:hAnsi="Calibri" w:cs="Calibri"/>
                <w:lang w:bidi="en-US"/>
              </w:rPr>
            </w:pPr>
            <w:r w:rsidRPr="00D17EFE">
              <w:rPr>
                <w:rFonts w:ascii="Calibri" w:eastAsiaTheme="minorEastAsia" w:hAnsi="Calibri" w:cs="Calibri"/>
              </w:rPr>
              <w:t>As a policy incentive to encourage more use of electric cars as an environment friendly measure and provided incentive to employers/employees to substitute petrol/diesel cars with electric cars, the provision of electric car by employer to employee and/or reimbursement of running expenses incurred by employee on electric cars should be made tax-free for a period of 5 years from tax year 2026-27 to 2030-31</w:t>
            </w:r>
          </w:p>
          <w:p w14:paraId="436951B4" w14:textId="40A6527B" w:rsidR="00E90B6D" w:rsidRPr="00E643CB" w:rsidRDefault="00780A43" w:rsidP="00B905A0">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 xml:space="preserve">Alternatively considering the lower running costs of EVs, the perquisite value as per existing Rules being Rs 1800 per month be maintained for EV.  </w:t>
            </w:r>
          </w:p>
        </w:tc>
      </w:tr>
      <w:tr w:rsidR="00DC6750" w:rsidRPr="00E643CB" w14:paraId="37144D3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10DA8CA" w14:textId="77777777" w:rsidR="00DC6750" w:rsidRPr="00E643CB" w:rsidRDefault="00DC6750"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C32137B" w14:textId="3E854981" w:rsidR="00574634" w:rsidRPr="0009782B" w:rsidRDefault="00946C06" w:rsidP="00BD4879">
            <w:pPr>
              <w:spacing w:after="120" w:line="276" w:lineRule="auto"/>
              <w:jc w:val="both"/>
              <w:rPr>
                <w:rFonts w:ascii="Calibri" w:hAnsi="Calibri" w:cs="Calibri"/>
                <w:b/>
              </w:rPr>
            </w:pPr>
            <w:r w:rsidRPr="0009782B">
              <w:rPr>
                <w:rFonts w:ascii="Calibri" w:hAnsi="Calibri" w:cs="Calibri"/>
                <w:b/>
              </w:rPr>
              <w:t xml:space="preserve">Introduce Exception for </w:t>
            </w:r>
            <w:r w:rsidR="006F57B3" w:rsidRPr="0009782B">
              <w:rPr>
                <w:rFonts w:ascii="Calibri" w:hAnsi="Calibri" w:cs="Calibri"/>
                <w:b/>
              </w:rPr>
              <w:t>n</w:t>
            </w:r>
            <w:r w:rsidRPr="0009782B">
              <w:rPr>
                <w:rFonts w:ascii="Calibri" w:hAnsi="Calibri" w:cs="Calibri"/>
                <w:b/>
              </w:rPr>
              <w:t>ew</w:t>
            </w:r>
            <w:r w:rsidR="006F57B3" w:rsidRPr="0009782B">
              <w:rPr>
                <w:rFonts w:ascii="Calibri" w:hAnsi="Calibri" w:cs="Calibri"/>
                <w:b/>
              </w:rPr>
              <w:t>ly incorporated e</w:t>
            </w:r>
            <w:r w:rsidRPr="0009782B">
              <w:rPr>
                <w:rFonts w:ascii="Calibri" w:hAnsi="Calibri" w:cs="Calibri"/>
                <w:b/>
              </w:rPr>
              <w:t>ntities</w:t>
            </w:r>
            <w:r w:rsidR="006F57B3" w:rsidRPr="0009782B">
              <w:rPr>
                <w:rFonts w:ascii="Calibri" w:hAnsi="Calibri" w:cs="Calibri"/>
                <w:b/>
              </w:rPr>
              <w:t xml:space="preserve"> to file application under S. 35</w:t>
            </w:r>
            <w:r w:rsidR="00076F1C" w:rsidRPr="0009782B">
              <w:rPr>
                <w:rFonts w:ascii="Calibri" w:hAnsi="Calibri" w:cs="Calibri"/>
                <w:b/>
              </w:rPr>
              <w:t xml:space="preserve"> of ITA 1961 (S. 45</w:t>
            </w:r>
            <w:r w:rsidR="00AC2AB1" w:rsidRPr="0009782B">
              <w:rPr>
                <w:rFonts w:ascii="Calibri" w:hAnsi="Calibri" w:cs="Calibri"/>
                <w:b/>
              </w:rPr>
              <w:t xml:space="preserve"> of ITA 2025)</w:t>
            </w:r>
          </w:p>
          <w:p w14:paraId="5ECBA449" w14:textId="77777777" w:rsidR="00574634" w:rsidRPr="0009782B" w:rsidRDefault="00574634" w:rsidP="00BD4879">
            <w:pPr>
              <w:spacing w:after="120" w:line="276" w:lineRule="auto"/>
              <w:jc w:val="both"/>
              <w:rPr>
                <w:rFonts w:ascii="Calibri" w:hAnsi="Calibri" w:cs="Calibri"/>
                <w:b/>
              </w:rPr>
            </w:pPr>
          </w:p>
          <w:p w14:paraId="0241168F" w14:textId="300791BD" w:rsidR="00DC6750" w:rsidRPr="0009782B" w:rsidRDefault="001653E5" w:rsidP="00BD4879">
            <w:pPr>
              <w:spacing w:after="120" w:line="276" w:lineRule="auto"/>
              <w:jc w:val="both"/>
              <w:rPr>
                <w:rFonts w:ascii="Calibri" w:hAnsi="Calibri" w:cs="Calibri"/>
                <w:b/>
                <w:lang w:bidi="en-US"/>
              </w:rPr>
            </w:pPr>
            <w:r w:rsidRPr="0009782B">
              <w:rPr>
                <w:rFonts w:ascii="Calibri" w:hAnsi="Calibri" w:cs="Calibri"/>
                <w:b/>
                <w:lang w:bidi="en-US"/>
              </w:rPr>
              <w:t xml:space="preserve">Rule 5C/5F </w:t>
            </w:r>
            <w:r w:rsidR="00E55555" w:rsidRPr="0009782B">
              <w:rPr>
                <w:rFonts w:ascii="Calibri" w:hAnsi="Calibri" w:cs="Calibri"/>
                <w:b/>
                <w:lang w:bidi="en-US"/>
              </w:rPr>
              <w:t>of IT Rules 1962</w:t>
            </w:r>
            <w:r w:rsidRPr="0009782B">
              <w:rPr>
                <w:rFonts w:ascii="Calibri" w:hAnsi="Calibri" w:cs="Calibri"/>
                <w:b/>
                <w:lang w:bidi="en-US"/>
              </w:rPr>
              <w:t xml:space="preserve"> </w:t>
            </w:r>
            <w:r w:rsidR="00F47FD7" w:rsidRPr="0009782B">
              <w:rPr>
                <w:rFonts w:ascii="Calibri" w:hAnsi="Calibri" w:cs="Calibri"/>
                <w:b/>
                <w:lang w:bidi="en-US"/>
              </w:rPr>
              <w:t xml:space="preserve">(referred in </w:t>
            </w:r>
            <w:r w:rsidRPr="0009782B">
              <w:rPr>
                <w:rFonts w:ascii="Calibri" w:hAnsi="Calibri" w:cs="Calibri"/>
                <w:b/>
                <w:lang w:bidi="en-US"/>
              </w:rPr>
              <w:t>S.35 of ITA 1961</w:t>
            </w:r>
            <w:r w:rsidR="00F47FD7" w:rsidRPr="0009782B">
              <w:rPr>
                <w:rFonts w:ascii="Calibri" w:hAnsi="Calibri" w:cs="Calibri"/>
                <w:b/>
                <w:lang w:bidi="en-US"/>
              </w:rPr>
              <w:t>)</w:t>
            </w:r>
          </w:p>
          <w:p w14:paraId="74112220" w14:textId="5FBB4589" w:rsidR="00DC6750" w:rsidRPr="0009782B" w:rsidRDefault="005C53D3" w:rsidP="00BD4879">
            <w:pPr>
              <w:spacing w:after="120" w:line="276" w:lineRule="auto"/>
              <w:jc w:val="both"/>
              <w:rPr>
                <w:rFonts w:ascii="Calibri" w:hAnsi="Calibri" w:cs="Calibri"/>
                <w:b/>
                <w:lang w:bidi="en-US"/>
              </w:rPr>
            </w:pPr>
            <w:r w:rsidRPr="0009782B">
              <w:rPr>
                <w:rFonts w:ascii="Calibri" w:hAnsi="Calibri" w:cs="Calibri"/>
                <w:b/>
                <w:lang w:bidi="en-US"/>
              </w:rPr>
              <w:t>Rule 32/35</w:t>
            </w:r>
            <w:r w:rsidR="00F47FD7" w:rsidRPr="0009782B">
              <w:rPr>
                <w:rFonts w:ascii="Calibri" w:hAnsi="Calibri" w:cs="Calibri"/>
                <w:b/>
                <w:lang w:bidi="en-US"/>
              </w:rPr>
              <w:t xml:space="preserve"> of Draft IT Rules 2026 (</w:t>
            </w:r>
            <w:r w:rsidR="002959C5" w:rsidRPr="0009782B">
              <w:rPr>
                <w:rFonts w:ascii="Calibri" w:hAnsi="Calibri" w:cs="Calibri"/>
                <w:b/>
                <w:lang w:bidi="en-US"/>
              </w:rPr>
              <w:t xml:space="preserve">referred in </w:t>
            </w:r>
            <w:r w:rsidRPr="0009782B">
              <w:rPr>
                <w:rFonts w:ascii="Calibri" w:hAnsi="Calibri" w:cs="Calibri"/>
                <w:b/>
                <w:lang w:bidi="en-US"/>
              </w:rPr>
              <w:t>S.45 of ITA 2025</w:t>
            </w:r>
            <w:r w:rsidR="00F47FD7" w:rsidRPr="0009782B">
              <w:rPr>
                <w:rFonts w:ascii="Calibri" w:hAnsi="Calibri" w:cs="Calibri"/>
                <w:b/>
                <w:lang w:bidi="en-US"/>
              </w:rPr>
              <w:t>)</w:t>
            </w:r>
          </w:p>
        </w:tc>
        <w:tc>
          <w:tcPr>
            <w:tcW w:w="10404" w:type="dxa"/>
            <w:tcBorders>
              <w:top w:val="single" w:sz="4" w:space="0" w:color="auto"/>
              <w:left w:val="single" w:sz="4" w:space="0" w:color="auto"/>
              <w:bottom w:val="single" w:sz="4" w:space="0" w:color="auto"/>
              <w:right w:val="single" w:sz="4" w:space="0" w:color="auto"/>
            </w:tcBorders>
          </w:tcPr>
          <w:p w14:paraId="6BACA081" w14:textId="77777777" w:rsidR="00DC6750" w:rsidRPr="00E643CB" w:rsidRDefault="00343408" w:rsidP="00532E7E">
            <w:pPr>
              <w:spacing w:after="120" w:line="276" w:lineRule="auto"/>
              <w:rPr>
                <w:rFonts w:ascii="Calibri" w:hAnsi="Calibri" w:cs="Calibri"/>
                <w:b/>
                <w:lang w:bidi="en-US"/>
              </w:rPr>
            </w:pPr>
            <w:r w:rsidRPr="00E643CB">
              <w:rPr>
                <w:rFonts w:ascii="Calibri" w:hAnsi="Calibri" w:cs="Calibri"/>
                <w:b/>
                <w:lang w:bidi="en-US"/>
              </w:rPr>
              <w:t>Rationale:</w:t>
            </w:r>
          </w:p>
          <w:p w14:paraId="0EBCD660" w14:textId="77777777" w:rsidR="00343408" w:rsidRPr="00E643CB" w:rsidRDefault="00343408" w:rsidP="00867893">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 xml:space="preserve">This rule provides the format in which application is to be made by research association, university, college or other institution for obtaining approval u/s. 45(4)(b) of ITA 2025 which corresponds to s.35(1)(ii)/(iii) of ITA 1961. </w:t>
            </w:r>
          </w:p>
          <w:p w14:paraId="3AD0E78B" w14:textId="77777777" w:rsidR="001B6B2B" w:rsidRPr="00E643CB" w:rsidRDefault="00343408" w:rsidP="00867893">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 xml:space="preserve">While existing Rule 5C requires application for approval to be furnished at any time during the financial year immediately preceding the assessment year from which the approval is sought, the proposed Rule 32 requires such application at any time during the financial year immediately preceding the tax year from which the approval is sought. However, for tax year 2026-27, the application can be made during tax year 2026-27 also. </w:t>
            </w:r>
          </w:p>
          <w:p w14:paraId="3DB37C20" w14:textId="77777777" w:rsidR="00343408" w:rsidRPr="00E643CB" w:rsidRDefault="00343408" w:rsidP="00867893">
            <w:pPr>
              <w:pStyle w:val="ListParagraph"/>
              <w:numPr>
                <w:ilvl w:val="0"/>
                <w:numId w:val="4"/>
              </w:numPr>
              <w:spacing w:after="120" w:line="276" w:lineRule="auto"/>
              <w:contextualSpacing w:val="0"/>
              <w:rPr>
                <w:rFonts w:ascii="Calibri" w:hAnsi="Calibri" w:cs="Calibri"/>
                <w:lang w:bidi="en-US"/>
              </w:rPr>
            </w:pPr>
            <w:r w:rsidRPr="00E643CB">
              <w:rPr>
                <w:rFonts w:ascii="Calibri" w:hAnsi="Calibri" w:cs="Calibri"/>
                <w:lang w:bidi="en-US"/>
              </w:rPr>
              <w:t>This proposed change would preclude an association which is incorporated - say, during June 2027, to seek approval for tax year 2027-28. It can seek approval only from tax year 2028-29 onwards by making application in tax year 2027-28.</w:t>
            </w:r>
          </w:p>
          <w:p w14:paraId="7C49F9BF" w14:textId="77777777" w:rsidR="004560CA" w:rsidRPr="00E643CB" w:rsidRDefault="004560CA" w:rsidP="00532E7E">
            <w:pPr>
              <w:spacing w:after="120" w:line="276" w:lineRule="auto"/>
              <w:rPr>
                <w:rFonts w:ascii="Calibri" w:hAnsi="Calibri" w:cs="Calibri"/>
                <w:b/>
                <w:lang w:bidi="en-US"/>
              </w:rPr>
            </w:pPr>
            <w:r w:rsidRPr="00E643CB">
              <w:rPr>
                <w:rFonts w:ascii="Calibri" w:hAnsi="Calibri" w:cs="Calibri"/>
                <w:b/>
                <w:lang w:bidi="en-US"/>
              </w:rPr>
              <w:t>Recommendation:</w:t>
            </w:r>
          </w:p>
          <w:p w14:paraId="5057102C" w14:textId="0050E590" w:rsidR="00DC6750" w:rsidRPr="00E643CB" w:rsidRDefault="008147E8" w:rsidP="00867893">
            <w:pPr>
              <w:pStyle w:val="ListParagraph"/>
              <w:numPr>
                <w:ilvl w:val="0"/>
                <w:numId w:val="8"/>
              </w:numPr>
              <w:spacing w:after="120" w:line="276" w:lineRule="auto"/>
              <w:contextualSpacing w:val="0"/>
              <w:rPr>
                <w:rFonts w:ascii="Calibri" w:hAnsi="Calibri" w:cs="Calibri"/>
                <w:lang w:bidi="en-US"/>
              </w:rPr>
            </w:pPr>
            <w:r w:rsidRPr="00E643CB">
              <w:rPr>
                <w:rFonts w:ascii="Calibri" w:hAnsi="Calibri" w:cs="Calibri"/>
                <w:lang w:bidi="en-US"/>
              </w:rPr>
              <w:t>An exception may be created so that associations can also obtain approval for the tax year in which they are incorporated.</w:t>
            </w:r>
          </w:p>
        </w:tc>
      </w:tr>
      <w:tr w:rsidR="00DC6750" w:rsidRPr="00E643CB" w14:paraId="5DA37D3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69926A6" w14:textId="77777777" w:rsidR="00DC6750" w:rsidRPr="00E643CB" w:rsidRDefault="00DC6750"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D4083C4" w14:textId="7314DDA3" w:rsidR="009D48C3" w:rsidRPr="0009782B" w:rsidRDefault="009D48C3" w:rsidP="00BD4879">
            <w:pPr>
              <w:spacing w:after="120" w:line="276" w:lineRule="auto"/>
              <w:jc w:val="both"/>
              <w:rPr>
                <w:rFonts w:ascii="Calibri" w:hAnsi="Calibri" w:cs="Calibri"/>
                <w:b/>
                <w:lang w:bidi="en-US"/>
              </w:rPr>
            </w:pPr>
            <w:r w:rsidRPr="0009782B">
              <w:rPr>
                <w:rFonts w:ascii="Calibri" w:hAnsi="Calibri" w:cs="Calibri"/>
                <w:b/>
                <w:lang w:bidi="en-US"/>
              </w:rPr>
              <w:t>Withdrawal of approval under S. 35 of ITA 1961 (S. 45 of ITA 2025)</w:t>
            </w:r>
          </w:p>
          <w:p w14:paraId="2BFAD235" w14:textId="77777777" w:rsidR="009D48C3" w:rsidRPr="0009782B" w:rsidRDefault="009D48C3" w:rsidP="00BD4879">
            <w:pPr>
              <w:spacing w:after="120" w:line="276" w:lineRule="auto"/>
              <w:jc w:val="both"/>
              <w:rPr>
                <w:rFonts w:ascii="Calibri" w:hAnsi="Calibri" w:cs="Calibri"/>
                <w:b/>
                <w:lang w:bidi="en-US"/>
              </w:rPr>
            </w:pPr>
          </w:p>
          <w:p w14:paraId="55549C2B" w14:textId="293CD192" w:rsidR="00BD11CA" w:rsidRPr="0009782B" w:rsidRDefault="00BD11CA" w:rsidP="00BD4879">
            <w:pPr>
              <w:spacing w:after="120" w:line="276" w:lineRule="auto"/>
              <w:jc w:val="both"/>
              <w:rPr>
                <w:rFonts w:ascii="Calibri" w:hAnsi="Calibri" w:cs="Calibri"/>
                <w:b/>
                <w:lang w:bidi="en-US"/>
              </w:rPr>
            </w:pPr>
            <w:r w:rsidRPr="0009782B">
              <w:rPr>
                <w:rFonts w:ascii="Calibri" w:hAnsi="Calibri" w:cs="Calibri"/>
                <w:b/>
                <w:lang w:bidi="en-US"/>
              </w:rPr>
              <w:t>Rule 5C of IT Rules 1962 (referred in S.35 of ITA 1961)</w:t>
            </w:r>
          </w:p>
          <w:p w14:paraId="0C6C65AE" w14:textId="01D8925F" w:rsidR="00DC6750" w:rsidRPr="0009782B" w:rsidRDefault="00BD11CA" w:rsidP="00BD4879">
            <w:pPr>
              <w:spacing w:after="120" w:line="276" w:lineRule="auto"/>
              <w:jc w:val="both"/>
              <w:rPr>
                <w:rFonts w:ascii="Calibri" w:hAnsi="Calibri" w:cs="Calibri"/>
                <w:b/>
                <w:lang w:bidi="en-US"/>
              </w:rPr>
            </w:pPr>
            <w:r w:rsidRPr="0009782B">
              <w:rPr>
                <w:rFonts w:ascii="Calibri" w:hAnsi="Calibri" w:cs="Calibri"/>
                <w:b/>
                <w:lang w:bidi="en-US"/>
              </w:rPr>
              <w:t>Rule 32 of Draft IT Rules 2026 (referred in S.45 of ITA 2025)</w:t>
            </w:r>
          </w:p>
        </w:tc>
        <w:tc>
          <w:tcPr>
            <w:tcW w:w="10404" w:type="dxa"/>
            <w:tcBorders>
              <w:top w:val="single" w:sz="4" w:space="0" w:color="auto"/>
              <w:left w:val="single" w:sz="4" w:space="0" w:color="auto"/>
              <w:bottom w:val="single" w:sz="4" w:space="0" w:color="auto"/>
              <w:right w:val="single" w:sz="4" w:space="0" w:color="auto"/>
            </w:tcBorders>
          </w:tcPr>
          <w:p w14:paraId="6978446A" w14:textId="77777777" w:rsidR="0058644C" w:rsidRPr="00E643CB" w:rsidRDefault="0058644C" w:rsidP="00532E7E">
            <w:pPr>
              <w:spacing w:after="120" w:line="276" w:lineRule="auto"/>
              <w:rPr>
                <w:rFonts w:ascii="Calibri" w:hAnsi="Calibri" w:cs="Calibri"/>
                <w:b/>
                <w:lang w:bidi="en-US"/>
              </w:rPr>
            </w:pPr>
            <w:r w:rsidRPr="00E643CB">
              <w:rPr>
                <w:rFonts w:ascii="Calibri" w:hAnsi="Calibri" w:cs="Calibri"/>
                <w:b/>
                <w:lang w:bidi="en-US"/>
              </w:rPr>
              <w:t>Rationale:</w:t>
            </w:r>
          </w:p>
          <w:p w14:paraId="36FCECCF" w14:textId="18DAE15C" w:rsidR="00E15DCA" w:rsidRPr="00E643CB" w:rsidRDefault="00E15DCA" w:rsidP="00867893">
            <w:pPr>
              <w:pStyle w:val="ListParagraph"/>
              <w:numPr>
                <w:ilvl w:val="0"/>
                <w:numId w:val="8"/>
              </w:numPr>
              <w:spacing w:after="120" w:line="276" w:lineRule="auto"/>
              <w:contextualSpacing w:val="0"/>
              <w:rPr>
                <w:rFonts w:ascii="Calibri" w:hAnsi="Calibri" w:cs="Calibri"/>
                <w:lang w:bidi="en-US"/>
              </w:rPr>
            </w:pPr>
            <w:r w:rsidRPr="00E643CB">
              <w:rPr>
                <w:rFonts w:ascii="Calibri" w:hAnsi="Calibri" w:cs="Calibri"/>
                <w:lang w:bidi="en-US"/>
              </w:rPr>
              <w:t xml:space="preserve">Rule 5C(11) of IT Rule 1962 states that the CG ‘may’ withdraw the approval if it is satisfied that the association etc. has ceased its activities or its activities are not genuine or are not being carried out in accordance with prescribed conditions. </w:t>
            </w:r>
          </w:p>
          <w:p w14:paraId="2D63BFED" w14:textId="77777777" w:rsidR="00DC6750" w:rsidRPr="00E643CB" w:rsidRDefault="00E15DCA" w:rsidP="00867893">
            <w:pPr>
              <w:pStyle w:val="ListParagraph"/>
              <w:numPr>
                <w:ilvl w:val="0"/>
                <w:numId w:val="8"/>
              </w:numPr>
              <w:spacing w:after="120" w:line="276" w:lineRule="auto"/>
              <w:contextualSpacing w:val="0"/>
              <w:rPr>
                <w:rFonts w:ascii="Calibri" w:hAnsi="Calibri" w:cs="Calibri"/>
                <w:lang w:bidi="en-US"/>
              </w:rPr>
            </w:pPr>
            <w:r w:rsidRPr="00E643CB">
              <w:rPr>
                <w:rFonts w:ascii="Calibri" w:hAnsi="Calibri" w:cs="Calibri"/>
                <w:lang w:bidi="en-US"/>
              </w:rPr>
              <w:t>Rule 32(12) of Draft IT Rules 2026 states that CG ‘shall’ withdraw the approval in such circumstances.</w:t>
            </w:r>
          </w:p>
          <w:p w14:paraId="568BC587" w14:textId="77777777" w:rsidR="00E15DCA" w:rsidRPr="00E643CB" w:rsidRDefault="0067550C" w:rsidP="00867893">
            <w:pPr>
              <w:pStyle w:val="ListParagraph"/>
              <w:numPr>
                <w:ilvl w:val="0"/>
                <w:numId w:val="8"/>
              </w:numPr>
              <w:spacing w:after="120" w:line="276" w:lineRule="auto"/>
              <w:contextualSpacing w:val="0"/>
              <w:rPr>
                <w:rFonts w:ascii="Calibri" w:hAnsi="Calibri" w:cs="Calibri"/>
                <w:lang w:bidi="en-US"/>
              </w:rPr>
            </w:pPr>
            <w:r w:rsidRPr="00E643CB">
              <w:rPr>
                <w:rFonts w:ascii="Calibri" w:hAnsi="Calibri" w:cs="Calibri"/>
                <w:lang w:bidi="en-US"/>
              </w:rPr>
              <w:t>Where activities of the association have temporarily ceased due to say – financial crunch, CG should not be mandated to withdraw approval. Rather, CG can merely be given a discretion to withdraw its approval.</w:t>
            </w:r>
          </w:p>
          <w:p w14:paraId="29DD4349" w14:textId="77777777" w:rsidR="002E6C00" w:rsidRPr="00E643CB" w:rsidRDefault="002E6C00" w:rsidP="00532E7E">
            <w:pPr>
              <w:spacing w:after="120" w:line="276" w:lineRule="auto"/>
              <w:rPr>
                <w:rFonts w:ascii="Calibri" w:hAnsi="Calibri" w:cs="Calibri"/>
                <w:b/>
                <w:lang w:bidi="en-US"/>
              </w:rPr>
            </w:pPr>
            <w:r w:rsidRPr="00E643CB">
              <w:rPr>
                <w:rFonts w:ascii="Calibri" w:hAnsi="Calibri" w:cs="Calibri"/>
                <w:b/>
                <w:lang w:bidi="en-US"/>
              </w:rPr>
              <w:t>Recommendation:</w:t>
            </w:r>
          </w:p>
          <w:p w14:paraId="3585809B" w14:textId="2ED21FA5" w:rsidR="00DC6750" w:rsidRPr="00E643CB" w:rsidRDefault="002177BC"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It is recommended to replace the word “shall” with “may” in Rule 32(12) of Draft IT Rules 2026.</w:t>
            </w:r>
          </w:p>
        </w:tc>
      </w:tr>
      <w:tr w:rsidR="00F402CA" w:rsidRPr="00E643CB" w14:paraId="7377D8E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1110EDD" w14:textId="77777777" w:rsidR="00F402CA" w:rsidRPr="00E643CB" w:rsidRDefault="00F402CA"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13902D8" w14:textId="7710EE3B" w:rsidR="00FF55C9" w:rsidRPr="0009782B" w:rsidRDefault="009B4D78" w:rsidP="00BD4879">
            <w:pPr>
              <w:spacing w:after="120" w:line="276" w:lineRule="auto"/>
              <w:jc w:val="both"/>
              <w:rPr>
                <w:rFonts w:ascii="Calibri" w:hAnsi="Calibri" w:cs="Calibri"/>
                <w:b/>
                <w:color w:val="000000" w:themeColor="text1"/>
                <w:lang w:bidi="en-US"/>
              </w:rPr>
            </w:pPr>
            <w:r w:rsidRPr="0009782B">
              <w:rPr>
                <w:rFonts w:ascii="Calibri" w:hAnsi="Calibri" w:cs="Calibri"/>
                <w:b/>
                <w:color w:val="000000" w:themeColor="text1"/>
                <w:lang w:bidi="en-US"/>
              </w:rPr>
              <w:t>Rule 42 to be e</w:t>
            </w:r>
            <w:r w:rsidR="00B7093F" w:rsidRPr="0009782B">
              <w:rPr>
                <w:rFonts w:ascii="Calibri" w:hAnsi="Calibri" w:cs="Calibri"/>
                <w:b/>
                <w:color w:val="000000" w:themeColor="text1"/>
                <w:lang w:bidi="en-US"/>
              </w:rPr>
              <w:t xml:space="preserve">xtended to NBFCs and </w:t>
            </w:r>
            <w:r w:rsidR="003A3A0A" w:rsidRPr="0009782B">
              <w:rPr>
                <w:rFonts w:ascii="Calibri" w:hAnsi="Calibri" w:cs="Calibri"/>
                <w:b/>
                <w:color w:val="000000" w:themeColor="text1"/>
                <w:lang w:bidi="en-US"/>
              </w:rPr>
              <w:t>Classification of NPAs</w:t>
            </w:r>
            <w:r w:rsidR="00CE55C3" w:rsidRPr="0009782B">
              <w:rPr>
                <w:rFonts w:ascii="Calibri" w:hAnsi="Calibri" w:cs="Calibri"/>
                <w:b/>
                <w:color w:val="000000" w:themeColor="text1"/>
                <w:lang w:bidi="en-US"/>
              </w:rPr>
              <w:t xml:space="preserve"> to be aligned with RBI guidelines</w:t>
            </w:r>
          </w:p>
          <w:p w14:paraId="0028AC3F" w14:textId="77777777" w:rsidR="00CD07E3" w:rsidRPr="0009782B" w:rsidRDefault="00CD07E3" w:rsidP="00BD4879">
            <w:pPr>
              <w:spacing w:after="120" w:line="276" w:lineRule="auto"/>
              <w:jc w:val="both"/>
              <w:rPr>
                <w:rFonts w:ascii="Calibri" w:hAnsi="Calibri" w:cs="Calibri"/>
                <w:b/>
                <w:color w:val="000000" w:themeColor="text1"/>
                <w:lang w:bidi="en-US"/>
              </w:rPr>
            </w:pPr>
          </w:p>
          <w:p w14:paraId="35D08850" w14:textId="202084F6" w:rsidR="00CD07E3" w:rsidRPr="0009782B" w:rsidRDefault="00831BE6" w:rsidP="00BD4879">
            <w:pPr>
              <w:spacing w:after="120" w:line="276" w:lineRule="auto"/>
              <w:jc w:val="both"/>
              <w:rPr>
                <w:rFonts w:ascii="Calibri" w:hAnsi="Calibri" w:cs="Calibri"/>
                <w:b/>
                <w:color w:val="000000" w:themeColor="text1"/>
                <w:lang w:bidi="en-US"/>
              </w:rPr>
            </w:pPr>
            <w:r w:rsidRPr="0009782B">
              <w:rPr>
                <w:rFonts w:ascii="Calibri" w:hAnsi="Calibri" w:cs="Calibri"/>
                <w:b/>
                <w:color w:val="000000" w:themeColor="text1"/>
                <w:lang w:bidi="en-US"/>
              </w:rPr>
              <w:t xml:space="preserve">Rules 6EA/B of IT Rules 1962 </w:t>
            </w:r>
          </w:p>
          <w:p w14:paraId="1172B9A7" w14:textId="12769016" w:rsidR="00831BE6" w:rsidRPr="0009782B" w:rsidRDefault="00831BE6" w:rsidP="00BD4879">
            <w:pPr>
              <w:spacing w:after="120" w:line="276" w:lineRule="auto"/>
              <w:jc w:val="both"/>
              <w:rPr>
                <w:rFonts w:ascii="Calibri" w:hAnsi="Calibri" w:cs="Calibri"/>
                <w:b/>
                <w:color w:val="000000" w:themeColor="text1"/>
                <w:lang w:bidi="en-US"/>
              </w:rPr>
            </w:pPr>
            <w:r w:rsidRPr="0009782B">
              <w:rPr>
                <w:rFonts w:ascii="Calibri" w:hAnsi="Calibri" w:cs="Calibri"/>
                <w:b/>
                <w:color w:val="000000" w:themeColor="text1"/>
                <w:lang w:bidi="en-US"/>
              </w:rPr>
              <w:t>Rule 42 of Draft IT Rules 2026</w:t>
            </w:r>
            <w:r w:rsidR="00BA3817" w:rsidRPr="0009782B">
              <w:rPr>
                <w:rFonts w:ascii="Calibri" w:hAnsi="Calibri" w:cs="Calibri"/>
                <w:b/>
                <w:color w:val="000000" w:themeColor="text1"/>
                <w:lang w:bidi="en-US"/>
              </w:rPr>
              <w:t xml:space="preserve"> </w:t>
            </w:r>
          </w:p>
          <w:p w14:paraId="506F51D7" w14:textId="77777777" w:rsidR="00CD07E3" w:rsidRPr="0009782B" w:rsidRDefault="00CD07E3" w:rsidP="00BD4879">
            <w:pPr>
              <w:spacing w:after="120" w:line="276" w:lineRule="auto"/>
              <w:jc w:val="both"/>
              <w:rPr>
                <w:rFonts w:ascii="Calibri" w:hAnsi="Calibri" w:cs="Calibri"/>
                <w:b/>
                <w:color w:val="000000" w:themeColor="text1"/>
                <w:lang w:bidi="en-US"/>
              </w:rPr>
            </w:pPr>
          </w:p>
          <w:p w14:paraId="667420B4" w14:textId="3CEC4FCD" w:rsidR="00F402CA" w:rsidRPr="0009782B" w:rsidRDefault="00F402CA" w:rsidP="00BD4879">
            <w:pPr>
              <w:spacing w:after="120" w:line="276" w:lineRule="auto"/>
              <w:jc w:val="both"/>
              <w:rPr>
                <w:rFonts w:ascii="Calibri" w:hAnsi="Calibri" w:cs="Calibri"/>
                <w:b/>
                <w:color w:val="FF0000"/>
                <w:lang w:bidi="en-US"/>
              </w:rPr>
            </w:pPr>
          </w:p>
        </w:tc>
        <w:tc>
          <w:tcPr>
            <w:tcW w:w="10404" w:type="dxa"/>
            <w:tcBorders>
              <w:top w:val="single" w:sz="4" w:space="0" w:color="auto"/>
              <w:left w:val="single" w:sz="4" w:space="0" w:color="auto"/>
              <w:bottom w:val="single" w:sz="4" w:space="0" w:color="auto"/>
              <w:right w:val="single" w:sz="4" w:space="0" w:color="auto"/>
            </w:tcBorders>
          </w:tcPr>
          <w:p w14:paraId="3FA0FB9C" w14:textId="77777777" w:rsidR="00F402CA" w:rsidRPr="00E643CB" w:rsidRDefault="00B041A2" w:rsidP="00532E7E">
            <w:pPr>
              <w:spacing w:after="120" w:line="276" w:lineRule="auto"/>
              <w:rPr>
                <w:rFonts w:ascii="Calibri" w:hAnsi="Calibri" w:cs="Calibri"/>
                <w:b/>
                <w:lang w:bidi="en-US"/>
              </w:rPr>
            </w:pPr>
            <w:r w:rsidRPr="00E643CB">
              <w:rPr>
                <w:rFonts w:ascii="Calibri" w:hAnsi="Calibri" w:cs="Calibri"/>
                <w:b/>
                <w:lang w:bidi="en-US"/>
              </w:rPr>
              <w:t>Rationale:</w:t>
            </w:r>
          </w:p>
          <w:p w14:paraId="4EDC9D86" w14:textId="77777777" w:rsidR="00B041A2" w:rsidRPr="00E643CB" w:rsidRDefault="00B041A2"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The existing provisions of section 43D of ITA 1961 (corresponding to section 56 of ITA 2025) read with Rules 6EA/B of ITA 1961 (corresponding to proposed Rule 42), inter-alia, provides that interest income in relation to certain categories of bad or doubtful debts received by specified Taxpayers shall be chargeable to tax in the previous year in which it is credited to its profit and loss account for that year or actually received, whichever is earlier.</w:t>
            </w:r>
          </w:p>
          <w:p w14:paraId="31FD4F93" w14:textId="0E91C2C3" w:rsidR="00173716" w:rsidRPr="00E643CB" w:rsidRDefault="00173716"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 xml:space="preserve">Finance Act, 2019 amended s.43D to cover all deposit taking NBFCs (NBFC-D) or a systemically important non-deposit taking NBFCs (NBFC-ND-SI). Subsequently, Finance Act, 2023, w.e.f. tax year 2023-24 amended s.43D to cover such class of NBFCs as may be notified. While NBFCs eligible for s.43D were duly notified, the categories of bad or doubtful debts for which benefit of s.43D can be applied was never prescribed. </w:t>
            </w:r>
          </w:p>
          <w:p w14:paraId="012A670C" w14:textId="77777777" w:rsidR="00FF55C9" w:rsidRPr="00E643CB" w:rsidRDefault="00FF55C9"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 xml:space="preserve">This problem persists even under the draft rules, because there is no provision in the draft rules specifying categories of bad or doubtful debts for which benefit of s.56 of ITA 2025 can be applied. </w:t>
            </w:r>
          </w:p>
          <w:p w14:paraId="300AF6A9" w14:textId="76DFA363" w:rsidR="008E319A" w:rsidRPr="00E643CB" w:rsidRDefault="008E319A"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Rule 42 is not in sync with extant RBI guidelines. For instance, RBI guidelines treat debt overdue for 90 days as NPA whereas Rule 42(2) prescribes that debt (or its interest) should be overdue for 180 days (other than for crop advances as per Rule 42(2)(a)(ii)(H)).</w:t>
            </w:r>
          </w:p>
          <w:p w14:paraId="7D48898D" w14:textId="619319E2" w:rsidR="008E319A" w:rsidRPr="00E643CB" w:rsidRDefault="008E319A"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 xml:space="preserve">Similarly, while Rule 42(1) covers a loan or advance or bills purchased and discounted, which remains overdue for &gt; 180 days. Para 42 of RBI Directions classify aforesaid assets as NPA if they remain overdue for a period of more than 90 days. </w:t>
            </w:r>
          </w:p>
          <w:p w14:paraId="28F7BB8E" w14:textId="55F5D67A" w:rsidR="008E319A" w:rsidRPr="00E643CB" w:rsidRDefault="008E319A"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 xml:space="preserve">This gives rise to controversy on taxation of notional interest income on overdue debts between 90 to 180 days despite its non-recognition in books of account. </w:t>
            </w:r>
          </w:p>
          <w:p w14:paraId="1071D528" w14:textId="77777777" w:rsidR="00B041A2" w:rsidRPr="00E643CB" w:rsidRDefault="008E319A" w:rsidP="00867893">
            <w:pPr>
              <w:pStyle w:val="ListParagraph"/>
              <w:numPr>
                <w:ilvl w:val="0"/>
                <w:numId w:val="10"/>
              </w:numPr>
              <w:spacing w:after="120" w:line="276" w:lineRule="auto"/>
              <w:contextualSpacing w:val="0"/>
              <w:rPr>
                <w:rFonts w:ascii="Calibri" w:hAnsi="Calibri" w:cs="Calibri"/>
                <w:b/>
                <w:lang w:bidi="en-US"/>
              </w:rPr>
            </w:pPr>
            <w:r w:rsidRPr="00E643CB">
              <w:rPr>
                <w:rFonts w:ascii="Calibri" w:hAnsi="Calibri" w:cs="Calibri"/>
                <w:lang w:bidi="en-US"/>
              </w:rPr>
              <w:t>It may be noted that all the housing finance companies (HFCs) and NBFCs have adopted the Ind-AS accounting regime wherein interest income has to be recognized on such loans, generally classified as Stage 3 Loans, in its profit and loss account at credit impaired rate on the impaired carrying value, whether or not the company has received such income. This creates an anomaly as the company is forced to pay taxes on income which are not received, on the basis that such income is credited to its profit and loss account. Further, it defeats the very intent of the introduction of the s.43D/s.56 along with the rules.</w:t>
            </w:r>
          </w:p>
          <w:p w14:paraId="403284B6" w14:textId="77777777" w:rsidR="003425F4" w:rsidRPr="00E643CB" w:rsidRDefault="003425F4" w:rsidP="00532E7E">
            <w:pPr>
              <w:spacing w:after="120" w:line="276" w:lineRule="auto"/>
              <w:rPr>
                <w:rFonts w:ascii="Calibri" w:hAnsi="Calibri" w:cs="Calibri"/>
                <w:b/>
                <w:lang w:bidi="en-US"/>
              </w:rPr>
            </w:pPr>
            <w:r w:rsidRPr="00E643CB">
              <w:rPr>
                <w:rFonts w:ascii="Calibri" w:hAnsi="Calibri" w:cs="Calibri"/>
                <w:b/>
                <w:lang w:bidi="en-US"/>
              </w:rPr>
              <w:t>Recommendation:</w:t>
            </w:r>
          </w:p>
          <w:p w14:paraId="1921E475" w14:textId="40DE8669" w:rsidR="00F32F4C" w:rsidRPr="00E643CB" w:rsidRDefault="006711C3" w:rsidP="00867893">
            <w:pPr>
              <w:pStyle w:val="ListParagraph"/>
              <w:numPr>
                <w:ilvl w:val="0"/>
                <w:numId w:val="12"/>
              </w:numPr>
              <w:spacing w:after="120" w:line="276" w:lineRule="auto"/>
              <w:contextualSpacing w:val="0"/>
              <w:rPr>
                <w:rFonts w:ascii="Calibri" w:hAnsi="Calibri" w:cs="Calibri"/>
                <w:lang w:bidi="en-US"/>
              </w:rPr>
            </w:pPr>
            <w:r w:rsidRPr="00E643CB">
              <w:rPr>
                <w:rFonts w:ascii="Calibri" w:hAnsi="Calibri" w:cs="Calibri"/>
                <w:lang w:bidi="en-US"/>
              </w:rPr>
              <w:t>I</w:t>
            </w:r>
            <w:r w:rsidR="00F32F4C" w:rsidRPr="00E643CB">
              <w:rPr>
                <w:rFonts w:ascii="Calibri" w:hAnsi="Calibri" w:cs="Calibri"/>
                <w:lang w:bidi="en-US"/>
              </w:rPr>
              <w:t>t is recommended draft rules may be extended to also include NBFCs. For this purpose, either proposed Rule 42(2) may be extended to NBFCs, or new rules may be notified for this purpose.</w:t>
            </w:r>
          </w:p>
          <w:p w14:paraId="1017933A" w14:textId="79677B7F" w:rsidR="00F402CA" w:rsidRPr="00E643CB" w:rsidRDefault="00F32F4C" w:rsidP="00867893">
            <w:pPr>
              <w:pStyle w:val="ListParagraph"/>
              <w:numPr>
                <w:ilvl w:val="0"/>
                <w:numId w:val="12"/>
              </w:numPr>
              <w:spacing w:after="120" w:line="276" w:lineRule="auto"/>
              <w:contextualSpacing w:val="0"/>
              <w:rPr>
                <w:rFonts w:ascii="Calibri" w:hAnsi="Calibri" w:cs="Calibri"/>
                <w:b/>
                <w:lang w:bidi="en-US"/>
              </w:rPr>
            </w:pPr>
            <w:r w:rsidRPr="00E643CB">
              <w:rPr>
                <w:rFonts w:ascii="Calibri" w:hAnsi="Calibri" w:cs="Calibri"/>
                <w:lang w:bidi="en-US"/>
              </w:rPr>
              <w:t>It is also suggested to align the proposed rule entirely with the extant RBI guidelines to avoid a</w:t>
            </w:r>
            <w:r w:rsidR="00BA4436" w:rsidRPr="00E643CB">
              <w:rPr>
                <w:rFonts w:ascii="Calibri" w:hAnsi="Calibri" w:cs="Calibri"/>
                <w:lang w:bidi="en-US"/>
              </w:rPr>
              <w:t>n</w:t>
            </w:r>
            <w:r w:rsidRPr="00E643CB">
              <w:rPr>
                <w:rFonts w:ascii="Calibri" w:hAnsi="Calibri" w:cs="Calibri"/>
                <w:lang w:bidi="en-US"/>
              </w:rPr>
              <w:t xml:space="preserve"> anomalous situations where the taxes would be required to be paid on income which is not received on the basis that such income is credited to its profit and loss account and would defeat the intent of S.56 of ITA 2025 (S. 43D of ITA 1961). Further, the rules also need to be updated to accommodate Ind-AS taxpayers, to provide that, interest income on credit-impaired loans recognized in the books would be taxed only on actual receipt thereof.</w:t>
            </w:r>
          </w:p>
        </w:tc>
      </w:tr>
      <w:tr w:rsidR="00B5152F" w:rsidRPr="00E643CB" w14:paraId="73BEFEF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1E006F9" w14:textId="77777777" w:rsidR="00B5152F" w:rsidRPr="00E643CB" w:rsidRDefault="00B5152F"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3595E6B" w14:textId="29696D7B" w:rsidR="009D0620" w:rsidRPr="0009782B" w:rsidRDefault="00594957" w:rsidP="00BD4879">
            <w:pPr>
              <w:spacing w:after="120" w:line="276" w:lineRule="auto"/>
              <w:jc w:val="both"/>
              <w:rPr>
                <w:rFonts w:ascii="Calibri" w:hAnsi="Calibri" w:cs="Calibri"/>
                <w:b/>
                <w:color w:val="000000" w:themeColor="text1"/>
                <w:lang w:bidi="en-US"/>
              </w:rPr>
            </w:pPr>
            <w:r w:rsidRPr="0009782B">
              <w:rPr>
                <w:rFonts w:ascii="Calibri" w:hAnsi="Calibri" w:cs="Calibri"/>
                <w:b/>
                <w:color w:val="000000" w:themeColor="text1"/>
                <w:lang w:bidi="en-US"/>
              </w:rPr>
              <w:t xml:space="preserve">No additional conditions to be prescribed </w:t>
            </w:r>
            <w:r w:rsidR="0075008C" w:rsidRPr="0009782B">
              <w:rPr>
                <w:rFonts w:ascii="Calibri" w:hAnsi="Calibri" w:cs="Calibri"/>
                <w:b/>
                <w:color w:val="000000" w:themeColor="text1"/>
                <w:lang w:bidi="en-US"/>
              </w:rPr>
              <w:t>in addition to those presc</w:t>
            </w:r>
            <w:r w:rsidR="009D0620" w:rsidRPr="0009782B">
              <w:rPr>
                <w:rFonts w:ascii="Calibri" w:hAnsi="Calibri" w:cs="Calibri"/>
                <w:b/>
                <w:color w:val="000000" w:themeColor="text1"/>
                <w:lang w:bidi="en-US"/>
              </w:rPr>
              <w:t>ribed in S. 61 of ITA 2025 (corresponding to S. 44BBD of ITA 1961)</w:t>
            </w:r>
          </w:p>
          <w:p w14:paraId="2C7AF784" w14:textId="77777777" w:rsidR="009D0620" w:rsidRPr="0009782B" w:rsidRDefault="009D0620" w:rsidP="00BD4879">
            <w:pPr>
              <w:spacing w:after="120" w:line="276" w:lineRule="auto"/>
              <w:jc w:val="both"/>
              <w:rPr>
                <w:rFonts w:ascii="Calibri" w:hAnsi="Calibri" w:cs="Calibri"/>
                <w:b/>
                <w:color w:val="000000" w:themeColor="text1"/>
                <w:lang w:bidi="en-US"/>
              </w:rPr>
            </w:pPr>
          </w:p>
          <w:p w14:paraId="7A784376" w14:textId="6FB92043" w:rsidR="00B5152F" w:rsidRPr="0009782B" w:rsidRDefault="0037534F" w:rsidP="00BD4879">
            <w:pPr>
              <w:spacing w:after="120" w:line="276" w:lineRule="auto"/>
              <w:jc w:val="both"/>
              <w:rPr>
                <w:rFonts w:ascii="Calibri" w:hAnsi="Calibri" w:cs="Calibri"/>
                <w:b/>
                <w:color w:val="000000" w:themeColor="text1"/>
                <w:lang w:bidi="en-US"/>
              </w:rPr>
            </w:pPr>
            <w:r w:rsidRPr="0009782B">
              <w:rPr>
                <w:rFonts w:ascii="Calibri" w:hAnsi="Calibri" w:cs="Calibri"/>
                <w:b/>
                <w:color w:val="000000" w:themeColor="text1"/>
                <w:lang w:bidi="en-US"/>
              </w:rPr>
              <w:t xml:space="preserve">New </w:t>
            </w:r>
            <w:r w:rsidR="009D0620" w:rsidRPr="0009782B">
              <w:rPr>
                <w:rFonts w:ascii="Calibri" w:hAnsi="Calibri" w:cs="Calibri"/>
                <w:b/>
                <w:color w:val="000000" w:themeColor="text1"/>
                <w:lang w:bidi="en-US"/>
              </w:rPr>
              <w:t xml:space="preserve">Rule 45 of Draft IT Rules 2026 (referred in S. 61 of ITA 2025) </w:t>
            </w:r>
          </w:p>
        </w:tc>
        <w:tc>
          <w:tcPr>
            <w:tcW w:w="10404" w:type="dxa"/>
            <w:tcBorders>
              <w:top w:val="single" w:sz="4" w:space="0" w:color="auto"/>
              <w:left w:val="single" w:sz="4" w:space="0" w:color="auto"/>
              <w:bottom w:val="single" w:sz="4" w:space="0" w:color="auto"/>
              <w:right w:val="single" w:sz="4" w:space="0" w:color="auto"/>
            </w:tcBorders>
          </w:tcPr>
          <w:p w14:paraId="657970E6" w14:textId="77777777" w:rsidR="00B5152F" w:rsidRPr="00E643CB" w:rsidRDefault="00E966C8" w:rsidP="00532E7E">
            <w:pPr>
              <w:spacing w:after="120" w:line="276" w:lineRule="auto"/>
              <w:rPr>
                <w:rFonts w:ascii="Calibri" w:hAnsi="Calibri" w:cs="Calibri"/>
                <w:b/>
                <w:lang w:bidi="en-US"/>
              </w:rPr>
            </w:pPr>
            <w:r w:rsidRPr="00E643CB">
              <w:rPr>
                <w:rFonts w:ascii="Calibri" w:hAnsi="Calibri" w:cs="Calibri"/>
                <w:b/>
                <w:lang w:bidi="en-US"/>
              </w:rPr>
              <w:t>Rationale:</w:t>
            </w:r>
          </w:p>
          <w:p w14:paraId="507328C5" w14:textId="0BB8041B" w:rsidR="00B21DD6" w:rsidRPr="00E643CB" w:rsidRDefault="00B21DD6" w:rsidP="00867893">
            <w:pPr>
              <w:pStyle w:val="ListParagraph"/>
              <w:numPr>
                <w:ilvl w:val="0"/>
                <w:numId w:val="13"/>
              </w:numPr>
              <w:spacing w:after="120" w:line="276" w:lineRule="auto"/>
              <w:contextualSpacing w:val="0"/>
              <w:rPr>
                <w:rFonts w:ascii="Calibri" w:hAnsi="Calibri" w:cs="Calibri"/>
                <w:lang w:bidi="en-US"/>
              </w:rPr>
            </w:pPr>
            <w:r w:rsidRPr="00E643CB">
              <w:rPr>
                <w:rFonts w:ascii="Calibri" w:hAnsi="Calibri" w:cs="Calibri"/>
                <w:lang w:bidi="en-US"/>
              </w:rPr>
              <w:t xml:space="preserve">Rule 45 is newly introduced </w:t>
            </w:r>
            <w:r w:rsidR="00811027" w:rsidRPr="00E643CB">
              <w:rPr>
                <w:rFonts w:ascii="Calibri" w:hAnsi="Calibri" w:cs="Calibri"/>
                <w:lang w:bidi="en-US"/>
              </w:rPr>
              <w:t>in the Draft Income Tax rules 2026</w:t>
            </w:r>
            <w:r w:rsidR="00A57DAC" w:rsidRPr="00E643CB">
              <w:rPr>
                <w:rFonts w:ascii="Calibri" w:hAnsi="Calibri" w:cs="Calibri"/>
                <w:lang w:bidi="en-US"/>
              </w:rPr>
              <w:t>.</w:t>
            </w:r>
          </w:p>
          <w:p w14:paraId="25F5A476" w14:textId="71FB4AD8" w:rsidR="00694655" w:rsidRPr="00E643CB" w:rsidRDefault="00694655" w:rsidP="00867893">
            <w:pPr>
              <w:pStyle w:val="ListParagraph"/>
              <w:numPr>
                <w:ilvl w:val="0"/>
                <w:numId w:val="13"/>
              </w:numPr>
              <w:spacing w:after="120" w:line="276" w:lineRule="auto"/>
              <w:contextualSpacing w:val="0"/>
              <w:rPr>
                <w:rFonts w:ascii="Calibri" w:hAnsi="Calibri" w:cs="Calibri"/>
                <w:lang w:bidi="en-US"/>
              </w:rPr>
            </w:pPr>
            <w:r w:rsidRPr="00E643CB">
              <w:rPr>
                <w:rFonts w:ascii="Calibri" w:hAnsi="Calibri" w:cs="Calibri"/>
                <w:lang w:bidi="en-US"/>
              </w:rPr>
              <w:t>The corresponding section to which the said Rule relates is applicable to non-resident entities executing specified contracts in India.</w:t>
            </w:r>
          </w:p>
          <w:p w14:paraId="7E5060BA" w14:textId="792F9A78" w:rsidR="00694655" w:rsidRPr="00E643CB" w:rsidRDefault="00694655" w:rsidP="00867893">
            <w:pPr>
              <w:pStyle w:val="ListParagraph"/>
              <w:numPr>
                <w:ilvl w:val="0"/>
                <w:numId w:val="13"/>
              </w:numPr>
              <w:spacing w:after="120" w:line="276" w:lineRule="auto"/>
              <w:contextualSpacing w:val="0"/>
              <w:rPr>
                <w:rFonts w:ascii="Calibri" w:hAnsi="Calibri" w:cs="Calibri"/>
                <w:lang w:bidi="en-US"/>
              </w:rPr>
            </w:pPr>
            <w:r w:rsidRPr="00E643CB">
              <w:rPr>
                <w:rFonts w:ascii="Calibri" w:hAnsi="Calibri" w:cs="Calibri"/>
                <w:lang w:bidi="en-US"/>
              </w:rPr>
              <w:t>Where all other the conditions prescribed under the Act are satisfied and contracts are awarded accordingly, the introduction of additional procedural or substantive requirements through the Rules effectively imposes further compliance obligations not contemplated under the statutory framework. This could result in hardship for non-resident entities as it is subject to fulfilment of conditions prescribed in Rule 45(2) by the resident entity.</w:t>
            </w:r>
          </w:p>
          <w:p w14:paraId="6C9BCBD5" w14:textId="77777777" w:rsidR="00694655" w:rsidRPr="00E643CB" w:rsidRDefault="00694655" w:rsidP="00867893">
            <w:pPr>
              <w:pStyle w:val="ListParagraph"/>
              <w:numPr>
                <w:ilvl w:val="0"/>
                <w:numId w:val="13"/>
              </w:numPr>
              <w:spacing w:after="120" w:line="276" w:lineRule="auto"/>
              <w:contextualSpacing w:val="0"/>
              <w:rPr>
                <w:rFonts w:ascii="Calibri" w:hAnsi="Calibri" w:cs="Calibri"/>
                <w:lang w:bidi="en-US"/>
              </w:rPr>
            </w:pPr>
            <w:r w:rsidRPr="00E643CB">
              <w:rPr>
                <w:rFonts w:ascii="Calibri" w:hAnsi="Calibri" w:cs="Calibri"/>
                <w:lang w:bidi="en-US"/>
              </w:rPr>
              <w:t>Contracts covered under Section 44BBD are generally long-gestation contracts with implementation timelines of approximately 2–3 years. If the conditions as per Rule 45 are not satisfied by the resident company during the execution phase of such projects, the same could change the entire economics of the non-resident contractor since the non-resident entity would have factored the taxes basis the law (Section 44BBD of the Income-tax Act, 1961). Application of onerous conditions may render projects commercially unviable for non-resident contractors, potentially leading to execution challenges, disputes, or renegotiations. This creates uncertainty not only for taxpayers but also for project implementation and investment confidence.</w:t>
            </w:r>
          </w:p>
          <w:p w14:paraId="08F0BDAF" w14:textId="17BD6D69" w:rsidR="00F34E9B" w:rsidRPr="00E643CB" w:rsidRDefault="00F34E9B" w:rsidP="00532E7E">
            <w:pPr>
              <w:spacing w:after="120" w:line="276" w:lineRule="auto"/>
              <w:rPr>
                <w:rFonts w:ascii="Calibri" w:hAnsi="Calibri" w:cs="Calibri"/>
                <w:b/>
                <w:lang w:bidi="en-US"/>
              </w:rPr>
            </w:pPr>
            <w:r w:rsidRPr="00E643CB">
              <w:rPr>
                <w:rFonts w:ascii="Calibri" w:hAnsi="Calibri" w:cs="Calibri"/>
                <w:b/>
                <w:lang w:bidi="en-US"/>
              </w:rPr>
              <w:t>Recommendation:</w:t>
            </w:r>
          </w:p>
          <w:p w14:paraId="18E54E44" w14:textId="16C9C7F5" w:rsidR="007A29C6" w:rsidRPr="00E643CB" w:rsidRDefault="007A29C6" w:rsidP="00867893">
            <w:pPr>
              <w:pStyle w:val="ListParagraph"/>
              <w:numPr>
                <w:ilvl w:val="0"/>
                <w:numId w:val="14"/>
              </w:numPr>
              <w:spacing w:after="120" w:line="276" w:lineRule="auto"/>
              <w:contextualSpacing w:val="0"/>
              <w:rPr>
                <w:rFonts w:ascii="Calibri" w:hAnsi="Calibri" w:cs="Calibri"/>
                <w:lang w:bidi="en-US"/>
              </w:rPr>
            </w:pPr>
            <w:r w:rsidRPr="00E643CB">
              <w:rPr>
                <w:rFonts w:ascii="Calibri" w:hAnsi="Calibri" w:cs="Calibri"/>
                <w:lang w:bidi="en-US"/>
              </w:rPr>
              <w:t>Once a non-resident entity satisfies the eligibility conditions prescribed under Section 44BBD and the contract has been awarded on that basis, no additional or restrictive requirements should be imposed through Rule 45(2) that effectively dilute or override the statutory benefit.</w:t>
            </w:r>
          </w:p>
          <w:p w14:paraId="72C1113B" w14:textId="72004D98" w:rsidR="00E966C8" w:rsidRPr="00E643CB" w:rsidRDefault="007A29C6" w:rsidP="00867893">
            <w:pPr>
              <w:pStyle w:val="ListParagraph"/>
              <w:numPr>
                <w:ilvl w:val="0"/>
                <w:numId w:val="14"/>
              </w:numPr>
              <w:spacing w:after="120" w:line="276" w:lineRule="auto"/>
              <w:contextualSpacing w:val="0"/>
              <w:rPr>
                <w:rFonts w:ascii="Calibri" w:hAnsi="Calibri" w:cs="Calibri"/>
                <w:lang w:bidi="en-US"/>
              </w:rPr>
            </w:pPr>
            <w:r w:rsidRPr="00E643CB">
              <w:rPr>
                <w:rFonts w:ascii="Calibri" w:hAnsi="Calibri" w:cs="Calibri"/>
                <w:lang w:bidi="en-US"/>
              </w:rPr>
              <w:t>Without prejudice to the above, any denial of benefits or non-applicability arising due to non-fulfilment of Rule 45(2) conditions should operate prospectively, i.e., from subsequent assessment years only, and not during an ongoing project period.</w:t>
            </w:r>
          </w:p>
        </w:tc>
      </w:tr>
      <w:tr w:rsidR="00DC6750" w:rsidRPr="00E643CB" w14:paraId="73565C2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EFA1CD0" w14:textId="77777777" w:rsidR="00DC6750" w:rsidRPr="00E643CB" w:rsidRDefault="00DC6750"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3245A3D" w14:textId="40CBBD2A" w:rsidR="00AE4B04" w:rsidRPr="0009782B" w:rsidRDefault="00AE4B04" w:rsidP="00BD4879">
            <w:pPr>
              <w:spacing w:after="120" w:line="276" w:lineRule="auto"/>
              <w:jc w:val="both"/>
              <w:rPr>
                <w:rFonts w:ascii="Calibri" w:hAnsi="Calibri" w:cs="Calibri"/>
                <w:b/>
                <w:lang w:bidi="en-US"/>
              </w:rPr>
            </w:pPr>
            <w:r w:rsidRPr="0009782B">
              <w:rPr>
                <w:rFonts w:ascii="Calibri" w:hAnsi="Calibri" w:cs="Calibri"/>
                <w:b/>
                <w:lang w:bidi="en-US"/>
              </w:rPr>
              <w:t xml:space="preserve">Requirement for updating </w:t>
            </w:r>
            <w:r w:rsidR="00440525" w:rsidRPr="0009782B">
              <w:rPr>
                <w:rFonts w:ascii="Calibri" w:hAnsi="Calibri" w:cs="Calibri"/>
                <w:b/>
                <w:lang w:bidi="en-US"/>
              </w:rPr>
              <w:t xml:space="preserve">books on daily basis to be </w:t>
            </w:r>
            <w:r w:rsidR="0044615E" w:rsidRPr="0009782B">
              <w:rPr>
                <w:rFonts w:ascii="Calibri" w:hAnsi="Calibri" w:cs="Calibri"/>
                <w:b/>
                <w:lang w:bidi="en-US"/>
              </w:rPr>
              <w:t>removed</w:t>
            </w:r>
          </w:p>
          <w:p w14:paraId="7C300ACF" w14:textId="5A22C675" w:rsidR="00DC6750" w:rsidRPr="0009782B" w:rsidRDefault="00AE4B04" w:rsidP="00BD4879">
            <w:pPr>
              <w:spacing w:after="120" w:line="276" w:lineRule="auto"/>
              <w:jc w:val="both"/>
              <w:rPr>
                <w:rFonts w:ascii="Calibri" w:hAnsi="Calibri" w:cs="Calibri"/>
                <w:b/>
                <w:lang w:bidi="en-US"/>
              </w:rPr>
            </w:pPr>
            <w:r w:rsidRPr="0009782B">
              <w:rPr>
                <w:rFonts w:ascii="Calibri" w:hAnsi="Calibri" w:cs="Calibri"/>
                <w:b/>
                <w:lang w:bidi="en-US"/>
              </w:rPr>
              <w:t xml:space="preserve">New </w:t>
            </w:r>
            <w:r w:rsidR="000E6C19" w:rsidRPr="0009782B">
              <w:rPr>
                <w:rFonts w:ascii="Calibri" w:hAnsi="Calibri" w:cs="Calibri"/>
                <w:b/>
                <w:lang w:bidi="en-US"/>
              </w:rPr>
              <w:t>Rule 46(8)[S.62 of ITA 2025]</w:t>
            </w:r>
          </w:p>
        </w:tc>
        <w:tc>
          <w:tcPr>
            <w:tcW w:w="10404" w:type="dxa"/>
            <w:tcBorders>
              <w:top w:val="single" w:sz="4" w:space="0" w:color="auto"/>
              <w:left w:val="single" w:sz="4" w:space="0" w:color="auto"/>
              <w:bottom w:val="single" w:sz="4" w:space="0" w:color="auto"/>
              <w:right w:val="single" w:sz="4" w:space="0" w:color="auto"/>
            </w:tcBorders>
          </w:tcPr>
          <w:p w14:paraId="55E3C398" w14:textId="77777777" w:rsidR="00DC6750" w:rsidRPr="00E643CB" w:rsidRDefault="00EA0BE9" w:rsidP="00532E7E">
            <w:pPr>
              <w:spacing w:after="120" w:line="276" w:lineRule="auto"/>
              <w:rPr>
                <w:rFonts w:ascii="Calibri" w:hAnsi="Calibri" w:cs="Calibri"/>
                <w:lang w:bidi="en-US"/>
              </w:rPr>
            </w:pPr>
            <w:r w:rsidRPr="00E643CB">
              <w:rPr>
                <w:rFonts w:ascii="Calibri" w:hAnsi="Calibri" w:cs="Calibri"/>
                <w:b/>
                <w:lang w:bidi="en-US"/>
              </w:rPr>
              <w:t>Rationale:</w:t>
            </w:r>
          </w:p>
          <w:p w14:paraId="3101A161" w14:textId="2118A2A0" w:rsidR="00EA0BE9" w:rsidRPr="00E643CB" w:rsidRDefault="001633AF"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 xml:space="preserve">Rule 46(8) of Draft IT Rules 2026 mandates that books maintained in electronic mode “shall remain accessible in India at all times, and the back-up of such books shall be kept in servers physically located in India </w:t>
            </w:r>
            <w:r w:rsidRPr="00E643CB">
              <w:rPr>
                <w:rFonts w:ascii="Calibri" w:hAnsi="Calibri" w:cs="Calibri"/>
                <w:b/>
                <w:u w:val="single"/>
                <w:lang w:bidi="en-US"/>
              </w:rPr>
              <w:t>and shall be updated on a daily basis</w:t>
            </w:r>
            <w:r w:rsidRPr="00E643CB">
              <w:rPr>
                <w:rFonts w:ascii="Calibri" w:hAnsi="Calibri" w:cs="Calibri"/>
                <w:lang w:bidi="en-US"/>
              </w:rPr>
              <w:t>.”</w:t>
            </w:r>
          </w:p>
          <w:p w14:paraId="4A7D10DF" w14:textId="41FBFCC0" w:rsidR="00450C91" w:rsidRPr="00E643CB" w:rsidRDefault="00DD3F2F" w:rsidP="00867893">
            <w:pPr>
              <w:pStyle w:val="ListParagraph"/>
              <w:numPr>
                <w:ilvl w:val="0"/>
                <w:numId w:val="10"/>
              </w:numPr>
              <w:spacing w:after="120" w:line="276" w:lineRule="auto"/>
              <w:contextualSpacing w:val="0"/>
              <w:rPr>
                <w:rFonts w:ascii="Calibri" w:hAnsi="Calibri" w:cs="Calibri"/>
                <w:lang w:bidi="en-US"/>
              </w:rPr>
            </w:pPr>
            <w:r>
              <w:rPr>
                <w:rFonts w:ascii="Calibri" w:hAnsi="Calibri" w:cs="Calibri"/>
                <w:lang w:bidi="en-US"/>
              </w:rPr>
              <w:t>On a literal reading t</w:t>
            </w:r>
            <w:r w:rsidR="00E00B8A" w:rsidRPr="00E643CB">
              <w:rPr>
                <w:rFonts w:ascii="Calibri" w:hAnsi="Calibri" w:cs="Calibri"/>
                <w:lang w:bidi="en-US"/>
              </w:rPr>
              <w:t xml:space="preserve">he draft rule </w:t>
            </w:r>
            <w:r>
              <w:rPr>
                <w:rFonts w:ascii="Calibri" w:hAnsi="Calibri" w:cs="Calibri"/>
                <w:lang w:bidi="en-US"/>
              </w:rPr>
              <w:t xml:space="preserve">appears </w:t>
            </w:r>
            <w:r w:rsidR="00065B7E">
              <w:rPr>
                <w:rFonts w:ascii="Calibri" w:hAnsi="Calibri" w:cs="Calibri"/>
                <w:lang w:bidi="en-US"/>
              </w:rPr>
              <w:t xml:space="preserve">to </w:t>
            </w:r>
            <w:r w:rsidR="00E00B8A" w:rsidRPr="00E643CB">
              <w:rPr>
                <w:rFonts w:ascii="Calibri" w:hAnsi="Calibri" w:cs="Calibri"/>
                <w:lang w:bidi="en-US"/>
              </w:rPr>
              <w:t xml:space="preserve">impose a mandate to not only maintain a back-up of e-books on physical servers in India, but also to update </w:t>
            </w:r>
            <w:r w:rsidR="00C228B9">
              <w:rPr>
                <w:rFonts w:ascii="Calibri" w:hAnsi="Calibri" w:cs="Calibri"/>
                <w:lang w:bidi="en-US"/>
              </w:rPr>
              <w:t>the main books</w:t>
            </w:r>
            <w:r w:rsidR="00C228B9" w:rsidRPr="00E643CB">
              <w:rPr>
                <w:rFonts w:ascii="Calibri" w:hAnsi="Calibri" w:cs="Calibri"/>
                <w:lang w:bidi="en-US"/>
              </w:rPr>
              <w:t xml:space="preserve"> </w:t>
            </w:r>
            <w:r w:rsidR="00E00B8A" w:rsidRPr="00E643CB">
              <w:rPr>
                <w:rFonts w:ascii="Calibri" w:hAnsi="Calibri" w:cs="Calibri"/>
                <w:lang w:bidi="en-US"/>
              </w:rPr>
              <w:t>on a daily basis. Many non-corporate small taxpayers may not be updating their books on a daily basis; they usually employ an accountant who periodically visits them to update the books. The requirement to update books on a daily basis may impose an onerous compliance burden on small taxpayers.</w:t>
            </w:r>
          </w:p>
          <w:p w14:paraId="6A729700" w14:textId="62338478" w:rsidR="004E6F3F" w:rsidRPr="00E643CB" w:rsidRDefault="00ED3F3A" w:rsidP="00867893">
            <w:pPr>
              <w:pStyle w:val="ListParagraph"/>
              <w:numPr>
                <w:ilvl w:val="0"/>
                <w:numId w:val="10"/>
              </w:numPr>
              <w:spacing w:after="120" w:line="276" w:lineRule="auto"/>
              <w:contextualSpacing w:val="0"/>
              <w:rPr>
                <w:rFonts w:ascii="Calibri" w:hAnsi="Calibri" w:cs="Calibri"/>
                <w:i/>
                <w:lang w:bidi="en-US"/>
              </w:rPr>
            </w:pPr>
            <w:r>
              <w:rPr>
                <w:rFonts w:ascii="Calibri" w:hAnsi="Calibri" w:cs="Calibri"/>
                <w:lang w:bidi="en-US"/>
              </w:rPr>
              <w:t>I</w:t>
            </w:r>
            <w:r w:rsidR="004E6F3F" w:rsidRPr="00E643CB">
              <w:rPr>
                <w:rFonts w:ascii="Calibri" w:hAnsi="Calibri" w:cs="Calibri"/>
                <w:lang w:bidi="en-US"/>
              </w:rPr>
              <w:t xml:space="preserve">n the Companies (Accounts) Rules, 2014, Rule 3(5) states that </w:t>
            </w:r>
            <w:r w:rsidR="004E6F3F" w:rsidRPr="00E643CB">
              <w:rPr>
                <w:rFonts w:ascii="Calibri" w:hAnsi="Calibri" w:cs="Calibri"/>
                <w:i/>
                <w:lang w:bidi="en-US"/>
              </w:rPr>
              <w:t xml:space="preserve">“the back-up of the books of account of the company maintained in electronic mode… shall be kept in servers physically located in India on a daily basis.” </w:t>
            </w:r>
          </w:p>
          <w:p w14:paraId="34DFC541" w14:textId="77777777" w:rsidR="00E00B8A" w:rsidRDefault="004E6F3F"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As aforesaid, the rules applicable to companies requires that the back-up should be kept on a daily basis – it does not require that the books (as also such back-up) should be updated on a daily basis.</w:t>
            </w:r>
          </w:p>
          <w:p w14:paraId="6689B5A4" w14:textId="61C37864" w:rsidR="00601292" w:rsidRPr="00E643CB" w:rsidRDefault="00601292" w:rsidP="00867893">
            <w:pPr>
              <w:pStyle w:val="ListParagraph"/>
              <w:numPr>
                <w:ilvl w:val="0"/>
                <w:numId w:val="10"/>
              </w:numPr>
              <w:spacing w:after="120" w:line="276" w:lineRule="auto"/>
              <w:contextualSpacing w:val="0"/>
              <w:rPr>
                <w:rFonts w:ascii="Calibri" w:hAnsi="Calibri" w:cs="Calibri"/>
                <w:lang w:bidi="en-US"/>
              </w:rPr>
            </w:pPr>
            <w:r>
              <w:rPr>
                <w:rFonts w:ascii="Calibri" w:hAnsi="Calibri" w:cs="Calibri"/>
                <w:lang w:bidi="en-US"/>
              </w:rPr>
              <w:t>Clauses 14</w:t>
            </w:r>
            <w:r w:rsidR="002618F6">
              <w:rPr>
                <w:rFonts w:ascii="Calibri" w:hAnsi="Calibri" w:cs="Calibri"/>
                <w:lang w:bidi="en-US"/>
              </w:rPr>
              <w:t xml:space="preserve">(b)/(c)/(e) of Form 26 (comparable to existing Form 3CD) </w:t>
            </w:r>
            <w:r w:rsidR="003A6962">
              <w:rPr>
                <w:rFonts w:ascii="Calibri" w:hAnsi="Calibri" w:cs="Calibri"/>
                <w:lang w:bidi="en-US"/>
              </w:rPr>
              <w:t xml:space="preserve">require the Tax Auditor to report on compliance of conditions of Rule 46(8). These </w:t>
            </w:r>
            <w:r w:rsidR="006C5655">
              <w:rPr>
                <w:rFonts w:ascii="Calibri" w:hAnsi="Calibri" w:cs="Calibri"/>
                <w:lang w:bidi="en-US"/>
              </w:rPr>
              <w:t xml:space="preserve">clauses do not appear to </w:t>
            </w:r>
            <w:r w:rsidR="0000490B">
              <w:rPr>
                <w:rFonts w:ascii="Calibri" w:hAnsi="Calibri" w:cs="Calibri"/>
                <w:lang w:bidi="en-US"/>
              </w:rPr>
              <w:t>envisage daily updation of main books of account.</w:t>
            </w:r>
          </w:p>
          <w:p w14:paraId="7D3B9EA4" w14:textId="4A798510" w:rsidR="003D7D54" w:rsidRPr="00E643CB" w:rsidRDefault="003D7D54" w:rsidP="00532E7E">
            <w:pPr>
              <w:spacing w:after="120" w:line="276" w:lineRule="auto"/>
              <w:rPr>
                <w:rFonts w:ascii="Calibri" w:hAnsi="Calibri" w:cs="Calibri"/>
                <w:b/>
                <w:lang w:bidi="en-US"/>
              </w:rPr>
            </w:pPr>
            <w:r w:rsidRPr="00E643CB">
              <w:rPr>
                <w:rFonts w:ascii="Calibri" w:hAnsi="Calibri" w:cs="Calibri"/>
                <w:b/>
                <w:lang w:bidi="en-US"/>
              </w:rPr>
              <w:t>Recommendation:</w:t>
            </w:r>
          </w:p>
          <w:p w14:paraId="5A1BB0B1" w14:textId="3509C02E" w:rsidR="00DC6750" w:rsidRPr="00E643CB" w:rsidRDefault="003D7D54" w:rsidP="00867893">
            <w:pPr>
              <w:pStyle w:val="ListParagraph"/>
              <w:numPr>
                <w:ilvl w:val="0"/>
                <w:numId w:val="10"/>
              </w:numPr>
              <w:spacing w:after="120" w:line="276" w:lineRule="auto"/>
              <w:contextualSpacing w:val="0"/>
              <w:rPr>
                <w:rFonts w:ascii="Calibri" w:hAnsi="Calibri" w:cs="Calibri"/>
                <w:lang w:bidi="en-US"/>
              </w:rPr>
            </w:pPr>
            <w:r w:rsidRPr="00E643CB">
              <w:rPr>
                <w:rFonts w:ascii="Calibri" w:hAnsi="Calibri" w:cs="Calibri"/>
                <w:lang w:bidi="en-US"/>
              </w:rPr>
              <w:t>Rule</w:t>
            </w:r>
            <w:r w:rsidR="00AE4B04" w:rsidRPr="00E643CB">
              <w:rPr>
                <w:rFonts w:ascii="Calibri" w:hAnsi="Calibri" w:cs="Calibri"/>
                <w:lang w:bidi="en-US"/>
              </w:rPr>
              <w:t xml:space="preserve"> 46(8)</w:t>
            </w:r>
            <w:r w:rsidRPr="00E643CB">
              <w:rPr>
                <w:rFonts w:ascii="Calibri" w:hAnsi="Calibri" w:cs="Calibri"/>
                <w:lang w:bidi="en-US"/>
              </w:rPr>
              <w:t xml:space="preserve"> should be modified to align with Rule 3(5) of Companies (Accounts) Rules, 2014, which only requires that the back-up of e-books should be kept on a daily basis, without requiring such e-books to be updated on a daily basis to reflect daily transactions.</w:t>
            </w:r>
            <w:r w:rsidR="00AE4B04" w:rsidRPr="00E643CB">
              <w:rPr>
                <w:rFonts w:ascii="Calibri" w:hAnsi="Calibri" w:cs="Calibri"/>
                <w:lang w:bidi="en-US"/>
              </w:rPr>
              <w:t xml:space="preserve"> This would not require updating the books daily, avoiding an increase in compliance costs.</w:t>
            </w:r>
          </w:p>
        </w:tc>
      </w:tr>
      <w:tr w:rsidR="003114B2" w:rsidRPr="00E643CB" w14:paraId="00CC366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1FBD378"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5C1A2B0" w14:textId="77777777" w:rsidR="003114B2" w:rsidRPr="0009782B" w:rsidRDefault="003114B2" w:rsidP="00BD4879">
            <w:pPr>
              <w:spacing w:after="120" w:line="276" w:lineRule="auto"/>
              <w:jc w:val="both"/>
              <w:rPr>
                <w:rFonts w:ascii="Calibri" w:hAnsi="Calibri" w:cs="Calibri"/>
                <w:b/>
                <w:lang w:bidi="en-US"/>
              </w:rPr>
            </w:pPr>
            <w:r w:rsidRPr="0009782B">
              <w:rPr>
                <w:rFonts w:ascii="Calibri" w:hAnsi="Calibri" w:cs="Calibri"/>
                <w:b/>
                <w:lang w:bidi="en-US"/>
              </w:rPr>
              <w:t>Form No. 3CEA (referred in R. 6H r.w. S. 50B(3))</w:t>
            </w:r>
          </w:p>
          <w:p w14:paraId="64ECA75D" w14:textId="008B0D30" w:rsidR="003114B2" w:rsidRPr="0009782B" w:rsidRDefault="003114B2" w:rsidP="00BD4879">
            <w:pPr>
              <w:spacing w:after="120" w:line="276" w:lineRule="auto"/>
              <w:jc w:val="both"/>
              <w:rPr>
                <w:rFonts w:ascii="Calibri" w:hAnsi="Calibri" w:cs="Calibri"/>
                <w:b/>
                <w:lang w:bidi="en-US"/>
              </w:rPr>
            </w:pPr>
            <w:r w:rsidRPr="0009782B">
              <w:rPr>
                <w:rFonts w:ascii="Calibri" w:hAnsi="Calibri" w:cs="Calibri"/>
                <w:b/>
                <w:lang w:bidi="en-US"/>
              </w:rPr>
              <w:t>Form No. 28 (referred in R. 54 r.w. S. 77(4))</w:t>
            </w:r>
          </w:p>
        </w:tc>
        <w:tc>
          <w:tcPr>
            <w:tcW w:w="10404" w:type="dxa"/>
            <w:tcBorders>
              <w:top w:val="single" w:sz="4" w:space="0" w:color="auto"/>
              <w:left w:val="single" w:sz="4" w:space="0" w:color="auto"/>
              <w:bottom w:val="single" w:sz="4" w:space="0" w:color="auto"/>
              <w:right w:val="single" w:sz="4" w:space="0" w:color="auto"/>
            </w:tcBorders>
          </w:tcPr>
          <w:p w14:paraId="71859658" w14:textId="77777777" w:rsidR="003114B2" w:rsidRPr="00E643CB" w:rsidRDefault="003114B2" w:rsidP="00532E7E">
            <w:pPr>
              <w:spacing w:after="120" w:line="276" w:lineRule="auto"/>
              <w:rPr>
                <w:rFonts w:ascii="Calibri" w:hAnsi="Calibri" w:cs="Calibri"/>
                <w:b/>
                <w:lang w:bidi="en-US"/>
              </w:rPr>
            </w:pPr>
            <w:r w:rsidRPr="00E643CB">
              <w:rPr>
                <w:rFonts w:ascii="Calibri" w:hAnsi="Calibri" w:cs="Calibri"/>
                <w:b/>
                <w:lang w:bidi="en-US"/>
              </w:rPr>
              <w:t>Rationale:</w:t>
            </w:r>
          </w:p>
          <w:p w14:paraId="2CE598BF" w14:textId="77777777" w:rsidR="003114B2" w:rsidRPr="00E643CB" w:rsidRDefault="003114B2" w:rsidP="00867893">
            <w:pPr>
              <w:pStyle w:val="ListParagraph"/>
              <w:numPr>
                <w:ilvl w:val="0"/>
                <w:numId w:val="11"/>
              </w:numPr>
              <w:spacing w:after="120" w:line="276" w:lineRule="auto"/>
              <w:contextualSpacing w:val="0"/>
              <w:rPr>
                <w:rFonts w:ascii="Calibri" w:hAnsi="Calibri" w:cs="Calibri"/>
                <w:lang w:bidi="en-US"/>
              </w:rPr>
            </w:pPr>
            <w:r w:rsidRPr="00E643CB">
              <w:rPr>
                <w:rFonts w:ascii="Calibri" w:hAnsi="Calibri" w:cs="Calibri"/>
                <w:lang w:bidi="en-US"/>
              </w:rPr>
              <w:t>The existing S. 50B(3) as well the revised S. 77(4) requires the assessee, in the case of a slump sale, to furnish in the prescribed form [existing form 3CEA / revised form 27] a report of an accountant certifying the computation of networth in accordance with provisions of existing S. 50B / revised S. 77 of the relevant Act. In line with S. 50B(3), the existing form 3CEA only captures computation of networth. Further, there is no reference to revised Form 28 in the revised R. 54 [in line with existing R. 11UAE]; however, the revised Form 27 also captures computation of full value of consideration [as per the computation mechanism referred in revised rule 53 which is in line with the existing Rule 11UAE].</w:t>
            </w:r>
          </w:p>
          <w:p w14:paraId="7F219041" w14:textId="77777777" w:rsidR="003114B2" w:rsidRPr="00E643CB" w:rsidRDefault="003114B2" w:rsidP="00867893">
            <w:pPr>
              <w:pStyle w:val="ListParagraph"/>
              <w:numPr>
                <w:ilvl w:val="0"/>
                <w:numId w:val="11"/>
              </w:numPr>
              <w:spacing w:after="120" w:line="276" w:lineRule="auto"/>
              <w:contextualSpacing w:val="0"/>
              <w:rPr>
                <w:rFonts w:ascii="Calibri" w:hAnsi="Calibri" w:cs="Calibri"/>
                <w:lang w:bidi="en-US"/>
              </w:rPr>
            </w:pPr>
            <w:r w:rsidRPr="00E643CB">
              <w:rPr>
                <w:rFonts w:ascii="Calibri" w:hAnsi="Calibri" w:cs="Calibri"/>
                <w:lang w:bidi="en-US"/>
              </w:rPr>
              <w:t xml:space="preserve">Existing S. 50B as well as revised S. 77 requires change in the value of assets on account of revaluation to be ignored for the purpose of computation of networth. There is no such requirement to ignore change in the value of assets on account of revaluation for the purpose of computation of full value of consideration in accordance with existing R. 3CEA or revised R. 53. However, note 4 of the new form 28 states that </w:t>
            </w:r>
            <w:r w:rsidRPr="00E643CB">
              <w:rPr>
                <w:rFonts w:ascii="Calibri" w:hAnsi="Calibri" w:cs="Calibri"/>
                <w:i/>
                <w:lang w:bidi="en-US"/>
              </w:rPr>
              <w:t>“any change in the value of assets on account of revaluation of assets shall be ignored while indicating amounts in Sl.No.3.”</w:t>
            </w:r>
            <w:r w:rsidRPr="00E643CB">
              <w:rPr>
                <w:rFonts w:ascii="Calibri" w:hAnsi="Calibri" w:cs="Calibri"/>
                <w:lang w:bidi="en-US"/>
              </w:rPr>
              <w:t xml:space="preserve"> where Sl. No. 3. captures ‘Tax Year’ and Sl. No. 4 captures computation of ‘full value of consideration’ as well as ‘networth’. Understand that the note inadvertently refers to Sl. No. 3 instead of Sl. No. 4, if this understanding is correct, then the referencing leads to the form overriding the rule prescribed for computation of full value of consideration which does not require change in the value of assets on account of revaluation to be ignored for the purpose of computation of full value of consideration.</w:t>
            </w:r>
          </w:p>
          <w:p w14:paraId="7B41F833" w14:textId="2DBD6AD3" w:rsidR="002F59F9" w:rsidRPr="00E643CB" w:rsidRDefault="002F59F9" w:rsidP="00532E7E">
            <w:pPr>
              <w:spacing w:after="120" w:line="276" w:lineRule="auto"/>
              <w:rPr>
                <w:rFonts w:ascii="Calibri" w:hAnsi="Calibri" w:cs="Calibri"/>
                <w:b/>
                <w:lang w:bidi="en-US"/>
              </w:rPr>
            </w:pPr>
            <w:r w:rsidRPr="00E643CB">
              <w:rPr>
                <w:rFonts w:ascii="Calibri" w:hAnsi="Calibri" w:cs="Calibri"/>
                <w:b/>
                <w:lang w:bidi="en-US"/>
              </w:rPr>
              <w:t>Recommendation:</w:t>
            </w:r>
          </w:p>
          <w:p w14:paraId="43238452" w14:textId="2B1EEC73" w:rsidR="00B21D9E" w:rsidRPr="00E643CB" w:rsidRDefault="00B21D9E" w:rsidP="00867893">
            <w:pPr>
              <w:pStyle w:val="ListParagraph"/>
              <w:numPr>
                <w:ilvl w:val="0"/>
                <w:numId w:val="15"/>
              </w:numPr>
              <w:spacing w:after="120" w:line="276" w:lineRule="auto"/>
              <w:contextualSpacing w:val="0"/>
              <w:rPr>
                <w:rFonts w:ascii="Calibri" w:hAnsi="Calibri" w:cs="Calibri"/>
                <w:lang w:bidi="en-US"/>
              </w:rPr>
            </w:pPr>
            <w:r w:rsidRPr="00E643CB">
              <w:rPr>
                <w:rFonts w:ascii="Calibri" w:hAnsi="Calibri" w:cs="Calibri"/>
                <w:lang w:bidi="en-US"/>
              </w:rPr>
              <w:t>Align the Rule 53 with Form 28 regarding the requirement of reporting of computation of full value of consideration in Form 28. Both section 50B(3) of the Income tax Act, 1961 and section 77(4) of the Income tax Act, 2025 require the assessee to furnish a report from an accountant certifying the computation of net worth in accordance with the respective statutory provisions. In line with section 50B(3), the existing Form 3CEA captures only the computation of net worth, whereas the revised Form 28 additionally requires computation of the full value of consideration based on the mechanism referred in revised Rule 53, corresponding to the earlier Rule 11UAE where there is no reference to revised Form 28 in the revised R. 53.</w:t>
            </w:r>
          </w:p>
          <w:p w14:paraId="176828D7" w14:textId="30AE213B" w:rsidR="00B21D9E" w:rsidRPr="00E643CB" w:rsidRDefault="00B21D9E" w:rsidP="00867893">
            <w:pPr>
              <w:pStyle w:val="ListParagraph"/>
              <w:numPr>
                <w:ilvl w:val="0"/>
                <w:numId w:val="15"/>
              </w:numPr>
              <w:spacing w:after="120" w:line="276" w:lineRule="auto"/>
              <w:contextualSpacing w:val="0"/>
              <w:rPr>
                <w:rFonts w:ascii="Calibri" w:hAnsi="Calibri" w:cs="Calibri"/>
                <w:lang w:bidi="en-US"/>
              </w:rPr>
            </w:pPr>
            <w:r w:rsidRPr="00E643CB">
              <w:rPr>
                <w:rFonts w:ascii="Calibri" w:hAnsi="Calibri" w:cs="Calibri"/>
                <w:lang w:bidi="en-US"/>
              </w:rPr>
              <w:t xml:space="preserve">Align the Rule 53 with Form 28 for treatment of revaluation adjustments while computing the full value of consideration. Both the existing section 50B and revised section 77 provide that any change in the value of assets on account of revaluation is to be ignored only for computing net worth. There is no requirement under existing Form 3CEA or revised Rule 53 to ignore revaluation adjustments while computing the full value of consideration. However, note 4 of revised Form 28 states that “any change in the value of assets on account of revaluation shall be ignored while indicating amounts in Sl. No. 3.” Since Sl. No. 3 relates to “Tax Year,” and Sl. No. 4 covers computations, the note appears to incorrectly reference Sl. No. 3 instead of Sl. No. 4, resulting in inconsistency. </w:t>
            </w:r>
          </w:p>
          <w:p w14:paraId="65DD95E4" w14:textId="0442218C" w:rsidR="003114B2" w:rsidRPr="00E643CB" w:rsidRDefault="00B21D9E" w:rsidP="00532E7E">
            <w:pPr>
              <w:pStyle w:val="ListParagraph"/>
              <w:numPr>
                <w:ilvl w:val="0"/>
                <w:numId w:val="15"/>
              </w:numPr>
              <w:spacing w:after="120" w:line="276" w:lineRule="auto"/>
              <w:contextualSpacing w:val="0"/>
              <w:rPr>
                <w:rFonts w:ascii="Calibri" w:hAnsi="Calibri" w:cs="Calibri"/>
                <w:lang w:bidi="en-US"/>
              </w:rPr>
            </w:pPr>
            <w:r w:rsidRPr="00E643CB">
              <w:rPr>
                <w:rFonts w:ascii="Calibri" w:hAnsi="Calibri" w:cs="Calibri"/>
                <w:lang w:bidi="en-US"/>
              </w:rPr>
              <w:t>Additionally, also rectify referencing error of note 4 from ‘Sl. No. 3’ to ‘Sl. No. 4’.</w:t>
            </w:r>
          </w:p>
        </w:tc>
      </w:tr>
      <w:tr w:rsidR="003114B2" w:rsidRPr="00E643CB" w14:paraId="47C4997B"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4DBB3BD"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40999BD" w14:textId="77777777" w:rsidR="003114B2" w:rsidRPr="0009782B" w:rsidRDefault="002305E8" w:rsidP="00BD4879">
            <w:pPr>
              <w:spacing w:after="120" w:line="276" w:lineRule="auto"/>
              <w:jc w:val="both"/>
              <w:rPr>
                <w:rFonts w:ascii="Calibri" w:hAnsi="Calibri" w:cs="Calibri"/>
                <w:b/>
                <w:lang w:bidi="en-US"/>
              </w:rPr>
            </w:pPr>
            <w:r w:rsidRPr="0009782B">
              <w:rPr>
                <w:rFonts w:ascii="Calibri" w:hAnsi="Calibri" w:cs="Calibri"/>
                <w:b/>
                <w:lang w:bidi="en-US"/>
              </w:rPr>
              <w:t>Author claiming deduction (Royalty from books)</w:t>
            </w:r>
          </w:p>
          <w:p w14:paraId="67847FE7" w14:textId="3B7805EB" w:rsidR="005013E3" w:rsidRPr="0009782B" w:rsidRDefault="005013E3" w:rsidP="00BD4879">
            <w:pPr>
              <w:spacing w:after="120" w:line="276" w:lineRule="auto"/>
              <w:jc w:val="both"/>
              <w:rPr>
                <w:rFonts w:ascii="Calibri" w:hAnsi="Calibri" w:cs="Calibri"/>
                <w:b/>
                <w:lang w:bidi="en-US"/>
              </w:rPr>
            </w:pPr>
            <w:r w:rsidRPr="0009782B">
              <w:rPr>
                <w:rFonts w:ascii="Calibri" w:hAnsi="Calibri" w:cs="Calibri"/>
                <w:b/>
                <w:lang w:bidi="en-US"/>
              </w:rPr>
              <w:t xml:space="preserve">Rule 19AC </w:t>
            </w:r>
            <w:r w:rsidR="002231F7" w:rsidRPr="0009782B">
              <w:rPr>
                <w:rFonts w:ascii="Calibri" w:hAnsi="Calibri" w:cs="Calibri"/>
                <w:b/>
                <w:lang w:bidi="en-US"/>
              </w:rPr>
              <w:t xml:space="preserve">of IT Rules 1962 </w:t>
            </w:r>
            <w:r w:rsidR="00766FAA" w:rsidRPr="0009782B">
              <w:rPr>
                <w:rFonts w:ascii="Calibri" w:hAnsi="Calibri" w:cs="Calibri"/>
                <w:b/>
                <w:lang w:bidi="en-US"/>
              </w:rPr>
              <w:t>(</w:t>
            </w:r>
            <w:r w:rsidR="002A2839" w:rsidRPr="0009782B">
              <w:rPr>
                <w:rFonts w:ascii="Calibri" w:hAnsi="Calibri" w:cs="Calibri"/>
                <w:b/>
                <w:lang w:bidi="en-US"/>
              </w:rPr>
              <w:t>S.</w:t>
            </w:r>
            <w:r w:rsidRPr="0009782B">
              <w:rPr>
                <w:rFonts w:ascii="Calibri" w:hAnsi="Calibri" w:cs="Calibri"/>
                <w:b/>
                <w:lang w:bidi="en-US"/>
              </w:rPr>
              <w:t xml:space="preserve"> 80QQB</w:t>
            </w:r>
            <w:r w:rsidR="002A2839" w:rsidRPr="0009782B">
              <w:rPr>
                <w:rFonts w:ascii="Calibri" w:hAnsi="Calibri" w:cs="Calibri"/>
                <w:b/>
                <w:lang w:bidi="en-US"/>
              </w:rPr>
              <w:t xml:space="preserve"> of ITA 1961)</w:t>
            </w:r>
          </w:p>
          <w:p w14:paraId="172279F7" w14:textId="77777777" w:rsidR="002305E8" w:rsidRPr="0009782B" w:rsidRDefault="005013E3" w:rsidP="00BD4879">
            <w:pPr>
              <w:spacing w:after="120" w:line="276" w:lineRule="auto"/>
              <w:jc w:val="both"/>
              <w:rPr>
                <w:rFonts w:ascii="Calibri" w:hAnsi="Calibri" w:cs="Calibri"/>
                <w:b/>
                <w:lang w:bidi="en-US"/>
              </w:rPr>
            </w:pPr>
            <w:r w:rsidRPr="0009782B">
              <w:rPr>
                <w:rFonts w:ascii="Calibri" w:hAnsi="Calibri" w:cs="Calibri"/>
                <w:b/>
                <w:lang w:bidi="en-US"/>
              </w:rPr>
              <w:t>Form 10CCD</w:t>
            </w:r>
          </w:p>
          <w:p w14:paraId="7DC88529" w14:textId="34CF9109" w:rsidR="00B20E0A" w:rsidRPr="0009782B" w:rsidRDefault="00B20E0A" w:rsidP="00BD4879">
            <w:pPr>
              <w:spacing w:after="120" w:line="276" w:lineRule="auto"/>
              <w:jc w:val="both"/>
              <w:rPr>
                <w:rFonts w:ascii="Calibri" w:hAnsi="Calibri" w:cs="Calibri"/>
                <w:b/>
                <w:lang w:bidi="en-US"/>
              </w:rPr>
            </w:pPr>
            <w:r w:rsidRPr="0009782B">
              <w:rPr>
                <w:rFonts w:ascii="Calibri" w:hAnsi="Calibri" w:cs="Calibri"/>
                <w:b/>
                <w:lang w:bidi="en-US"/>
              </w:rPr>
              <w:t xml:space="preserve">Rule 70 </w:t>
            </w:r>
            <w:r w:rsidR="001617F9" w:rsidRPr="0009782B">
              <w:rPr>
                <w:rFonts w:ascii="Calibri" w:hAnsi="Calibri" w:cs="Calibri"/>
                <w:b/>
                <w:lang w:bidi="en-US"/>
              </w:rPr>
              <w:t xml:space="preserve">of Draft IT Rules 1962 </w:t>
            </w:r>
            <w:r w:rsidR="00650BD7" w:rsidRPr="0009782B">
              <w:rPr>
                <w:rFonts w:ascii="Calibri" w:hAnsi="Calibri" w:cs="Calibri"/>
                <w:b/>
                <w:lang w:bidi="en-US"/>
              </w:rPr>
              <w:t>(</w:t>
            </w:r>
            <w:r w:rsidRPr="0009782B">
              <w:rPr>
                <w:rFonts w:ascii="Calibri" w:hAnsi="Calibri" w:cs="Calibri"/>
                <w:b/>
                <w:lang w:bidi="en-US"/>
              </w:rPr>
              <w:t>S</w:t>
            </w:r>
            <w:r w:rsidR="006D7977" w:rsidRPr="0009782B">
              <w:rPr>
                <w:rFonts w:ascii="Calibri" w:hAnsi="Calibri" w:cs="Calibri"/>
                <w:b/>
                <w:lang w:bidi="en-US"/>
              </w:rPr>
              <w:t>.</w:t>
            </w:r>
            <w:r w:rsidRPr="0009782B">
              <w:rPr>
                <w:rFonts w:ascii="Calibri" w:hAnsi="Calibri" w:cs="Calibri"/>
                <w:b/>
                <w:lang w:bidi="en-US"/>
              </w:rPr>
              <w:t xml:space="preserve"> 151(5)</w:t>
            </w:r>
            <w:r w:rsidR="006D7977" w:rsidRPr="0009782B">
              <w:rPr>
                <w:rFonts w:ascii="Calibri" w:hAnsi="Calibri" w:cs="Calibri"/>
                <w:b/>
                <w:lang w:bidi="en-US"/>
              </w:rPr>
              <w:t xml:space="preserve"> of ITA 2025)</w:t>
            </w:r>
          </w:p>
          <w:p w14:paraId="3B8B2EA1" w14:textId="10A96072" w:rsidR="003114B2" w:rsidRPr="0009782B" w:rsidRDefault="00B20E0A" w:rsidP="00BD4879">
            <w:pPr>
              <w:spacing w:after="120" w:line="276" w:lineRule="auto"/>
              <w:jc w:val="both"/>
              <w:rPr>
                <w:rFonts w:ascii="Calibri" w:hAnsi="Calibri" w:cs="Calibri"/>
                <w:b/>
                <w:lang w:bidi="en-US"/>
              </w:rPr>
            </w:pPr>
            <w:r w:rsidRPr="0009782B">
              <w:rPr>
                <w:rFonts w:ascii="Calibri" w:hAnsi="Calibri" w:cs="Calibri"/>
                <w:b/>
                <w:lang w:bidi="en-US"/>
              </w:rPr>
              <w:t>Form 36</w:t>
            </w:r>
          </w:p>
        </w:tc>
        <w:tc>
          <w:tcPr>
            <w:tcW w:w="10404" w:type="dxa"/>
            <w:tcBorders>
              <w:top w:val="single" w:sz="4" w:space="0" w:color="auto"/>
              <w:left w:val="single" w:sz="4" w:space="0" w:color="auto"/>
              <w:bottom w:val="single" w:sz="4" w:space="0" w:color="auto"/>
              <w:right w:val="single" w:sz="4" w:space="0" w:color="auto"/>
            </w:tcBorders>
          </w:tcPr>
          <w:p w14:paraId="2ABE9C73" w14:textId="77777777" w:rsidR="003114B2" w:rsidRPr="00E643CB" w:rsidRDefault="00DE4C2B" w:rsidP="00532E7E">
            <w:pPr>
              <w:spacing w:after="120" w:line="276" w:lineRule="auto"/>
              <w:rPr>
                <w:rFonts w:ascii="Calibri" w:hAnsi="Calibri" w:cs="Calibri"/>
                <w:b/>
                <w:lang w:bidi="en-US"/>
              </w:rPr>
            </w:pPr>
            <w:r w:rsidRPr="00E643CB">
              <w:rPr>
                <w:rFonts w:ascii="Calibri" w:hAnsi="Calibri" w:cs="Calibri"/>
                <w:b/>
                <w:lang w:bidi="en-US"/>
              </w:rPr>
              <w:t>Rationale</w:t>
            </w:r>
            <w:r w:rsidR="001A27FB" w:rsidRPr="00E643CB">
              <w:rPr>
                <w:rFonts w:ascii="Calibri" w:hAnsi="Calibri" w:cs="Calibri"/>
                <w:b/>
                <w:lang w:bidi="en-US"/>
              </w:rPr>
              <w:t>:</w:t>
            </w:r>
          </w:p>
          <w:p w14:paraId="2464910F" w14:textId="77777777" w:rsidR="001A27FB" w:rsidRPr="00E643CB" w:rsidRDefault="00B92901" w:rsidP="00867893">
            <w:pPr>
              <w:pStyle w:val="ListParagraph"/>
              <w:numPr>
                <w:ilvl w:val="0"/>
                <w:numId w:val="16"/>
              </w:numPr>
              <w:spacing w:after="120" w:line="276" w:lineRule="auto"/>
              <w:contextualSpacing w:val="0"/>
              <w:rPr>
                <w:rFonts w:ascii="Calibri" w:hAnsi="Calibri" w:cs="Calibri"/>
                <w:lang w:bidi="en-US"/>
              </w:rPr>
            </w:pPr>
            <w:r w:rsidRPr="00E643CB">
              <w:rPr>
                <w:rFonts w:ascii="Calibri" w:hAnsi="Calibri" w:cs="Calibri"/>
                <w:lang w:bidi="en-US"/>
              </w:rPr>
              <w:t>Row 3(v) of Form 36 includes a mandatory field that requires applicants to provide the complete ISBN details</w:t>
            </w:r>
            <w:r w:rsidR="00E848CD" w:rsidRPr="00E643CB">
              <w:rPr>
                <w:rFonts w:ascii="Calibri" w:hAnsi="Calibri" w:cs="Calibri"/>
                <w:lang w:bidi="en-US"/>
              </w:rPr>
              <w:t>.</w:t>
            </w:r>
          </w:p>
          <w:p w14:paraId="7C675AE3" w14:textId="77777777" w:rsidR="00E848CD" w:rsidRPr="00E643CB" w:rsidRDefault="000C6D20" w:rsidP="00867893">
            <w:pPr>
              <w:pStyle w:val="ListParagraph"/>
              <w:numPr>
                <w:ilvl w:val="0"/>
                <w:numId w:val="16"/>
              </w:numPr>
              <w:spacing w:after="120" w:line="276" w:lineRule="auto"/>
              <w:contextualSpacing w:val="0"/>
              <w:rPr>
                <w:rFonts w:ascii="Calibri" w:hAnsi="Calibri" w:cs="Calibri"/>
                <w:lang w:bidi="en-US"/>
              </w:rPr>
            </w:pPr>
            <w:r w:rsidRPr="00E643CB">
              <w:rPr>
                <w:rFonts w:ascii="Calibri" w:hAnsi="Calibri" w:cs="Calibri"/>
                <w:lang w:bidi="en-US"/>
              </w:rPr>
              <w:t>Many backlist/legacy titles, self</w:t>
            </w:r>
            <w:r w:rsidRPr="00E643CB">
              <w:rPr>
                <w:rFonts w:ascii="Cambria Math" w:hAnsi="Cambria Math" w:cs="Cambria Math"/>
                <w:bCs/>
                <w:lang w:bidi="en-US"/>
              </w:rPr>
              <w:t>‑</w:t>
            </w:r>
            <w:r w:rsidRPr="00E643CB">
              <w:rPr>
                <w:rFonts w:ascii="Calibri" w:hAnsi="Calibri" w:cs="Calibri"/>
                <w:lang w:bidi="en-US"/>
              </w:rPr>
              <w:t>published works, serialized digital releases and audiobooks may not have an ISBN. So, an additional field can be introduced to International Standard Book Number (ISBN)</w:t>
            </w:r>
          </w:p>
          <w:p w14:paraId="0F68098F" w14:textId="77777777" w:rsidR="000C6D20" w:rsidRPr="00E643CB" w:rsidRDefault="003B083C" w:rsidP="00867893">
            <w:pPr>
              <w:pStyle w:val="ListParagraph"/>
              <w:numPr>
                <w:ilvl w:val="0"/>
                <w:numId w:val="16"/>
              </w:numPr>
              <w:spacing w:after="120" w:line="276" w:lineRule="auto"/>
              <w:contextualSpacing w:val="0"/>
              <w:rPr>
                <w:rFonts w:ascii="Calibri" w:hAnsi="Calibri" w:cs="Calibri"/>
                <w:lang w:bidi="en-US"/>
              </w:rPr>
            </w:pPr>
            <w:r w:rsidRPr="00E643CB">
              <w:rPr>
                <w:rFonts w:ascii="Calibri" w:hAnsi="Calibri" w:cs="Calibri"/>
                <w:lang w:bidi="en-US"/>
              </w:rPr>
              <w:t>Certain audiobook platforms (e.g., Amazon/Audible) do not issue ISBNs and instead provide proprietary identifiers such as ASIN.</w:t>
            </w:r>
          </w:p>
          <w:p w14:paraId="415E94C2" w14:textId="77777777" w:rsidR="00F02A1C" w:rsidRPr="00E643CB" w:rsidRDefault="00F02A1C" w:rsidP="00532E7E">
            <w:pPr>
              <w:spacing w:after="120" w:line="276" w:lineRule="auto"/>
              <w:rPr>
                <w:rFonts w:ascii="Calibri" w:hAnsi="Calibri" w:cs="Calibri"/>
                <w:b/>
                <w:lang w:bidi="en-US"/>
              </w:rPr>
            </w:pPr>
            <w:r w:rsidRPr="00E643CB">
              <w:rPr>
                <w:rFonts w:ascii="Calibri" w:hAnsi="Calibri" w:cs="Calibri"/>
                <w:b/>
                <w:lang w:bidi="en-US"/>
              </w:rPr>
              <w:t>Recommendation:</w:t>
            </w:r>
          </w:p>
          <w:p w14:paraId="6588AF93" w14:textId="31E56687" w:rsidR="003114B2" w:rsidRPr="00E643CB" w:rsidRDefault="0001338A" w:rsidP="00867893">
            <w:pPr>
              <w:pStyle w:val="ListParagraph"/>
              <w:numPr>
                <w:ilvl w:val="0"/>
                <w:numId w:val="17"/>
              </w:numPr>
              <w:spacing w:after="120" w:line="276" w:lineRule="auto"/>
              <w:contextualSpacing w:val="0"/>
              <w:rPr>
                <w:rFonts w:ascii="Calibri" w:hAnsi="Calibri" w:cs="Calibri"/>
                <w:lang w:bidi="en-US"/>
              </w:rPr>
            </w:pPr>
            <w:r w:rsidRPr="00E643CB">
              <w:rPr>
                <w:rFonts w:ascii="Calibri" w:hAnsi="Calibri" w:cs="Calibri"/>
                <w:lang w:bidi="en-US"/>
              </w:rPr>
              <w:t>It is recommended to insert additional field to Row 3(v) – Additional Details (where ISBN is not available)</w:t>
            </w:r>
            <w:r w:rsidR="00C95183" w:rsidRPr="00E643CB">
              <w:rPr>
                <w:rFonts w:ascii="Calibri" w:hAnsi="Calibri" w:cs="Calibri"/>
                <w:lang w:bidi="en-US"/>
              </w:rPr>
              <w:t xml:space="preserve">, where </w:t>
            </w:r>
            <w:r w:rsidR="00034BBD" w:rsidRPr="00E643CB">
              <w:rPr>
                <w:rFonts w:ascii="Calibri" w:hAnsi="Calibri" w:cs="Calibri"/>
                <w:lang w:bidi="en-US"/>
              </w:rPr>
              <w:t xml:space="preserve">authors can furnish these </w:t>
            </w:r>
            <w:r w:rsidR="005D4525" w:rsidRPr="00E643CB">
              <w:rPr>
                <w:rFonts w:ascii="Calibri" w:hAnsi="Calibri" w:cs="Calibri"/>
                <w:lang w:bidi="en-US"/>
              </w:rPr>
              <w:t>proprietary identifiers</w:t>
            </w:r>
            <w:r w:rsidR="00034BBD" w:rsidRPr="00E643CB">
              <w:rPr>
                <w:rFonts w:ascii="Calibri" w:hAnsi="Calibri" w:cs="Calibri"/>
                <w:lang w:bidi="en-US"/>
              </w:rPr>
              <w:t xml:space="preserve"> in suggested additional field with supporting metadata to ensure accurate verification.</w:t>
            </w:r>
          </w:p>
        </w:tc>
      </w:tr>
      <w:tr w:rsidR="003114B2" w:rsidRPr="00E643CB" w14:paraId="235B8F4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77E45B5"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ADDCB82" w14:textId="77777777" w:rsidR="003114B2" w:rsidRPr="0009782B" w:rsidRDefault="000F436D" w:rsidP="00BD4879">
            <w:pPr>
              <w:spacing w:after="120" w:line="276" w:lineRule="auto"/>
              <w:jc w:val="both"/>
              <w:rPr>
                <w:rFonts w:ascii="Calibri" w:hAnsi="Calibri" w:cs="Calibri"/>
                <w:b/>
                <w:lang w:bidi="en-US"/>
              </w:rPr>
            </w:pPr>
            <w:r w:rsidRPr="0009782B">
              <w:rPr>
                <w:rFonts w:ascii="Calibri" w:hAnsi="Calibri" w:cs="Calibri"/>
                <w:b/>
                <w:lang w:bidi="en-US"/>
              </w:rPr>
              <w:t xml:space="preserve">TRC to be </w:t>
            </w:r>
            <w:r w:rsidR="00737E17" w:rsidRPr="0009782B">
              <w:rPr>
                <w:rFonts w:ascii="Calibri" w:hAnsi="Calibri" w:cs="Calibri"/>
                <w:b/>
                <w:lang w:bidi="en-US"/>
              </w:rPr>
              <w:t>made sufficient if specified information</w:t>
            </w:r>
            <w:r w:rsidR="000E326D" w:rsidRPr="0009782B">
              <w:rPr>
                <w:rFonts w:ascii="Calibri" w:hAnsi="Calibri" w:cs="Calibri"/>
                <w:b/>
                <w:lang w:bidi="en-US"/>
              </w:rPr>
              <w:t xml:space="preserve"> is included in it.</w:t>
            </w:r>
          </w:p>
          <w:p w14:paraId="344B3056" w14:textId="77777777" w:rsidR="000E326D" w:rsidRPr="0009782B" w:rsidRDefault="005664F4" w:rsidP="00BD4879">
            <w:pPr>
              <w:spacing w:after="120" w:line="276" w:lineRule="auto"/>
              <w:jc w:val="both"/>
              <w:rPr>
                <w:rFonts w:ascii="Calibri" w:hAnsi="Calibri" w:cs="Calibri"/>
                <w:b/>
                <w:lang w:bidi="en-US"/>
              </w:rPr>
            </w:pPr>
            <w:r w:rsidRPr="0009782B">
              <w:rPr>
                <w:rFonts w:ascii="Calibri" w:hAnsi="Calibri" w:cs="Calibri"/>
                <w:b/>
                <w:lang w:bidi="en-US"/>
              </w:rPr>
              <w:t>Rule 21AB of IT Rules 1962</w:t>
            </w:r>
          </w:p>
          <w:p w14:paraId="6244FEE7" w14:textId="4727B838" w:rsidR="005664F4" w:rsidRPr="0009782B" w:rsidRDefault="00437A43" w:rsidP="00BD4879">
            <w:pPr>
              <w:spacing w:after="120" w:line="276" w:lineRule="auto"/>
              <w:jc w:val="both"/>
              <w:rPr>
                <w:rFonts w:ascii="Calibri" w:hAnsi="Calibri" w:cs="Calibri"/>
                <w:b/>
                <w:lang w:bidi="en-US"/>
              </w:rPr>
            </w:pPr>
            <w:r w:rsidRPr="0009782B">
              <w:rPr>
                <w:rFonts w:ascii="Calibri" w:hAnsi="Calibri" w:cs="Calibri"/>
                <w:b/>
                <w:lang w:bidi="en-US"/>
              </w:rPr>
              <w:t>Rule 75 of Draft IT Rules 2026</w:t>
            </w:r>
          </w:p>
        </w:tc>
        <w:tc>
          <w:tcPr>
            <w:tcW w:w="10404" w:type="dxa"/>
            <w:tcBorders>
              <w:top w:val="single" w:sz="4" w:space="0" w:color="auto"/>
              <w:left w:val="single" w:sz="4" w:space="0" w:color="auto"/>
              <w:bottom w:val="single" w:sz="4" w:space="0" w:color="auto"/>
              <w:right w:val="single" w:sz="4" w:space="0" w:color="auto"/>
            </w:tcBorders>
          </w:tcPr>
          <w:p w14:paraId="65ABC551" w14:textId="77777777" w:rsidR="00C8554F" w:rsidRPr="00E643CB" w:rsidRDefault="005F0BDE" w:rsidP="00532E7E">
            <w:pPr>
              <w:spacing w:after="120" w:line="276" w:lineRule="auto"/>
              <w:rPr>
                <w:rFonts w:ascii="Calibri" w:hAnsi="Calibri" w:cs="Calibri"/>
                <w:b/>
                <w:lang w:bidi="en-US"/>
              </w:rPr>
            </w:pPr>
            <w:r w:rsidRPr="00E643CB">
              <w:rPr>
                <w:rFonts w:ascii="Calibri" w:hAnsi="Calibri" w:cs="Calibri"/>
                <w:b/>
                <w:lang w:bidi="en-US"/>
              </w:rPr>
              <w:t>Rationale:</w:t>
            </w:r>
          </w:p>
          <w:p w14:paraId="4E8AF060" w14:textId="067DB4D0" w:rsidR="005F0BDE" w:rsidRPr="00E643CB" w:rsidRDefault="005F0BDE" w:rsidP="00867893">
            <w:pPr>
              <w:pStyle w:val="ListParagraph"/>
              <w:numPr>
                <w:ilvl w:val="0"/>
                <w:numId w:val="17"/>
              </w:numPr>
              <w:spacing w:after="120" w:line="276" w:lineRule="auto"/>
              <w:contextualSpacing w:val="0"/>
              <w:rPr>
                <w:rFonts w:ascii="Calibri" w:hAnsi="Calibri" w:cs="Calibri"/>
                <w:lang w:bidi="en-US"/>
              </w:rPr>
            </w:pPr>
            <w:r w:rsidRPr="00E643CB">
              <w:rPr>
                <w:rFonts w:ascii="Calibri" w:hAnsi="Calibri" w:cs="Calibri"/>
                <w:lang w:bidi="en-US"/>
              </w:rPr>
              <w:t xml:space="preserve">For claiming Treaty benefits under the erstwhile Rule 21AB of the Income-tax Rules, 1962, submission of electronic Form 10F is mandated only if certain specified information is not included in the Tax Residency Certificate (TRC). </w:t>
            </w:r>
          </w:p>
          <w:p w14:paraId="4E552D7A" w14:textId="670A7B41" w:rsidR="005F0BDE" w:rsidRPr="00E643CB" w:rsidRDefault="005F0BDE" w:rsidP="00867893">
            <w:pPr>
              <w:pStyle w:val="ListParagraph"/>
              <w:numPr>
                <w:ilvl w:val="0"/>
                <w:numId w:val="17"/>
              </w:numPr>
              <w:spacing w:after="120" w:line="276" w:lineRule="auto"/>
              <w:contextualSpacing w:val="0"/>
              <w:rPr>
                <w:rFonts w:ascii="Calibri" w:hAnsi="Calibri" w:cs="Calibri"/>
                <w:lang w:bidi="en-US"/>
              </w:rPr>
            </w:pPr>
            <w:r w:rsidRPr="00E643CB">
              <w:rPr>
                <w:rFonts w:ascii="Calibri" w:hAnsi="Calibri" w:cs="Calibri"/>
                <w:lang w:bidi="en-US"/>
              </w:rPr>
              <w:t xml:space="preserve">However, the draft Rule 75 of the Income-tax Rules, 2026 does not propose this relaxation, making Form 41 (existing Form 10F) mandatory even if the TRC contains all specified information. </w:t>
            </w:r>
          </w:p>
          <w:p w14:paraId="6B2F03DB" w14:textId="31C92F4C" w:rsidR="00086583" w:rsidRPr="00E643CB" w:rsidRDefault="00086583" w:rsidP="00867893">
            <w:pPr>
              <w:pStyle w:val="ListParagraph"/>
              <w:numPr>
                <w:ilvl w:val="0"/>
                <w:numId w:val="17"/>
              </w:numPr>
              <w:spacing w:after="120" w:line="276" w:lineRule="auto"/>
              <w:contextualSpacing w:val="0"/>
              <w:rPr>
                <w:rFonts w:ascii="Calibri" w:hAnsi="Calibri" w:cs="Calibri"/>
                <w:b/>
                <w:lang w:bidi="en-US"/>
              </w:rPr>
            </w:pPr>
            <w:r w:rsidRPr="00E643CB">
              <w:rPr>
                <w:rFonts w:ascii="Calibri" w:hAnsi="Calibri" w:cs="Calibri"/>
                <w:lang w:bidi="en-US"/>
              </w:rPr>
              <w:t>Further</w:t>
            </w:r>
            <w:r w:rsidR="005F0BDE" w:rsidRPr="00E643CB">
              <w:rPr>
                <w:rFonts w:ascii="Calibri" w:hAnsi="Calibri" w:cs="Calibri"/>
                <w:lang w:bidi="en-US"/>
              </w:rPr>
              <w:t>, Form 41 requires a communication address in India which could be challenging for non-resident companies without a place of business in India.</w:t>
            </w:r>
            <w:r w:rsidRPr="00E643CB">
              <w:rPr>
                <w:rFonts w:ascii="Calibri" w:hAnsi="Calibri" w:cs="Calibri"/>
                <w:lang w:bidi="en-US"/>
              </w:rPr>
              <w:t xml:space="preserve"> </w:t>
            </w:r>
            <w:r w:rsidR="00D53134" w:rsidRPr="00E643CB">
              <w:rPr>
                <w:rFonts w:ascii="Calibri" w:hAnsi="Calibri" w:cs="Calibri"/>
                <w:lang w:bidi="en-US"/>
              </w:rPr>
              <w:t>I</w:t>
            </w:r>
            <w:r w:rsidRPr="00E643CB">
              <w:rPr>
                <w:rFonts w:ascii="Calibri" w:hAnsi="Calibri" w:cs="Calibri"/>
                <w:lang w:bidi="en-US"/>
              </w:rPr>
              <w:t>n most of the case NR claiming treaty benefits say for instance in case of NR having SEP claiming NO PE tax position, or NR claiming passive income like interest, dividend, etc may not have a communication address in India. In any case considering that NR is required to furnish other contact details like phone number and email address, the reason for ask for communication address in India may not be necessary. Hence this requirement may be deleted or made optional.</w:t>
            </w:r>
          </w:p>
          <w:p w14:paraId="283813AF" w14:textId="7ECDBBCF" w:rsidR="00471EFA" w:rsidRPr="00E643CB" w:rsidRDefault="00A5570C" w:rsidP="00A82F1F">
            <w:pPr>
              <w:pStyle w:val="ListParagraph"/>
              <w:numPr>
                <w:ilvl w:val="0"/>
                <w:numId w:val="17"/>
              </w:numPr>
              <w:spacing w:after="120" w:line="276" w:lineRule="auto"/>
              <w:contextualSpacing w:val="0"/>
              <w:rPr>
                <w:rFonts w:ascii="Calibri" w:hAnsi="Calibri" w:cs="Calibri"/>
                <w:b/>
                <w:lang w:bidi="en-US"/>
              </w:rPr>
            </w:pPr>
            <w:r w:rsidRPr="00E643CB">
              <w:rPr>
                <w:rFonts w:ascii="Calibri" w:hAnsi="Calibri" w:cs="Calibri"/>
              </w:rPr>
              <w:t xml:space="preserve">Form 41 </w:t>
            </w:r>
            <w:r w:rsidR="00350E11" w:rsidRPr="00E643CB">
              <w:rPr>
                <w:rFonts w:ascii="Calibri" w:hAnsi="Calibri" w:cs="Calibri"/>
              </w:rPr>
              <w:t xml:space="preserve">further </w:t>
            </w:r>
            <w:r w:rsidRPr="00E643CB">
              <w:rPr>
                <w:rFonts w:ascii="Calibri" w:hAnsi="Calibri" w:cs="Calibri"/>
              </w:rPr>
              <w:t xml:space="preserve">requires furnishing PAN of the signatory for verification purposes. In scenarios involving non-resident entities where the authorised signatory is a foreign national without a PAN, this requirement may create procedural constraints without necessarily advancing substantive verification objectives. </w:t>
            </w:r>
          </w:p>
          <w:p w14:paraId="4FCD5084" w14:textId="77777777" w:rsidR="005F0BDE" w:rsidRPr="00E643CB" w:rsidRDefault="00C359B7" w:rsidP="00532E7E">
            <w:pPr>
              <w:spacing w:after="120" w:line="276" w:lineRule="auto"/>
              <w:rPr>
                <w:rFonts w:ascii="Calibri" w:hAnsi="Calibri" w:cs="Calibri"/>
                <w:b/>
                <w:lang w:bidi="en-US"/>
              </w:rPr>
            </w:pPr>
            <w:r w:rsidRPr="00E643CB">
              <w:rPr>
                <w:rFonts w:ascii="Calibri" w:hAnsi="Calibri" w:cs="Calibri"/>
                <w:b/>
                <w:lang w:bidi="en-US"/>
              </w:rPr>
              <w:t>Recommendation:</w:t>
            </w:r>
          </w:p>
          <w:p w14:paraId="40BC7E0C" w14:textId="77777777" w:rsidR="00784E89" w:rsidRPr="00E643CB" w:rsidRDefault="00C359B7" w:rsidP="00867893">
            <w:pPr>
              <w:pStyle w:val="ListParagraph"/>
              <w:numPr>
                <w:ilvl w:val="0"/>
                <w:numId w:val="18"/>
              </w:numPr>
              <w:spacing w:after="120" w:line="276" w:lineRule="auto"/>
              <w:contextualSpacing w:val="0"/>
              <w:rPr>
                <w:rFonts w:ascii="Calibri" w:hAnsi="Calibri" w:cs="Calibri"/>
                <w:lang w:bidi="en-US"/>
              </w:rPr>
            </w:pPr>
            <w:r w:rsidRPr="00E643CB">
              <w:rPr>
                <w:rFonts w:ascii="Calibri" w:hAnsi="Calibri" w:cs="Calibri"/>
                <w:lang w:bidi="en-US"/>
              </w:rPr>
              <w:t xml:space="preserve">In furtherance of the overall objective of the Government </w:t>
            </w:r>
            <w:r w:rsidR="00D93BE8" w:rsidRPr="00E643CB">
              <w:rPr>
                <w:rFonts w:ascii="Calibri" w:hAnsi="Calibri" w:cs="Calibri"/>
                <w:lang w:bidi="en-US"/>
              </w:rPr>
              <w:t xml:space="preserve">to </w:t>
            </w:r>
            <w:r w:rsidRPr="00E643CB">
              <w:rPr>
                <w:rFonts w:ascii="Calibri" w:hAnsi="Calibri" w:cs="Calibri"/>
                <w:lang w:bidi="en-US"/>
              </w:rPr>
              <w:t xml:space="preserve">improve its Ease of Doing Business ranking and for promoting investor friendly tax policies, it is recommended that the existing relaxation in Rule 21AB to be replicated in Rule 75 making Form 41 mandatory only if certain specified information is not included in the TRC. </w:t>
            </w:r>
          </w:p>
          <w:p w14:paraId="0D6AD644" w14:textId="77777777" w:rsidR="003114B2" w:rsidRPr="00E643CB" w:rsidRDefault="00C359B7" w:rsidP="00A82F1F">
            <w:pPr>
              <w:pStyle w:val="ListParagraph"/>
              <w:numPr>
                <w:ilvl w:val="0"/>
                <w:numId w:val="18"/>
              </w:numPr>
              <w:spacing w:after="120" w:line="276" w:lineRule="auto"/>
              <w:contextualSpacing w:val="0"/>
              <w:rPr>
                <w:rFonts w:ascii="Calibri" w:hAnsi="Calibri" w:cs="Calibri"/>
                <w:lang w:bidi="en-US"/>
              </w:rPr>
            </w:pPr>
            <w:r w:rsidRPr="00E643CB">
              <w:rPr>
                <w:rFonts w:ascii="Calibri" w:hAnsi="Calibri" w:cs="Calibri"/>
                <w:lang w:bidi="en-US"/>
              </w:rPr>
              <w:t>Further the requirement of providing details of communication address in India may be deleted or may be made optional.</w:t>
            </w:r>
          </w:p>
          <w:p w14:paraId="0BF3CF12" w14:textId="35AAF11B" w:rsidR="003114B2" w:rsidRPr="00E643CB" w:rsidRDefault="00125703" w:rsidP="00867893">
            <w:pPr>
              <w:pStyle w:val="ListParagraph"/>
              <w:numPr>
                <w:ilvl w:val="0"/>
                <w:numId w:val="18"/>
              </w:numPr>
              <w:spacing w:after="120" w:line="276" w:lineRule="auto"/>
              <w:contextualSpacing w:val="0"/>
              <w:rPr>
                <w:rFonts w:ascii="Calibri" w:hAnsi="Calibri" w:cs="Calibri"/>
                <w:lang w:bidi="en-US"/>
              </w:rPr>
            </w:pPr>
            <w:r w:rsidRPr="00E643CB">
              <w:rPr>
                <w:rFonts w:ascii="Calibri" w:hAnsi="Calibri" w:cs="Calibri"/>
              </w:rPr>
              <w:t>Consideration may be given to making the signatory’s PAN optional.</w:t>
            </w:r>
            <w:r w:rsidR="0008541C" w:rsidRPr="00E643CB">
              <w:rPr>
                <w:rFonts w:ascii="Calibri" w:hAnsi="Calibri" w:cs="Calibri"/>
              </w:rPr>
              <w:t xml:space="preserve"> </w:t>
            </w:r>
          </w:p>
        </w:tc>
      </w:tr>
      <w:tr w:rsidR="003114B2" w:rsidRPr="00E643CB" w14:paraId="135486E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D7F7924"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4BBA4FF" w14:textId="77777777" w:rsidR="003114B2" w:rsidRPr="0009782B" w:rsidRDefault="009C4D69" w:rsidP="00BD4879">
            <w:pPr>
              <w:spacing w:after="120" w:line="276" w:lineRule="auto"/>
              <w:jc w:val="both"/>
              <w:rPr>
                <w:rFonts w:ascii="Calibri" w:hAnsi="Calibri" w:cs="Calibri"/>
                <w:b/>
                <w:lang w:bidi="en-US"/>
              </w:rPr>
            </w:pPr>
            <w:r w:rsidRPr="0009782B">
              <w:rPr>
                <w:rFonts w:ascii="Calibri" w:hAnsi="Calibri" w:cs="Calibri"/>
                <w:b/>
                <w:lang w:bidi="en-US"/>
              </w:rPr>
              <w:t xml:space="preserve">Remove requirement of </w:t>
            </w:r>
            <w:r w:rsidR="009D45C4" w:rsidRPr="0009782B">
              <w:rPr>
                <w:rFonts w:ascii="Calibri" w:hAnsi="Calibri" w:cs="Calibri"/>
                <w:b/>
                <w:lang w:bidi="en-US"/>
              </w:rPr>
              <w:t>certification by accountant in case of foreign remittances</w:t>
            </w:r>
          </w:p>
          <w:p w14:paraId="0B0025B5" w14:textId="77777777" w:rsidR="009D45C4" w:rsidRPr="0009782B" w:rsidRDefault="006757A5" w:rsidP="00BD4879">
            <w:pPr>
              <w:spacing w:after="120" w:line="276" w:lineRule="auto"/>
              <w:jc w:val="both"/>
              <w:rPr>
                <w:rFonts w:ascii="Calibri" w:hAnsi="Calibri" w:cs="Calibri"/>
                <w:b/>
                <w:lang w:bidi="en-US"/>
              </w:rPr>
            </w:pPr>
            <w:r w:rsidRPr="0009782B">
              <w:rPr>
                <w:rFonts w:ascii="Calibri" w:hAnsi="Calibri" w:cs="Calibri"/>
                <w:b/>
                <w:lang w:bidi="en-US"/>
              </w:rPr>
              <w:t>Rule 128 of IT Rules 1962 (</w:t>
            </w:r>
            <w:r w:rsidR="002D50F0" w:rsidRPr="0009782B">
              <w:rPr>
                <w:rFonts w:ascii="Calibri" w:hAnsi="Calibri" w:cs="Calibri"/>
                <w:b/>
                <w:lang w:bidi="en-US"/>
              </w:rPr>
              <w:t>referred in S. 90, 90A and 91 of ITA 1961)</w:t>
            </w:r>
          </w:p>
          <w:p w14:paraId="1E57539D" w14:textId="2E2DFC37" w:rsidR="003114B2" w:rsidRPr="0009782B" w:rsidRDefault="002D50F0"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4E0AC6" w:rsidRPr="0009782B">
              <w:rPr>
                <w:rFonts w:ascii="Calibri" w:hAnsi="Calibri" w:cs="Calibri"/>
                <w:b/>
                <w:lang w:bidi="en-US"/>
              </w:rPr>
              <w:t>76 of Draft IT Rules 2026 (referred in S.</w:t>
            </w:r>
            <w:r w:rsidR="00C94A2B" w:rsidRPr="0009782B">
              <w:rPr>
                <w:rFonts w:ascii="Calibri" w:hAnsi="Calibri" w:cs="Calibri"/>
                <w:b/>
                <w:lang w:bidi="en-US"/>
              </w:rPr>
              <w:t>159 and 160 of ITA 2025)</w:t>
            </w:r>
          </w:p>
        </w:tc>
        <w:tc>
          <w:tcPr>
            <w:tcW w:w="10404" w:type="dxa"/>
            <w:tcBorders>
              <w:top w:val="single" w:sz="4" w:space="0" w:color="auto"/>
              <w:left w:val="single" w:sz="4" w:space="0" w:color="auto"/>
              <w:bottom w:val="single" w:sz="4" w:space="0" w:color="auto"/>
              <w:right w:val="single" w:sz="4" w:space="0" w:color="auto"/>
            </w:tcBorders>
          </w:tcPr>
          <w:p w14:paraId="16AB6201" w14:textId="77777777" w:rsidR="003114B2" w:rsidRPr="00E643CB" w:rsidRDefault="00956A79" w:rsidP="00532E7E">
            <w:pPr>
              <w:spacing w:after="120" w:line="276" w:lineRule="auto"/>
              <w:rPr>
                <w:rFonts w:ascii="Calibri" w:hAnsi="Calibri" w:cs="Calibri"/>
                <w:b/>
                <w:lang w:bidi="en-US"/>
              </w:rPr>
            </w:pPr>
            <w:r w:rsidRPr="00E643CB">
              <w:rPr>
                <w:rFonts w:ascii="Calibri" w:hAnsi="Calibri" w:cs="Calibri"/>
                <w:b/>
                <w:lang w:bidi="en-US"/>
              </w:rPr>
              <w:t>Rationale:</w:t>
            </w:r>
          </w:p>
          <w:p w14:paraId="6FF0B044" w14:textId="215D9AFD" w:rsidR="00A64E78" w:rsidRPr="00E643CB" w:rsidRDefault="00A64E78" w:rsidP="00867893">
            <w:pPr>
              <w:pStyle w:val="ListParagraph"/>
              <w:numPr>
                <w:ilvl w:val="0"/>
                <w:numId w:val="19"/>
              </w:numPr>
              <w:spacing w:after="120" w:line="276" w:lineRule="auto"/>
              <w:contextualSpacing w:val="0"/>
              <w:rPr>
                <w:rFonts w:ascii="Calibri" w:hAnsi="Calibri" w:cs="Calibri"/>
                <w:lang w:bidi="en-US"/>
              </w:rPr>
            </w:pPr>
            <w:r w:rsidRPr="00E643CB">
              <w:rPr>
                <w:rFonts w:ascii="Calibri" w:hAnsi="Calibri" w:cs="Calibri"/>
                <w:lang w:bidi="en-US"/>
              </w:rPr>
              <w:t xml:space="preserve">Under the existing Rule 128 of the Income-tax Rules, 1962, in order to claim Foreign Tax Credit (FTC), the taxpayer needs to file Form 67 which is in the nature of a self-declaration. The same is not required to be certified by an Accountant. </w:t>
            </w:r>
          </w:p>
          <w:p w14:paraId="475610AB" w14:textId="0A6A0239" w:rsidR="00A64E78" w:rsidRPr="00E643CB" w:rsidRDefault="00A64E78" w:rsidP="00867893">
            <w:pPr>
              <w:pStyle w:val="ListParagraph"/>
              <w:numPr>
                <w:ilvl w:val="0"/>
                <w:numId w:val="19"/>
              </w:numPr>
              <w:spacing w:after="120" w:line="276" w:lineRule="auto"/>
              <w:contextualSpacing w:val="0"/>
              <w:rPr>
                <w:rFonts w:ascii="Calibri" w:hAnsi="Calibri" w:cs="Calibri"/>
                <w:lang w:bidi="en-US"/>
              </w:rPr>
            </w:pPr>
            <w:r w:rsidRPr="00E643CB">
              <w:rPr>
                <w:rFonts w:ascii="Calibri" w:hAnsi="Calibri" w:cs="Calibri"/>
                <w:lang w:bidi="en-US"/>
              </w:rPr>
              <w:t>The draft Rule 76 of the Income-tax Rules, 2026 proposes that Form 44 (existing Form 67), must be verified by an Accountant in cases of a company or where foreign tax paid outside India equals or exceeds INR 100,000.</w:t>
            </w:r>
          </w:p>
          <w:p w14:paraId="2C3EE020" w14:textId="6D6DD86A" w:rsidR="00A64E78" w:rsidRPr="00E643CB" w:rsidRDefault="0090484E" w:rsidP="00867893">
            <w:pPr>
              <w:pStyle w:val="ListParagraph"/>
              <w:numPr>
                <w:ilvl w:val="0"/>
                <w:numId w:val="19"/>
              </w:numPr>
              <w:spacing w:after="120" w:line="276" w:lineRule="auto"/>
              <w:contextualSpacing w:val="0"/>
              <w:rPr>
                <w:rFonts w:ascii="Calibri" w:hAnsi="Calibri" w:cs="Calibri"/>
                <w:lang w:bidi="en-US"/>
              </w:rPr>
            </w:pPr>
            <w:r>
              <w:rPr>
                <w:rFonts w:ascii="Calibri" w:hAnsi="Calibri" w:cs="Calibri"/>
                <w:lang w:bidi="en-US"/>
              </w:rPr>
              <w:t>Note 6 to t</w:t>
            </w:r>
            <w:r w:rsidR="00A64E78" w:rsidRPr="00E643CB">
              <w:rPr>
                <w:rFonts w:ascii="Calibri" w:hAnsi="Calibri" w:cs="Calibri"/>
                <w:lang w:bidi="en-US"/>
              </w:rPr>
              <w:t xml:space="preserve">he draft Form 44 proposes computing FTC on a net income basis, which includes gross income minus direct and pro-rata indirect expenses. </w:t>
            </w:r>
            <w:r w:rsidR="00502126">
              <w:rPr>
                <w:rFonts w:ascii="Calibri" w:hAnsi="Calibri" w:cs="Calibri"/>
                <w:lang w:bidi="en-US"/>
              </w:rPr>
              <w:t xml:space="preserve">This </w:t>
            </w:r>
            <w:r w:rsidR="00505E6C">
              <w:rPr>
                <w:rFonts w:ascii="Calibri" w:hAnsi="Calibri" w:cs="Calibri"/>
                <w:lang w:bidi="en-US"/>
              </w:rPr>
              <w:t xml:space="preserve">may be perceived by limiting taxpayer’s right to claim higher FTC based on more favourable terms of treaty – especially where incomes like royalty, interest, FTS, etc are taxed on gross basis in other jurisdiction under the treaty and treaty provides full tax credit </w:t>
            </w:r>
            <w:r w:rsidR="00C2305D">
              <w:rPr>
                <w:rFonts w:ascii="Calibri" w:hAnsi="Calibri" w:cs="Calibri"/>
                <w:lang w:bidi="en-US"/>
              </w:rPr>
              <w:t>upto Indian tax liability.</w:t>
            </w:r>
            <w:r w:rsidR="00F23CD6">
              <w:rPr>
                <w:rFonts w:ascii="Calibri" w:hAnsi="Calibri" w:cs="Calibri"/>
                <w:lang w:bidi="en-US"/>
              </w:rPr>
              <w:t xml:space="preserve"> Such restriction does not exist either in parent provisions of s.159/160 of ITA 2025 or draft Rule 76.</w:t>
            </w:r>
          </w:p>
          <w:p w14:paraId="556C3687" w14:textId="77777777" w:rsidR="00956A79" w:rsidRPr="00E643CB" w:rsidRDefault="00A64E78" w:rsidP="00867893">
            <w:pPr>
              <w:pStyle w:val="ListParagraph"/>
              <w:numPr>
                <w:ilvl w:val="0"/>
                <w:numId w:val="19"/>
              </w:numPr>
              <w:spacing w:after="120" w:line="276" w:lineRule="auto"/>
              <w:contextualSpacing w:val="0"/>
              <w:rPr>
                <w:rFonts w:ascii="Calibri" w:hAnsi="Calibri" w:cs="Calibri"/>
                <w:b/>
                <w:lang w:bidi="en-US"/>
              </w:rPr>
            </w:pPr>
            <w:r w:rsidRPr="00E643CB">
              <w:rPr>
                <w:rFonts w:ascii="Calibri" w:hAnsi="Calibri" w:cs="Calibri"/>
                <w:lang w:bidi="en-US"/>
              </w:rPr>
              <w:t>Further, a new Form 45 is introduced for intimation of settlement of disputes regarding foreign tax for which credit was not initially claimed.</w:t>
            </w:r>
          </w:p>
          <w:p w14:paraId="1328B496" w14:textId="450E57A6" w:rsidR="000937DC" w:rsidRPr="00E643CB" w:rsidRDefault="000937DC" w:rsidP="00A82F1F">
            <w:pPr>
              <w:pStyle w:val="ListParagraph"/>
              <w:numPr>
                <w:ilvl w:val="0"/>
                <w:numId w:val="19"/>
              </w:numPr>
              <w:spacing w:after="120" w:line="276" w:lineRule="auto"/>
              <w:contextualSpacing w:val="0"/>
              <w:rPr>
                <w:rFonts w:ascii="Calibri" w:hAnsi="Calibri" w:cs="Calibri"/>
                <w:b/>
                <w:lang w:bidi="en-US"/>
              </w:rPr>
            </w:pPr>
            <w:r w:rsidRPr="00E643CB">
              <w:rPr>
                <w:rFonts w:ascii="Calibri" w:hAnsi="Calibri" w:cs="Calibri"/>
              </w:rPr>
              <w:t>As per Rule 76(6) Form 45 is to be filed within 6 months of settling of dispute in foreign jurisdiction and furnish evidence that the dispute has been settled. Given that documentary finality and judicial closures vary significantly across countries, strict deadlines may result in genuine credits being procedurally denied</w:t>
            </w:r>
            <w:r w:rsidR="00482D42" w:rsidRPr="00E643CB">
              <w:rPr>
                <w:rFonts w:ascii="Calibri" w:hAnsi="Calibri" w:cs="Calibri"/>
              </w:rPr>
              <w:t xml:space="preserve"> </w:t>
            </w:r>
          </w:p>
          <w:p w14:paraId="4733CE3B" w14:textId="77777777" w:rsidR="00D451BC" w:rsidRPr="00E643CB" w:rsidRDefault="00981C4B" w:rsidP="00532E7E">
            <w:pPr>
              <w:spacing w:after="120" w:line="276" w:lineRule="auto"/>
              <w:rPr>
                <w:rFonts w:ascii="Calibri" w:hAnsi="Calibri" w:cs="Calibri"/>
                <w:b/>
                <w:lang w:bidi="en-US"/>
              </w:rPr>
            </w:pPr>
            <w:r w:rsidRPr="00E643CB">
              <w:rPr>
                <w:rFonts w:ascii="Calibri" w:hAnsi="Calibri" w:cs="Calibri"/>
                <w:b/>
                <w:lang w:bidi="en-US"/>
              </w:rPr>
              <w:t>Recommendation:</w:t>
            </w:r>
          </w:p>
          <w:p w14:paraId="5A2F3B75" w14:textId="77777777" w:rsidR="00981C4B" w:rsidRPr="00E643CB" w:rsidRDefault="00E862EC" w:rsidP="00867893">
            <w:pPr>
              <w:pStyle w:val="ListParagraph"/>
              <w:numPr>
                <w:ilvl w:val="0"/>
                <w:numId w:val="20"/>
              </w:numPr>
              <w:spacing w:after="120" w:line="276" w:lineRule="auto"/>
              <w:contextualSpacing w:val="0"/>
              <w:rPr>
                <w:rFonts w:ascii="Calibri" w:hAnsi="Calibri" w:cs="Calibri"/>
                <w:lang w:bidi="en-US"/>
              </w:rPr>
            </w:pPr>
            <w:r w:rsidRPr="00E643CB">
              <w:rPr>
                <w:rFonts w:ascii="Calibri" w:hAnsi="Calibri" w:cs="Calibri"/>
                <w:lang w:bidi="en-US"/>
              </w:rPr>
              <w:t>In furtherance of the overall objective of the Government improve its Ease of Doing Business ranking and for promoting investor friendly tax policies, it is recommended that the requirement for an Accountant to verify the FTC claim is an onerous obligation and should be reconsidered.</w:t>
            </w:r>
          </w:p>
          <w:p w14:paraId="1B7FAC01" w14:textId="64F71C0F" w:rsidR="003114B2" w:rsidRDefault="00E80567" w:rsidP="00867893">
            <w:pPr>
              <w:pStyle w:val="ListParagraph"/>
              <w:numPr>
                <w:ilvl w:val="0"/>
                <w:numId w:val="20"/>
              </w:numPr>
              <w:spacing w:after="120" w:line="276" w:lineRule="auto"/>
              <w:contextualSpacing w:val="0"/>
              <w:rPr>
                <w:rFonts w:ascii="Calibri" w:hAnsi="Calibri" w:cs="Calibri"/>
                <w:lang w:bidi="en-US"/>
              </w:rPr>
            </w:pPr>
            <w:r w:rsidRPr="00E643CB">
              <w:rPr>
                <w:rFonts w:ascii="Calibri" w:hAnsi="Calibri" w:cs="Calibri"/>
                <w:lang w:bidi="en-US"/>
              </w:rPr>
              <w:t xml:space="preserve">Alternatively, even if the requirement of certification by an accountant is continued, it is recommended that the limit of INR 1 lakh in case of non-corporates be increased to 10 lakhs </w:t>
            </w:r>
            <w:r w:rsidR="00FE68F4">
              <w:rPr>
                <w:rFonts w:ascii="Calibri" w:hAnsi="Calibri" w:cs="Calibri"/>
                <w:lang w:bidi="en-US"/>
              </w:rPr>
              <w:t xml:space="preserve">for both corporates and non-corporates </w:t>
            </w:r>
            <w:r w:rsidRPr="00E643CB">
              <w:rPr>
                <w:rFonts w:ascii="Calibri" w:hAnsi="Calibri" w:cs="Calibri"/>
                <w:lang w:bidi="en-US"/>
              </w:rPr>
              <w:t>to avoid onerous burden on small taxpayers, who will have to incur additional cost to get such verification done which may make the FTC claim itself not-economical for Taxpayer.</w:t>
            </w:r>
          </w:p>
          <w:p w14:paraId="172F797E" w14:textId="7C53D226" w:rsidR="003114B2" w:rsidRPr="00CD5CE0" w:rsidRDefault="00926EED" w:rsidP="00CD5CE0">
            <w:pPr>
              <w:pStyle w:val="ListParagraph"/>
              <w:numPr>
                <w:ilvl w:val="0"/>
                <w:numId w:val="20"/>
              </w:numPr>
              <w:spacing w:after="120" w:line="276" w:lineRule="auto"/>
              <w:contextualSpacing w:val="0"/>
              <w:rPr>
                <w:rFonts w:ascii="Calibri" w:hAnsi="Calibri" w:cs="Calibri"/>
                <w:lang w:bidi="en-US"/>
              </w:rPr>
            </w:pPr>
            <w:r>
              <w:rPr>
                <w:rFonts w:ascii="Calibri" w:hAnsi="Calibri" w:cs="Calibri"/>
                <w:lang w:bidi="en-US"/>
              </w:rPr>
              <w:t xml:space="preserve">Note 6 to draft Form 44 may be omitted since it may unnecessarily </w:t>
            </w:r>
            <w:r w:rsidR="00502126">
              <w:rPr>
                <w:rFonts w:ascii="Calibri" w:hAnsi="Calibri" w:cs="Calibri"/>
                <w:lang w:bidi="en-US"/>
              </w:rPr>
              <w:t>create controversy or lead to litigation if taxpayer seeks to claim FTC based on more favourable treaty provisions.</w:t>
            </w:r>
          </w:p>
        </w:tc>
      </w:tr>
      <w:tr w:rsidR="003114B2" w:rsidRPr="00E643CB" w14:paraId="591A85E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DCE9C16"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F01E844" w14:textId="68CDEAC8" w:rsidR="00504A40" w:rsidRPr="0009782B" w:rsidRDefault="00504A40" w:rsidP="00BD4879">
            <w:pPr>
              <w:spacing w:after="120" w:line="276" w:lineRule="auto"/>
              <w:jc w:val="both"/>
              <w:rPr>
                <w:rFonts w:ascii="Calibri" w:hAnsi="Calibri" w:cs="Calibri"/>
                <w:b/>
                <w:lang w:bidi="en-US"/>
              </w:rPr>
            </w:pPr>
            <w:r w:rsidRPr="0009782B">
              <w:rPr>
                <w:rFonts w:ascii="Calibri" w:hAnsi="Calibri" w:cs="Calibri"/>
                <w:b/>
                <w:lang w:bidi="en-US"/>
              </w:rPr>
              <w:t>Extension of time limit for application of block assessment</w:t>
            </w:r>
          </w:p>
          <w:p w14:paraId="681F4084" w14:textId="77777777" w:rsidR="00504A40" w:rsidRPr="0009782B" w:rsidRDefault="00504A40" w:rsidP="00BD4879">
            <w:pPr>
              <w:spacing w:after="120" w:line="276" w:lineRule="auto"/>
              <w:jc w:val="both"/>
              <w:rPr>
                <w:rFonts w:ascii="Calibri" w:hAnsi="Calibri" w:cs="Calibri"/>
                <w:b/>
                <w:lang w:bidi="en-US"/>
              </w:rPr>
            </w:pPr>
          </w:p>
          <w:p w14:paraId="0A46E10C" w14:textId="30CE1047" w:rsidR="003114B2" w:rsidRPr="0009782B" w:rsidRDefault="004E7035" w:rsidP="00BD4879">
            <w:pPr>
              <w:spacing w:after="120" w:line="276" w:lineRule="auto"/>
              <w:jc w:val="both"/>
              <w:rPr>
                <w:rFonts w:ascii="Calibri" w:hAnsi="Calibri" w:cs="Calibri"/>
                <w:b/>
                <w:lang w:bidi="en-US"/>
              </w:rPr>
            </w:pPr>
            <w:r w:rsidRPr="0009782B">
              <w:rPr>
                <w:rFonts w:ascii="Calibri" w:hAnsi="Calibri" w:cs="Calibri"/>
                <w:b/>
                <w:lang w:bidi="en-US"/>
              </w:rPr>
              <w:t xml:space="preserve">New </w:t>
            </w:r>
            <w:r w:rsidR="00504A40" w:rsidRPr="0009782B">
              <w:rPr>
                <w:rFonts w:ascii="Calibri" w:hAnsi="Calibri" w:cs="Calibri"/>
                <w:b/>
                <w:lang w:bidi="en-US"/>
              </w:rPr>
              <w:t>Rule 82 of the Draft IT Rules 2026</w:t>
            </w:r>
          </w:p>
        </w:tc>
        <w:tc>
          <w:tcPr>
            <w:tcW w:w="10404" w:type="dxa"/>
            <w:tcBorders>
              <w:top w:val="single" w:sz="4" w:space="0" w:color="auto"/>
              <w:left w:val="single" w:sz="4" w:space="0" w:color="auto"/>
              <w:bottom w:val="single" w:sz="4" w:space="0" w:color="auto"/>
              <w:right w:val="single" w:sz="4" w:space="0" w:color="auto"/>
            </w:tcBorders>
          </w:tcPr>
          <w:p w14:paraId="49AAFF99" w14:textId="77777777" w:rsidR="003114B2" w:rsidRPr="00E643CB" w:rsidRDefault="00EC2CB4" w:rsidP="00532E7E">
            <w:pPr>
              <w:spacing w:after="120" w:line="276" w:lineRule="auto"/>
              <w:rPr>
                <w:rFonts w:ascii="Calibri" w:hAnsi="Calibri" w:cs="Calibri"/>
                <w:b/>
                <w:lang w:bidi="en-US"/>
              </w:rPr>
            </w:pPr>
            <w:r w:rsidRPr="00E643CB">
              <w:rPr>
                <w:rFonts w:ascii="Calibri" w:hAnsi="Calibri" w:cs="Calibri"/>
                <w:b/>
                <w:lang w:bidi="en-US"/>
              </w:rPr>
              <w:t>Rationale:</w:t>
            </w:r>
          </w:p>
          <w:p w14:paraId="16632E86" w14:textId="77777777" w:rsidR="008F3CFE" w:rsidRPr="00E643CB" w:rsidRDefault="00EC2CB4" w:rsidP="00867893">
            <w:pPr>
              <w:pStyle w:val="ListParagraph"/>
              <w:numPr>
                <w:ilvl w:val="0"/>
                <w:numId w:val="21"/>
              </w:numPr>
              <w:spacing w:after="120" w:line="276" w:lineRule="auto"/>
              <w:contextualSpacing w:val="0"/>
              <w:rPr>
                <w:rFonts w:ascii="Calibri" w:hAnsi="Calibri" w:cs="Calibri"/>
                <w:lang w:bidi="en-US"/>
              </w:rPr>
            </w:pPr>
            <w:r w:rsidRPr="00E643CB">
              <w:rPr>
                <w:rFonts w:ascii="Calibri" w:hAnsi="Calibri" w:cs="Calibri"/>
                <w:lang w:bidi="en-US"/>
              </w:rPr>
              <w:t xml:space="preserve">Rule 82(2) stipulates that Form 46 must be submitted by 30th June of the third tax year. It is recommended that this deadline be extended. </w:t>
            </w:r>
          </w:p>
          <w:p w14:paraId="5ACFD970" w14:textId="77777777" w:rsidR="00A962C6" w:rsidRPr="00E643CB" w:rsidRDefault="00EC2CB4" w:rsidP="00867893">
            <w:pPr>
              <w:pStyle w:val="ListParagraph"/>
              <w:numPr>
                <w:ilvl w:val="0"/>
                <w:numId w:val="21"/>
              </w:numPr>
              <w:spacing w:after="120" w:line="276" w:lineRule="auto"/>
              <w:contextualSpacing w:val="0"/>
              <w:rPr>
                <w:rFonts w:ascii="Calibri" w:hAnsi="Calibri" w:cs="Calibri"/>
                <w:lang w:bidi="en-US"/>
              </w:rPr>
            </w:pPr>
            <w:r w:rsidRPr="00E643CB">
              <w:rPr>
                <w:rFonts w:ascii="Calibri" w:hAnsi="Calibri" w:cs="Calibri"/>
                <w:lang w:bidi="en-US"/>
              </w:rPr>
              <w:t xml:space="preserve">For example, the reference to TPO for first year 2026-27 would be made by March 31, 2029. This means that taxpayers will have to decide within three months of the reference on whether they need to opt for block assessment. If decided the taxpayers would be required to compile transaction details and submit the CA certificate in Form No. 47 for the third tax year, which concludes on 31 March 2029, by 30 June of the third tax year. The deadline is too short for this compliance. Gathering this information in such a short time frame and securing certification from a Chartered Accountant can prove onerous for the taxpayer. Taxpayers may not know the outcome of transfer pricing proceedings for the first tax year at that point. </w:t>
            </w:r>
          </w:p>
          <w:p w14:paraId="3887FD0C" w14:textId="77777777" w:rsidR="002A052A" w:rsidRPr="00E643CB" w:rsidRDefault="005B25B5" w:rsidP="00532E7E">
            <w:pPr>
              <w:spacing w:after="120" w:line="276" w:lineRule="auto"/>
              <w:rPr>
                <w:rFonts w:ascii="Calibri" w:hAnsi="Calibri" w:cs="Calibri"/>
                <w:b/>
                <w:lang w:bidi="en-US"/>
              </w:rPr>
            </w:pPr>
            <w:r w:rsidRPr="00E643CB">
              <w:rPr>
                <w:rFonts w:ascii="Calibri" w:hAnsi="Calibri" w:cs="Calibri"/>
                <w:b/>
                <w:lang w:bidi="en-US"/>
              </w:rPr>
              <w:t>Recommendation:</w:t>
            </w:r>
          </w:p>
          <w:p w14:paraId="5C342FCC" w14:textId="237666B1" w:rsidR="003114B2" w:rsidRPr="00E643CB" w:rsidRDefault="004E194B"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Rule 82(2) stipulates that Form 46 must be submitted by 30th June of the third tax year. It is recommended that this deadline be extended.</w:t>
            </w:r>
          </w:p>
        </w:tc>
      </w:tr>
      <w:tr w:rsidR="003114B2" w:rsidRPr="00E643CB" w14:paraId="7F7B662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057F568"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259C3C5" w14:textId="77777777" w:rsidR="003114B2" w:rsidRPr="0009782B" w:rsidRDefault="00743A8F" w:rsidP="00BD4879">
            <w:pPr>
              <w:spacing w:after="120" w:line="276" w:lineRule="auto"/>
              <w:jc w:val="both"/>
              <w:rPr>
                <w:rFonts w:ascii="Calibri" w:hAnsi="Calibri" w:cs="Calibri"/>
                <w:b/>
                <w:lang w:bidi="en-US"/>
              </w:rPr>
            </w:pPr>
            <w:r w:rsidRPr="0009782B">
              <w:rPr>
                <w:rFonts w:ascii="Calibri" w:hAnsi="Calibri" w:cs="Calibri"/>
                <w:b/>
                <w:lang w:bidi="en-US"/>
              </w:rPr>
              <w:t xml:space="preserve">Specify timeline for </w:t>
            </w:r>
            <w:r w:rsidR="009807DE" w:rsidRPr="0009782B">
              <w:rPr>
                <w:rFonts w:ascii="Calibri" w:hAnsi="Calibri" w:cs="Calibri"/>
                <w:b/>
                <w:lang w:bidi="en-US"/>
              </w:rPr>
              <w:t>passing of order by commissioner in case of block assessment</w:t>
            </w:r>
          </w:p>
          <w:p w14:paraId="527E5250" w14:textId="77777777" w:rsidR="00DF6EE9" w:rsidRPr="0009782B" w:rsidRDefault="00DF6EE9" w:rsidP="00BD4879">
            <w:pPr>
              <w:spacing w:after="120" w:line="276" w:lineRule="auto"/>
              <w:jc w:val="both"/>
              <w:rPr>
                <w:rFonts w:ascii="Calibri" w:hAnsi="Calibri" w:cs="Calibri"/>
                <w:b/>
                <w:lang w:bidi="en-US"/>
              </w:rPr>
            </w:pPr>
          </w:p>
          <w:p w14:paraId="196E3E45" w14:textId="72E0B9CC" w:rsidR="003114B2" w:rsidRPr="0009782B" w:rsidRDefault="004E7035" w:rsidP="00BD4879">
            <w:pPr>
              <w:spacing w:after="120" w:line="276" w:lineRule="auto"/>
              <w:jc w:val="both"/>
              <w:rPr>
                <w:rFonts w:ascii="Calibri" w:hAnsi="Calibri" w:cs="Calibri"/>
                <w:b/>
                <w:lang w:bidi="en-US"/>
              </w:rPr>
            </w:pPr>
            <w:r w:rsidRPr="0009782B">
              <w:rPr>
                <w:rFonts w:ascii="Calibri" w:hAnsi="Calibri" w:cs="Calibri"/>
                <w:b/>
                <w:lang w:bidi="en-US"/>
              </w:rPr>
              <w:t xml:space="preserve">New </w:t>
            </w:r>
            <w:r w:rsidR="00DF6EE9" w:rsidRPr="0009782B">
              <w:rPr>
                <w:rFonts w:ascii="Calibri" w:hAnsi="Calibri" w:cs="Calibri"/>
                <w:b/>
                <w:lang w:bidi="en-US"/>
              </w:rPr>
              <w:t>Rule 82 of the Draft IT Rules 2026</w:t>
            </w:r>
          </w:p>
        </w:tc>
        <w:tc>
          <w:tcPr>
            <w:tcW w:w="10404" w:type="dxa"/>
            <w:tcBorders>
              <w:top w:val="single" w:sz="4" w:space="0" w:color="auto"/>
              <w:left w:val="single" w:sz="4" w:space="0" w:color="auto"/>
              <w:bottom w:val="single" w:sz="4" w:space="0" w:color="auto"/>
              <w:right w:val="single" w:sz="4" w:space="0" w:color="auto"/>
            </w:tcBorders>
          </w:tcPr>
          <w:p w14:paraId="51C69297" w14:textId="77777777" w:rsidR="003114B2" w:rsidRPr="00E643CB" w:rsidRDefault="00C33D07" w:rsidP="00532E7E">
            <w:pPr>
              <w:spacing w:after="120" w:line="276" w:lineRule="auto"/>
              <w:rPr>
                <w:rFonts w:ascii="Calibri" w:hAnsi="Calibri" w:cs="Calibri"/>
                <w:b/>
                <w:lang w:bidi="en-US"/>
              </w:rPr>
            </w:pPr>
            <w:r w:rsidRPr="00E643CB">
              <w:rPr>
                <w:rFonts w:ascii="Calibri" w:hAnsi="Calibri" w:cs="Calibri"/>
                <w:b/>
                <w:lang w:bidi="en-US"/>
              </w:rPr>
              <w:t>Rationale:</w:t>
            </w:r>
          </w:p>
          <w:p w14:paraId="01B939B5" w14:textId="77777777" w:rsidR="00057DD7" w:rsidRPr="00E643CB" w:rsidRDefault="00ED65E3"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Rule 82(6) permits the assessee to submit objections to the Commissioner within 15 days from the date of receipt of the order, in instances where the assessee disputes the TPO’s declaration that the option exercised is invalid. </w:t>
            </w:r>
          </w:p>
          <w:p w14:paraId="04871869" w14:textId="77777777" w:rsidR="00057DD7" w:rsidRPr="00E643CB" w:rsidRDefault="00ED65E3"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In addition, Rule 82(7) provides that the Commissioner shall, after affording the assessee an opportunity of being heard, issue an appropriate order regarding the validity of the option exercised by the assessee.</w:t>
            </w:r>
          </w:p>
          <w:p w14:paraId="60244BC7" w14:textId="286570ED" w:rsidR="00057DD7" w:rsidRPr="00E643CB" w:rsidRDefault="00057DD7" w:rsidP="00532E7E">
            <w:pPr>
              <w:spacing w:after="120" w:line="276" w:lineRule="auto"/>
              <w:rPr>
                <w:rFonts w:ascii="Calibri" w:hAnsi="Calibri" w:cs="Calibri"/>
                <w:b/>
                <w:lang w:bidi="en-US"/>
              </w:rPr>
            </w:pPr>
            <w:r w:rsidRPr="00E643CB">
              <w:rPr>
                <w:rFonts w:ascii="Calibri" w:hAnsi="Calibri" w:cs="Calibri"/>
                <w:b/>
                <w:lang w:bidi="en-US"/>
              </w:rPr>
              <w:t>Recommendation:</w:t>
            </w:r>
          </w:p>
          <w:p w14:paraId="3557AC57" w14:textId="1A3B02FD" w:rsidR="003114B2" w:rsidRPr="00E643CB" w:rsidRDefault="00ED65E3"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 It is recommended that the rule be amended to specify a clear timeline within which the Commissioner is required to pass such order, in order to ensure procedural certainty and timely resolution.</w:t>
            </w:r>
          </w:p>
        </w:tc>
      </w:tr>
      <w:tr w:rsidR="003114B2" w:rsidRPr="00E643CB" w14:paraId="400611D7" w14:textId="77777777" w:rsidTr="005B03B8">
        <w:trPr>
          <w:trHeight w:val="20"/>
        </w:trPr>
        <w:tc>
          <w:tcPr>
            <w:tcW w:w="924" w:type="dxa"/>
            <w:tcBorders>
              <w:top w:val="single" w:sz="4" w:space="0" w:color="auto"/>
              <w:left w:val="single" w:sz="4" w:space="0" w:color="auto"/>
              <w:bottom w:val="single" w:sz="4" w:space="0" w:color="auto"/>
              <w:right w:val="single" w:sz="4" w:space="0" w:color="auto"/>
            </w:tcBorders>
          </w:tcPr>
          <w:p w14:paraId="033FCFFB"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D1581F7" w14:textId="63F13864" w:rsidR="00EA2FC1" w:rsidRPr="0009782B" w:rsidRDefault="00332C97" w:rsidP="00BD4879">
            <w:pPr>
              <w:spacing w:after="120" w:line="276" w:lineRule="auto"/>
              <w:jc w:val="both"/>
              <w:rPr>
                <w:rFonts w:ascii="Calibri" w:hAnsi="Calibri" w:cs="Calibri"/>
                <w:b/>
                <w:lang w:bidi="en-US"/>
              </w:rPr>
            </w:pPr>
            <w:r w:rsidRPr="0009782B">
              <w:rPr>
                <w:rFonts w:ascii="Calibri" w:hAnsi="Calibri" w:cs="Calibri"/>
                <w:b/>
                <w:lang w:bidi="en-US"/>
              </w:rPr>
              <w:t>Representations related to Form 48 (erstwhile Form 3CEB)</w:t>
            </w:r>
          </w:p>
          <w:p w14:paraId="6D6EB0C1" w14:textId="77777777" w:rsidR="00332C97" w:rsidRPr="0009782B" w:rsidRDefault="00332C97" w:rsidP="00BD4879">
            <w:pPr>
              <w:spacing w:after="120" w:line="276" w:lineRule="auto"/>
              <w:jc w:val="both"/>
              <w:rPr>
                <w:rFonts w:ascii="Calibri" w:hAnsi="Calibri" w:cs="Calibri"/>
                <w:b/>
                <w:lang w:bidi="en-US"/>
              </w:rPr>
            </w:pPr>
          </w:p>
          <w:p w14:paraId="6F278D82" w14:textId="77777777" w:rsidR="0074351D" w:rsidRPr="0009782B" w:rsidRDefault="00AB02D5" w:rsidP="00BD4879">
            <w:pPr>
              <w:spacing w:after="120" w:line="276" w:lineRule="auto"/>
              <w:jc w:val="both"/>
              <w:rPr>
                <w:rFonts w:ascii="Calibri" w:hAnsi="Calibri" w:cs="Calibri"/>
                <w:b/>
                <w:lang w:bidi="en-US"/>
              </w:rPr>
            </w:pPr>
            <w:r w:rsidRPr="0009782B">
              <w:rPr>
                <w:rFonts w:ascii="Calibri" w:hAnsi="Calibri" w:cs="Calibri"/>
                <w:b/>
                <w:lang w:bidi="en-US"/>
              </w:rPr>
              <w:t>Rule 10E of IT Rules 1962</w:t>
            </w:r>
          </w:p>
          <w:p w14:paraId="421A8F20" w14:textId="46DBD197" w:rsidR="003114B2" w:rsidRPr="0009782B" w:rsidRDefault="00AB02D5"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444C65" w:rsidRPr="0009782B">
              <w:rPr>
                <w:rFonts w:ascii="Calibri" w:hAnsi="Calibri" w:cs="Calibri"/>
                <w:b/>
                <w:lang w:bidi="en-US"/>
              </w:rPr>
              <w:t>85 of the Draft IT Rules 2026</w:t>
            </w:r>
          </w:p>
        </w:tc>
        <w:tc>
          <w:tcPr>
            <w:tcW w:w="10404" w:type="dxa"/>
            <w:tcBorders>
              <w:top w:val="single" w:sz="4" w:space="0" w:color="auto"/>
              <w:left w:val="single" w:sz="4" w:space="0" w:color="auto"/>
              <w:bottom w:val="single" w:sz="4" w:space="0" w:color="auto"/>
              <w:right w:val="single" w:sz="4" w:space="0" w:color="auto"/>
            </w:tcBorders>
          </w:tcPr>
          <w:p w14:paraId="4563EFB0" w14:textId="799589F2" w:rsidR="003114B2" w:rsidRPr="00E643CB" w:rsidRDefault="00FF7D94" w:rsidP="00532E7E">
            <w:pPr>
              <w:spacing w:after="120" w:line="276" w:lineRule="auto"/>
              <w:rPr>
                <w:rFonts w:ascii="Calibri" w:hAnsi="Calibri" w:cs="Calibri"/>
                <w:b/>
                <w:lang w:bidi="en-US"/>
              </w:rPr>
            </w:pPr>
            <w:r w:rsidRPr="00E643CB">
              <w:rPr>
                <w:rFonts w:ascii="Calibri" w:hAnsi="Calibri" w:cs="Calibri"/>
                <w:b/>
                <w:lang w:bidi="en-US"/>
              </w:rPr>
              <w:t xml:space="preserve">Rationale and </w:t>
            </w:r>
            <w:r w:rsidR="00197978" w:rsidRPr="00E643CB">
              <w:rPr>
                <w:rFonts w:ascii="Calibri" w:hAnsi="Calibri" w:cs="Calibri"/>
                <w:b/>
                <w:lang w:bidi="en-US"/>
              </w:rPr>
              <w:t>Recommendation</w:t>
            </w:r>
            <w:r w:rsidR="005C7B40" w:rsidRPr="00E643CB">
              <w:rPr>
                <w:rFonts w:ascii="Calibri" w:hAnsi="Calibri" w:cs="Calibri"/>
                <w:b/>
                <w:lang w:bidi="en-US"/>
              </w:rPr>
              <w:t>:</w:t>
            </w:r>
          </w:p>
          <w:p w14:paraId="3B04D080" w14:textId="5D371921" w:rsidR="00350E11" w:rsidRPr="00E643CB" w:rsidRDefault="00350E11" w:rsidP="00350E11">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Expanded disclosure requirements in Form 48 relating to arm’s length price determination parameters, including comparables, ranges, and adjustments, may widen interpretational differences rather than reduce disputes. Introducing materiality thresholds and validation mechanisms would help ensure that enforcement actions are directed at substantive tax risks rather than minor computational variations.</w:t>
            </w:r>
          </w:p>
          <w:p w14:paraId="42BF82C3" w14:textId="2EA27CDE" w:rsidR="00350E11" w:rsidRPr="00E643CB" w:rsidRDefault="00350E11" w:rsidP="00CD5CE0">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Expanded reporting frameworks increase exposure of commercially sensitive information. Explicit confidentiality protections and controlled access protocols would mitigate concerns relating to proprietary data usage.</w:t>
            </w:r>
          </w:p>
          <w:p w14:paraId="7E6D43AB" w14:textId="01EEABD3" w:rsidR="00350E11" w:rsidRPr="00E643CB" w:rsidRDefault="00350E11" w:rsidP="00CD5CE0">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Form 48 be simplified to serve only as a related party transaction disclosure form, like the earlier Form 3CEB. Alternatively, if such details are to be filed mandatorily, taxpayers should be allowed to submit them by the end of the following year, giving enough time to compile accurate information. This approach keeps reporting transparent and compliant while making it practical and manageable, especially for large multinational companies, without creating unnecessary administrative burden.</w:t>
            </w:r>
          </w:p>
          <w:p w14:paraId="51AC2894" w14:textId="609DF95E" w:rsidR="005C7B40" w:rsidRPr="00E643CB" w:rsidRDefault="005C7B40"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If the assessee has elected SHR and is required to file Form 48, an option should be made available to indicate whether SHR has been selected for any eligible transaction, as well as to specify its status within Form 48. This recommendation would not apply if the Taxpayer is exempt from Filing Form 48 in case of transactions covered under SHR.</w:t>
            </w:r>
          </w:p>
          <w:p w14:paraId="298B112D" w14:textId="571EBAD8" w:rsidR="006F08C6" w:rsidRPr="00E643CB" w:rsidRDefault="006F08C6"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Currently, RPM formula in Form 48 does not factor in opening/ closing stock to arrive at purchases. Also, there may be third party purchases as well. </w:t>
            </w:r>
            <w:r w:rsidR="00EA2FC1" w:rsidRPr="00E643CB">
              <w:rPr>
                <w:rFonts w:ascii="Calibri" w:hAnsi="Calibri" w:cs="Calibri"/>
                <w:lang w:bidi="en-US"/>
              </w:rPr>
              <w:t>RPM formula required to be corrected to adjust for opening/ closing stock and third party purchases to arrive at AE purchases in Form 48.</w:t>
            </w:r>
          </w:p>
          <w:p w14:paraId="551EBD88" w14:textId="77777777" w:rsidR="00EA2FC1" w:rsidRPr="00E643CB" w:rsidRDefault="00645192"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In the notes specified in form 48, it is stated that in the case of international transactions, when calculating adjustments, if the transaction is classified as an expense, the adjustment amount will be deducted from the book value of the transaction. Conversely, if the transaction is classified as income, the adjustment amount will be added to the book value. A clarification may be provided in cases where an international transaction has components on both the income and expense sides. it is recommended that the adjustment be computed with reference to the largest of the international transaction values, to avoid ambiguity.</w:t>
            </w:r>
          </w:p>
          <w:p w14:paraId="3FBBB962" w14:textId="77777777" w:rsidR="00DE5A98" w:rsidRPr="00E643CB" w:rsidRDefault="00DE5A98"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Form 48 requires the assessee to furnish details of “Amounts not recorded in the books of accounts [B]” in respect of certain expenses. This requirement imposes a substantial compliance burden, as it necessitates the identification, tracking, and reconciliation of off book items that are not ordinarily captured through standard accounting systems. This is burdensome for taxpayers specially where such charge shall lead to lowering the taxbase in India. </w:t>
            </w:r>
            <w:r w:rsidR="00327AB0" w:rsidRPr="00E643CB">
              <w:rPr>
                <w:rFonts w:ascii="Calibri" w:hAnsi="Calibri" w:cs="Calibri"/>
                <w:lang w:bidi="en-US"/>
              </w:rPr>
              <w:t>Requirement to provide “Amounts not recorded in the books of accounts [B]” should be removed for taxpayers that have opted for SHR, have signed APAs and that do not follow cost plus basis of charge as in such cases the charge shall lead to lowering the taxbase in India.</w:t>
            </w:r>
          </w:p>
          <w:p w14:paraId="5B494DFD" w14:textId="77777777" w:rsidR="00327AB0" w:rsidRPr="00E643CB" w:rsidRDefault="00CF4B6D"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Clause 5 of Part C of Form 48 (List of AE with whom the assessee has entered into international transactions) requires disclosure of the nature of relationship with AEs as referred to in Section 162(1) and permits selection of multiple options. It is recommended that the form be modified to allow selection of only one option for the nature of relationship.</w:t>
            </w:r>
            <w:r w:rsidR="00D354B7" w:rsidRPr="00E643CB">
              <w:rPr>
                <w:rFonts w:ascii="Calibri" w:hAnsi="Calibri" w:cs="Calibri"/>
                <w:lang w:bidi="en-US"/>
              </w:rPr>
              <w:t xml:space="preserve"> It is recommended that the form be modified to allow selection of only one option for the nature of relationship.</w:t>
            </w:r>
          </w:p>
          <w:p w14:paraId="3E735D66" w14:textId="77777777" w:rsidR="00D354B7" w:rsidRPr="00E643CB" w:rsidRDefault="00AD2BB7"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Clause 7 of Part C of Form 48 (International Transaction including deemed international transaction) requires disclosure of AE IDs and/or Person IDs. Clarification is required on the meaning of “ID” in this context, including whether it refers to the name of the AE or any specific identification number. </w:t>
            </w:r>
            <w:r w:rsidR="00270DAA" w:rsidRPr="00E643CB">
              <w:rPr>
                <w:rFonts w:ascii="Calibri" w:hAnsi="Calibri" w:cs="Calibri"/>
                <w:lang w:bidi="en-US"/>
              </w:rPr>
              <w:t>Clarification is required on the meaning of “ID” in this context, including whether it refers to the name of the AE or any specific identification number.</w:t>
            </w:r>
          </w:p>
          <w:p w14:paraId="36F83342" w14:textId="77777777" w:rsidR="00270DAA" w:rsidRPr="00E643CB" w:rsidRDefault="00531BB6"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Clause 11(1)(iii) of Part E of Form 48 (determination of ALP) requires details of determination of arm's length price where the most appropriate method applied is the Other method. Clarification is required on whether such details are to be provided by way of numerical values or text values. </w:t>
            </w:r>
            <w:r w:rsidR="0033199F" w:rsidRPr="00E643CB">
              <w:rPr>
                <w:rFonts w:ascii="Calibri" w:hAnsi="Calibri" w:cs="Calibri"/>
                <w:lang w:bidi="en-US"/>
              </w:rPr>
              <w:t>Clarification is required on whether such details are to be provided by way of numerical values or text values.</w:t>
            </w:r>
          </w:p>
          <w:p w14:paraId="57CB77FC" w14:textId="77777777" w:rsidR="0033199F" w:rsidRPr="00E643CB" w:rsidRDefault="005521C3"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Clarification is required in Clause 11(1)(iii) of Part E of Form 48 (determination of ALP) on how the tolerance range of ±3% is to be factored in Part E where there are more than one but less than six comparable companies and the most appropriate method applied is CUP, RPM, CPM, or TNMM.</w:t>
            </w:r>
            <w:r w:rsidR="009D30C2" w:rsidRPr="00E643CB">
              <w:rPr>
                <w:rFonts w:ascii="Calibri" w:hAnsi="Calibri" w:cs="Calibri"/>
                <w:lang w:bidi="en-US"/>
              </w:rPr>
              <w:t xml:space="preserve"> </w:t>
            </w:r>
            <w:r w:rsidR="00A46866" w:rsidRPr="00E643CB">
              <w:rPr>
                <w:rFonts w:ascii="Calibri" w:hAnsi="Calibri" w:cs="Calibri"/>
                <w:lang w:bidi="en-US"/>
              </w:rPr>
              <w:t>Clarification is required in Clause 11(1)(iii) of Part E of Form 48 (determination of ALP) on how the tolerance range of ±3% is to be factored in Part E where there are more than one but less than six comparable companies and the most appropriate method applied is CUP, RPM, CPM, or TNMM.</w:t>
            </w:r>
          </w:p>
          <w:p w14:paraId="2B91EBC5" w14:textId="180EA2AF" w:rsidR="00A46866" w:rsidRPr="00E643CB" w:rsidRDefault="00556B5E"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Clarification is required on how CUP data should be disclosed in case of multiple transactions and transaction by transaction CUP. </w:t>
            </w:r>
            <w:r w:rsidR="00354DF6" w:rsidRPr="00E643CB">
              <w:rPr>
                <w:rFonts w:ascii="Calibri" w:hAnsi="Calibri" w:cs="Calibri"/>
                <w:lang w:bidi="en-US"/>
              </w:rPr>
              <w:t>Clarification is required on how CUP data should be disclosed in case of multiple transactions and transaction by transaction CUP.</w:t>
            </w:r>
          </w:p>
          <w:p w14:paraId="51CDC8FC" w14:textId="39DE2494" w:rsidR="00354DF6" w:rsidRPr="00E643CB" w:rsidRDefault="00930EA0"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 xml:space="preserve">Clause 13 lists down different types of services provided to AEs. However, these services are not defined, except for services referenced in SHR. </w:t>
            </w:r>
            <w:r w:rsidR="00D42FAE" w:rsidRPr="00E643CB">
              <w:rPr>
                <w:rFonts w:ascii="Calibri" w:hAnsi="Calibri" w:cs="Calibri"/>
                <w:lang w:bidi="en-US"/>
              </w:rPr>
              <w:t>For Provision of services to be classified under different heads in Form 48, it is recommended that services other than references in SHR may be defined.</w:t>
            </w:r>
          </w:p>
          <w:p w14:paraId="1419E8C1" w14:textId="77777777" w:rsidR="005944E1" w:rsidRPr="00E643CB" w:rsidRDefault="00DB4162" w:rsidP="00867893">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In Clause 7 of Form 48 (Type of International Transactions and Additional Information), clarification is required as to whether the principal amount of the loan borrowed or provided should be included, or if only the interest transaction is to be considered.</w:t>
            </w:r>
          </w:p>
          <w:p w14:paraId="1EBA6410" w14:textId="77777777" w:rsidR="003114B2" w:rsidRPr="00E643CB" w:rsidRDefault="00572528" w:rsidP="00A82F1F">
            <w:pPr>
              <w:pStyle w:val="ListParagraph"/>
              <w:numPr>
                <w:ilvl w:val="0"/>
                <w:numId w:val="22"/>
              </w:numPr>
              <w:spacing w:after="120" w:line="276" w:lineRule="auto"/>
              <w:contextualSpacing w:val="0"/>
              <w:rPr>
                <w:rFonts w:ascii="Calibri" w:hAnsi="Calibri" w:cs="Calibri"/>
                <w:lang w:bidi="en-US"/>
              </w:rPr>
            </w:pPr>
            <w:r w:rsidRPr="00E643CB">
              <w:rPr>
                <w:rFonts w:ascii="Calibri" w:hAnsi="Calibri" w:cs="Calibri"/>
                <w:lang w:bidi="en-US"/>
              </w:rPr>
              <w:t>Clause 7 of Form 48 (Type of International Transactions and Additional Information) requires disclosure of the quantum of transactions as defined under clause 10 (a)(i), (ii), and (iv) which primarily relate to capital financing or borrowing transactions. Clarification is required on whether this refers to the loan amount outstanding during the year or the total loan amount borrowed since inception.</w:t>
            </w:r>
          </w:p>
          <w:p w14:paraId="0FF18849" w14:textId="0083F015" w:rsidR="003114B2" w:rsidRPr="00E643CB" w:rsidRDefault="009D5572" w:rsidP="00D17EFE">
            <w:pPr>
              <w:pStyle w:val="ListParagraph"/>
              <w:spacing w:after="120" w:line="276" w:lineRule="auto"/>
              <w:contextualSpacing w:val="0"/>
              <w:rPr>
                <w:rFonts w:ascii="Calibri" w:hAnsi="Calibri" w:cs="Calibri"/>
                <w:lang w:bidi="en-US"/>
              </w:rPr>
            </w:pPr>
            <w:r w:rsidRPr="00E643CB">
              <w:rPr>
                <w:rFonts w:ascii="Calibri" w:hAnsi="Calibri" w:cs="Calibri"/>
                <w:lang w:bidi="en-US"/>
              </w:rPr>
              <w:t xml:space="preserve"> </w:t>
            </w:r>
          </w:p>
        </w:tc>
      </w:tr>
      <w:tr w:rsidR="003114B2" w:rsidRPr="00E643CB" w14:paraId="2D698A54"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07951AA"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80319AD" w14:textId="77777777" w:rsidR="003114B2" w:rsidRPr="0009782B" w:rsidRDefault="0019711B" w:rsidP="00BD4879">
            <w:pPr>
              <w:spacing w:after="120" w:line="276" w:lineRule="auto"/>
              <w:jc w:val="both"/>
              <w:rPr>
                <w:rFonts w:ascii="Calibri" w:hAnsi="Calibri" w:cs="Calibri"/>
                <w:b/>
                <w:lang w:bidi="en-US"/>
              </w:rPr>
            </w:pPr>
            <w:r w:rsidRPr="0009782B">
              <w:rPr>
                <w:rFonts w:ascii="Calibri" w:hAnsi="Calibri" w:cs="Calibri"/>
                <w:b/>
                <w:lang w:bidi="en-US"/>
              </w:rPr>
              <w:t>Recovery of expenses from AEs</w:t>
            </w:r>
            <w:r w:rsidR="009B3487" w:rsidRPr="0009782B">
              <w:rPr>
                <w:rFonts w:ascii="Calibri" w:hAnsi="Calibri" w:cs="Calibri"/>
                <w:b/>
                <w:lang w:bidi="en-US"/>
              </w:rPr>
              <w:t xml:space="preserve"> </w:t>
            </w:r>
            <w:r w:rsidR="000D2B2F" w:rsidRPr="0009782B">
              <w:rPr>
                <w:rFonts w:ascii="Calibri" w:hAnsi="Calibri" w:cs="Calibri"/>
                <w:b/>
                <w:lang w:bidi="en-US"/>
              </w:rPr>
              <w:t xml:space="preserve">to be considered </w:t>
            </w:r>
            <w:r w:rsidR="00C35C84" w:rsidRPr="0009782B">
              <w:rPr>
                <w:rFonts w:ascii="Calibri" w:hAnsi="Calibri" w:cs="Calibri"/>
                <w:b/>
                <w:lang w:bidi="en-US"/>
              </w:rPr>
              <w:t xml:space="preserve">as </w:t>
            </w:r>
            <w:r w:rsidR="00333B60" w:rsidRPr="0009782B">
              <w:rPr>
                <w:rFonts w:ascii="Calibri" w:hAnsi="Calibri" w:cs="Calibri"/>
                <w:b/>
                <w:lang w:bidi="en-US"/>
              </w:rPr>
              <w:t>part of operating revenue</w:t>
            </w:r>
          </w:p>
          <w:p w14:paraId="542F3B6A" w14:textId="77777777" w:rsidR="00051A13" w:rsidRPr="0009782B" w:rsidRDefault="00051A13" w:rsidP="00BD4879">
            <w:pPr>
              <w:spacing w:after="120" w:line="276" w:lineRule="auto"/>
              <w:jc w:val="both"/>
              <w:rPr>
                <w:rFonts w:ascii="Calibri" w:hAnsi="Calibri" w:cs="Calibri"/>
                <w:b/>
                <w:lang w:bidi="en-US"/>
              </w:rPr>
            </w:pPr>
          </w:p>
          <w:p w14:paraId="37DFA6EF" w14:textId="77777777" w:rsidR="00333B60" w:rsidRPr="0009782B" w:rsidRDefault="00051A13" w:rsidP="00BD4879">
            <w:pPr>
              <w:spacing w:after="120" w:line="276" w:lineRule="auto"/>
              <w:jc w:val="both"/>
              <w:rPr>
                <w:rFonts w:ascii="Calibri" w:hAnsi="Calibri" w:cs="Calibri"/>
                <w:b/>
                <w:lang w:bidi="en-US"/>
              </w:rPr>
            </w:pPr>
            <w:r w:rsidRPr="0009782B">
              <w:rPr>
                <w:rFonts w:ascii="Calibri" w:hAnsi="Calibri" w:cs="Calibri"/>
                <w:b/>
                <w:lang w:bidi="en-US"/>
              </w:rPr>
              <w:t>Rule 10E of IT Rules 1962</w:t>
            </w:r>
          </w:p>
          <w:p w14:paraId="093EB6C9" w14:textId="196D28E0" w:rsidR="003114B2" w:rsidRPr="0009782B" w:rsidRDefault="00051A13"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E97F95" w:rsidRPr="0009782B">
              <w:rPr>
                <w:rFonts w:ascii="Calibri" w:hAnsi="Calibri" w:cs="Calibri"/>
                <w:b/>
                <w:lang w:bidi="en-US"/>
              </w:rPr>
              <w:t>86 of the Draft IT Rules 2026</w:t>
            </w:r>
          </w:p>
        </w:tc>
        <w:tc>
          <w:tcPr>
            <w:tcW w:w="10404" w:type="dxa"/>
            <w:tcBorders>
              <w:top w:val="single" w:sz="4" w:space="0" w:color="auto"/>
              <w:left w:val="single" w:sz="4" w:space="0" w:color="auto"/>
              <w:bottom w:val="single" w:sz="4" w:space="0" w:color="auto"/>
              <w:right w:val="single" w:sz="4" w:space="0" w:color="auto"/>
            </w:tcBorders>
          </w:tcPr>
          <w:p w14:paraId="6E13BF0A" w14:textId="77777777" w:rsidR="003114B2" w:rsidRPr="00E643CB" w:rsidRDefault="0019711B" w:rsidP="00532E7E">
            <w:pPr>
              <w:spacing w:after="120" w:line="276" w:lineRule="auto"/>
              <w:rPr>
                <w:rFonts w:ascii="Calibri" w:hAnsi="Calibri" w:cs="Calibri"/>
                <w:b/>
                <w:lang w:bidi="en-US"/>
              </w:rPr>
            </w:pPr>
            <w:r w:rsidRPr="00E643CB">
              <w:rPr>
                <w:rFonts w:ascii="Calibri" w:hAnsi="Calibri" w:cs="Calibri"/>
                <w:b/>
                <w:lang w:bidi="en-US"/>
              </w:rPr>
              <w:t>Rationale:</w:t>
            </w:r>
          </w:p>
          <w:p w14:paraId="1A656377" w14:textId="77777777" w:rsidR="0019711B" w:rsidRPr="00E643CB" w:rsidRDefault="0019711B" w:rsidP="00867893">
            <w:pPr>
              <w:pStyle w:val="ListParagraph"/>
              <w:numPr>
                <w:ilvl w:val="0"/>
                <w:numId w:val="23"/>
              </w:numPr>
              <w:spacing w:after="120" w:line="276" w:lineRule="auto"/>
              <w:contextualSpacing w:val="0"/>
              <w:rPr>
                <w:rFonts w:ascii="Calibri" w:hAnsi="Calibri" w:cs="Calibri"/>
                <w:lang w:bidi="en-US"/>
              </w:rPr>
            </w:pPr>
            <w:r w:rsidRPr="00E643CB">
              <w:rPr>
                <w:rFonts w:ascii="Calibri" w:hAnsi="Calibri" w:cs="Calibri"/>
                <w:lang w:bidi="en-US"/>
              </w:rPr>
              <w:t xml:space="preserve">The definition of Operating Cost requires that amounts recovered from associated enterprises (AEs) for expenses incurred on their behalf, which are related to the assessee’s regular operations, must be added back at cost. However, operating revenue does not currently include such recoveries. This leads to an increase in reported expenditure without acknowledging the recoveries already made from AEs. </w:t>
            </w:r>
          </w:p>
          <w:p w14:paraId="712D8150" w14:textId="547C3953" w:rsidR="0019711B" w:rsidRPr="00E643CB" w:rsidRDefault="0019711B" w:rsidP="00532E7E">
            <w:pPr>
              <w:spacing w:after="120" w:line="276" w:lineRule="auto"/>
              <w:rPr>
                <w:rFonts w:ascii="Calibri" w:hAnsi="Calibri" w:cs="Calibri"/>
                <w:b/>
                <w:lang w:bidi="en-US"/>
              </w:rPr>
            </w:pPr>
            <w:r w:rsidRPr="00E643CB">
              <w:rPr>
                <w:rFonts w:ascii="Calibri" w:hAnsi="Calibri" w:cs="Calibri"/>
                <w:b/>
                <w:lang w:bidi="en-US"/>
              </w:rPr>
              <w:t>Recommendation:</w:t>
            </w:r>
          </w:p>
          <w:p w14:paraId="45F6F032" w14:textId="141F935F" w:rsidR="003114B2" w:rsidRPr="00E643CB" w:rsidRDefault="0019711B" w:rsidP="00867893">
            <w:pPr>
              <w:pStyle w:val="ListParagraph"/>
              <w:numPr>
                <w:ilvl w:val="0"/>
                <w:numId w:val="23"/>
              </w:numPr>
              <w:spacing w:after="120" w:line="276" w:lineRule="auto"/>
              <w:contextualSpacing w:val="0"/>
              <w:rPr>
                <w:rFonts w:ascii="Calibri" w:hAnsi="Calibri" w:cs="Calibri"/>
                <w:lang w:bidi="en-US"/>
              </w:rPr>
            </w:pPr>
            <w:r w:rsidRPr="00E643CB">
              <w:rPr>
                <w:rFonts w:ascii="Calibri" w:hAnsi="Calibri" w:cs="Calibri"/>
                <w:lang w:bidi="en-US"/>
              </w:rPr>
              <w:t xml:space="preserve">It is recommended that recoveries of expenses from AEs, when incurred by the assessee at cost, should also be considered as part of operating revenue.  </w:t>
            </w:r>
          </w:p>
        </w:tc>
      </w:tr>
      <w:tr w:rsidR="003114B2" w:rsidRPr="00E643CB" w14:paraId="64F6951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F4ED2F5"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600366A" w14:textId="4975F97D" w:rsidR="003114B2" w:rsidRPr="0009782B" w:rsidRDefault="006E4E77" w:rsidP="00BD4879">
            <w:pPr>
              <w:spacing w:after="120" w:line="276" w:lineRule="auto"/>
              <w:jc w:val="both"/>
              <w:rPr>
                <w:rFonts w:ascii="Calibri" w:hAnsi="Calibri" w:cs="Calibri"/>
                <w:b/>
                <w:lang w:bidi="en-US"/>
              </w:rPr>
            </w:pPr>
            <w:r w:rsidRPr="0009782B">
              <w:rPr>
                <w:rFonts w:ascii="Calibri" w:hAnsi="Calibri" w:cs="Calibri"/>
                <w:b/>
                <w:lang w:bidi="en-US"/>
              </w:rPr>
              <w:t>Rule 10TB of IT Rules 1962</w:t>
            </w:r>
          </w:p>
          <w:p w14:paraId="5DFFB407" w14:textId="0AE05B81" w:rsidR="006E4E77" w:rsidRPr="0009782B" w:rsidRDefault="00392227"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16667B" w:rsidRPr="0009782B">
              <w:rPr>
                <w:rFonts w:ascii="Calibri" w:hAnsi="Calibri" w:cs="Calibri"/>
                <w:b/>
                <w:lang w:bidi="en-US"/>
              </w:rPr>
              <w:t>87 of Draft IT Rules 2026</w:t>
            </w:r>
          </w:p>
        </w:tc>
        <w:tc>
          <w:tcPr>
            <w:tcW w:w="10404" w:type="dxa"/>
            <w:tcBorders>
              <w:top w:val="single" w:sz="4" w:space="0" w:color="auto"/>
              <w:left w:val="single" w:sz="4" w:space="0" w:color="auto"/>
              <w:bottom w:val="single" w:sz="4" w:space="0" w:color="auto"/>
              <w:right w:val="single" w:sz="4" w:space="0" w:color="auto"/>
            </w:tcBorders>
          </w:tcPr>
          <w:p w14:paraId="07F3CC94" w14:textId="77777777" w:rsidR="005D488D" w:rsidRPr="00E643CB" w:rsidRDefault="00F51691" w:rsidP="00532E7E">
            <w:pPr>
              <w:spacing w:after="120" w:line="276" w:lineRule="auto"/>
              <w:rPr>
                <w:rFonts w:ascii="Calibri" w:hAnsi="Calibri" w:cs="Calibri"/>
                <w:b/>
                <w:lang w:bidi="en-US"/>
              </w:rPr>
            </w:pPr>
            <w:r w:rsidRPr="00E643CB">
              <w:rPr>
                <w:rFonts w:ascii="Calibri" w:hAnsi="Calibri" w:cs="Calibri"/>
                <w:b/>
                <w:lang w:bidi="en-US"/>
              </w:rPr>
              <w:t>Rationale</w:t>
            </w:r>
            <w:r w:rsidR="005D488D" w:rsidRPr="00E643CB">
              <w:rPr>
                <w:rFonts w:ascii="Calibri" w:hAnsi="Calibri" w:cs="Calibri"/>
                <w:b/>
                <w:lang w:bidi="en-US"/>
              </w:rPr>
              <w:t>:</w:t>
            </w:r>
          </w:p>
          <w:p w14:paraId="55603890" w14:textId="55B6F4A2" w:rsidR="00F51691" w:rsidRPr="00E643CB" w:rsidRDefault="005A056C" w:rsidP="00867893">
            <w:pPr>
              <w:pStyle w:val="ListParagraph"/>
              <w:numPr>
                <w:ilvl w:val="0"/>
                <w:numId w:val="23"/>
              </w:numPr>
              <w:spacing w:after="120" w:line="276" w:lineRule="auto"/>
              <w:contextualSpacing w:val="0"/>
              <w:rPr>
                <w:rFonts w:ascii="Calibri" w:hAnsi="Calibri" w:cs="Calibri"/>
                <w:lang w:bidi="en-US"/>
              </w:rPr>
            </w:pPr>
            <w:r w:rsidRPr="00E643CB">
              <w:rPr>
                <w:rFonts w:ascii="Calibri" w:hAnsi="Calibri" w:cs="Calibri"/>
                <w:lang w:bidi="en-US"/>
              </w:rPr>
              <w:t>Rule 87 for eligible assessee unclear on application of factors to ITES/IT services; the same looks to be drafted more for software development services.</w:t>
            </w:r>
            <w:r w:rsidR="002E3805" w:rsidRPr="00E643CB">
              <w:rPr>
                <w:rFonts w:ascii="Calibri" w:hAnsi="Calibri" w:cs="Calibri"/>
                <w:lang w:bidi="en-US"/>
              </w:rPr>
              <w:t xml:space="preserve"> </w:t>
            </w:r>
          </w:p>
          <w:p w14:paraId="29D45856" w14:textId="77777777" w:rsidR="005A056C" w:rsidRPr="00E643CB" w:rsidRDefault="00984586" w:rsidP="00867893">
            <w:pPr>
              <w:pStyle w:val="ListParagraph"/>
              <w:numPr>
                <w:ilvl w:val="0"/>
                <w:numId w:val="23"/>
              </w:numPr>
              <w:spacing w:after="120" w:line="276" w:lineRule="auto"/>
              <w:contextualSpacing w:val="0"/>
              <w:rPr>
                <w:rFonts w:ascii="Calibri" w:hAnsi="Calibri" w:cs="Calibri"/>
                <w:lang w:bidi="en-US"/>
              </w:rPr>
            </w:pPr>
            <w:r w:rsidRPr="00E643CB">
              <w:rPr>
                <w:rFonts w:ascii="Calibri" w:hAnsi="Calibri" w:cs="Calibri"/>
                <w:lang w:bidi="en-US"/>
              </w:rPr>
              <w:t>Rule 87(2)(a) provides that, to identify an eligible assessee with insignificant risk, the foreign principal must perform the majority of economically significant functions, including key activities such as conceptualisation, product design, and setting strategic direction and framework. According to industry feedback, it is often not feasible to assert that the entire product was developed or conceptualised solely by the principal foreign entity. Therefore, it is recommended that the product condition be removed or rationalised, as requiring evidence that a product was fully developed in one location is challenging and may create interpretational difficulties.</w:t>
            </w:r>
          </w:p>
          <w:p w14:paraId="507911A2" w14:textId="77777777" w:rsidR="00984586" w:rsidRPr="00E643CB" w:rsidRDefault="00984586" w:rsidP="00532E7E">
            <w:pPr>
              <w:spacing w:after="120" w:line="276" w:lineRule="auto"/>
              <w:rPr>
                <w:rFonts w:ascii="Calibri" w:hAnsi="Calibri" w:cs="Calibri"/>
                <w:b/>
                <w:lang w:bidi="en-US"/>
              </w:rPr>
            </w:pPr>
            <w:r w:rsidRPr="00E643CB">
              <w:rPr>
                <w:rFonts w:ascii="Calibri" w:hAnsi="Calibri" w:cs="Calibri"/>
                <w:b/>
                <w:lang w:bidi="en-US"/>
              </w:rPr>
              <w:t>Recommendation:</w:t>
            </w:r>
          </w:p>
          <w:p w14:paraId="53087EE5" w14:textId="77777777" w:rsidR="008C30A7" w:rsidRPr="00E643CB" w:rsidRDefault="008C30A7" w:rsidP="00867893">
            <w:pPr>
              <w:pStyle w:val="ListParagraph"/>
              <w:numPr>
                <w:ilvl w:val="0"/>
                <w:numId w:val="24"/>
              </w:numPr>
              <w:spacing w:after="120" w:line="276" w:lineRule="auto"/>
              <w:contextualSpacing w:val="0"/>
              <w:rPr>
                <w:rFonts w:ascii="Calibri" w:hAnsi="Calibri" w:cs="Calibri"/>
                <w:lang w:bidi="en-US"/>
              </w:rPr>
            </w:pPr>
            <w:r w:rsidRPr="00E643CB">
              <w:rPr>
                <w:rFonts w:ascii="Calibri" w:hAnsi="Calibri" w:cs="Calibri"/>
                <w:lang w:bidi="en-US"/>
              </w:rPr>
              <w:t>It is recommended to customise Rule 87 for ITES transactions.</w:t>
            </w:r>
          </w:p>
          <w:p w14:paraId="35AA6522" w14:textId="64532381" w:rsidR="00984586" w:rsidRPr="00E643CB" w:rsidRDefault="00D917BB" w:rsidP="00867893">
            <w:pPr>
              <w:pStyle w:val="ListParagraph"/>
              <w:numPr>
                <w:ilvl w:val="0"/>
                <w:numId w:val="24"/>
              </w:numPr>
              <w:spacing w:after="120" w:line="276" w:lineRule="auto"/>
              <w:contextualSpacing w:val="0"/>
              <w:rPr>
                <w:rFonts w:ascii="Calibri" w:hAnsi="Calibri" w:cs="Calibri"/>
                <w:lang w:bidi="en-US"/>
              </w:rPr>
            </w:pPr>
            <w:r w:rsidRPr="00E643CB">
              <w:rPr>
                <w:rFonts w:ascii="Calibri" w:hAnsi="Calibri" w:cs="Calibri"/>
                <w:lang w:bidi="en-US"/>
              </w:rPr>
              <w:t>It is recommended that the product condition be removed or rationalised, as requiring evidence that a product was fully developed in one location is challenging and may create interpretational difficulties.</w:t>
            </w:r>
          </w:p>
        </w:tc>
      </w:tr>
      <w:tr w:rsidR="003114B2" w:rsidRPr="00E643CB" w14:paraId="1084C8E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1DA1756"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EC953EF" w14:textId="77777777" w:rsidR="003114B2" w:rsidRPr="0009782B" w:rsidRDefault="00964AE6" w:rsidP="00BD4879">
            <w:pPr>
              <w:spacing w:after="120" w:line="276" w:lineRule="auto"/>
              <w:jc w:val="both"/>
              <w:rPr>
                <w:rFonts w:ascii="Calibri" w:hAnsi="Calibri" w:cs="Calibri"/>
                <w:b/>
                <w:lang w:bidi="en-US"/>
              </w:rPr>
            </w:pPr>
            <w:r w:rsidRPr="0009782B">
              <w:rPr>
                <w:rFonts w:ascii="Calibri" w:hAnsi="Calibri" w:cs="Calibri"/>
                <w:b/>
                <w:lang w:bidi="en-US"/>
              </w:rPr>
              <w:t>Safe Harbour Rules</w:t>
            </w:r>
          </w:p>
          <w:p w14:paraId="731CC8D4" w14:textId="77777777" w:rsidR="00B27F24" w:rsidRPr="0009782B" w:rsidRDefault="00434AB5" w:rsidP="00BD4879">
            <w:pPr>
              <w:spacing w:after="120" w:line="276" w:lineRule="auto"/>
              <w:jc w:val="both"/>
              <w:rPr>
                <w:rFonts w:ascii="Calibri" w:hAnsi="Calibri" w:cs="Calibri"/>
                <w:b/>
                <w:lang w:bidi="en-US"/>
              </w:rPr>
            </w:pPr>
            <w:r w:rsidRPr="0009782B">
              <w:rPr>
                <w:rFonts w:ascii="Calibri" w:hAnsi="Calibri" w:cs="Calibri"/>
                <w:b/>
                <w:lang w:bidi="en-US"/>
              </w:rPr>
              <w:t>Rule 10TD of IT Rules 1962</w:t>
            </w:r>
          </w:p>
          <w:p w14:paraId="26BDE2F5" w14:textId="019EBC37" w:rsidR="00434AB5" w:rsidRPr="0009782B" w:rsidRDefault="00EB55F3" w:rsidP="00BD4879">
            <w:pPr>
              <w:spacing w:after="120" w:line="276" w:lineRule="auto"/>
              <w:jc w:val="both"/>
              <w:rPr>
                <w:rFonts w:ascii="Calibri" w:hAnsi="Calibri" w:cs="Calibri"/>
                <w:b/>
                <w:lang w:bidi="en-US"/>
              </w:rPr>
            </w:pPr>
            <w:r w:rsidRPr="0009782B">
              <w:rPr>
                <w:rFonts w:ascii="Calibri" w:hAnsi="Calibri" w:cs="Calibri"/>
                <w:b/>
                <w:lang w:bidi="en-US"/>
              </w:rPr>
              <w:t>Rule 89 of Draft IT Rules 2026</w:t>
            </w:r>
          </w:p>
        </w:tc>
        <w:tc>
          <w:tcPr>
            <w:tcW w:w="10404" w:type="dxa"/>
            <w:tcBorders>
              <w:top w:val="single" w:sz="4" w:space="0" w:color="auto"/>
              <w:left w:val="single" w:sz="4" w:space="0" w:color="auto"/>
              <w:bottom w:val="single" w:sz="4" w:space="0" w:color="auto"/>
              <w:right w:val="single" w:sz="4" w:space="0" w:color="auto"/>
            </w:tcBorders>
          </w:tcPr>
          <w:p w14:paraId="5FEB2206" w14:textId="77777777" w:rsidR="003114B2" w:rsidRPr="00E643CB" w:rsidRDefault="005F35FC" w:rsidP="00532E7E">
            <w:pPr>
              <w:spacing w:after="120" w:line="276" w:lineRule="auto"/>
              <w:rPr>
                <w:rFonts w:ascii="Calibri" w:hAnsi="Calibri" w:cs="Calibri"/>
                <w:b/>
                <w:lang w:bidi="en-US"/>
              </w:rPr>
            </w:pPr>
            <w:r w:rsidRPr="00E643CB">
              <w:rPr>
                <w:rFonts w:ascii="Calibri" w:hAnsi="Calibri" w:cs="Calibri"/>
                <w:b/>
                <w:lang w:bidi="en-US"/>
              </w:rPr>
              <w:t>Rationale and Recommendation:</w:t>
            </w:r>
          </w:p>
          <w:p w14:paraId="061F98CC" w14:textId="77777777" w:rsidR="005F35FC" w:rsidRPr="00E643CB" w:rsidRDefault="00825657"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Currently, SHR rates have been prescribed for three years. To provide more certainty to taxpayers, and to facilitate opting SHR for five years, the rates mentioned in Rule 89(4) may be revised to a block period of five years, rather than the current three years. </w:t>
            </w:r>
            <w:r w:rsidR="00E03A4C" w:rsidRPr="00E643CB">
              <w:rPr>
                <w:rFonts w:ascii="Calibri" w:hAnsi="Calibri" w:cs="Calibri"/>
                <w:lang w:bidi="en-US"/>
              </w:rPr>
              <w:t>To provide more certainty to taxpayers, and to facilitate opting SHR for five years, the rates mentioned in Rule 89(4) may be revised to a block period of five years, rather than the current three years.</w:t>
            </w:r>
          </w:p>
          <w:p w14:paraId="37D4F53F" w14:textId="77777777" w:rsidR="00E03A4C" w:rsidRPr="00E643CB" w:rsidRDefault="00D8430C"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Rule 89(6) ends abruptly and needs correction. It is recommended to add "exercises his option for safe harbour in respect of such transaction." </w:t>
            </w:r>
            <w:r w:rsidR="00697EE7" w:rsidRPr="00E643CB">
              <w:rPr>
                <w:rFonts w:ascii="Calibri" w:hAnsi="Calibri" w:cs="Calibri"/>
                <w:lang w:bidi="en-US"/>
              </w:rPr>
              <w:t>It is recommended to add "exercises his option for safe harbour in respect of such transaction."</w:t>
            </w:r>
          </w:p>
          <w:p w14:paraId="10DBD20E" w14:textId="77777777" w:rsidR="00697EE7" w:rsidRPr="00E643CB" w:rsidRDefault="00BE2BE2"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Rule 89(6) stipulates that the assessee must comply with sections 171 and 172 concerning international transactions, regardless of the adoption of the safe harbour option. These requirements become redundant once SHR has been accepted. It is recommended that the requirements for Transfer Pricing Documentation and Form 48 filing be removed in safe harbour cases, particularly for information technology transactions, so as to alleviate compliance obligations for the assessee. Consequently, the requirement for mandatory submission of transfer pricing documentation to the TPO within ten days may also be considered for removal. </w:t>
            </w:r>
            <w:r w:rsidR="00512F3A" w:rsidRPr="00E643CB">
              <w:rPr>
                <w:rFonts w:ascii="Calibri" w:hAnsi="Calibri" w:cs="Calibri"/>
                <w:lang w:bidi="en-US"/>
              </w:rPr>
              <w:t>It is recommended that the requirements for Transfer Pricing Documentation, Form 48 filing and assessment be removed in safe harbour cases, particularly for information technology transactions, so as to alleviate compliance obligations for the assessee.</w:t>
            </w:r>
          </w:p>
          <w:p w14:paraId="4F45C34E" w14:textId="77777777" w:rsidR="001B0E6D" w:rsidRPr="00E643CB" w:rsidRDefault="00E7708F"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Rule 89(2)(1) stipulates that an eligible assessee providing information technology services must report an operating profit margin of at least 15.5% on operating expenses, provided the total operating revenue from these transactions during the tax year does not exceed ₹2,000 crores. Clarification is sought, whether the revenue threshold of less than INR 2,000 crores should be assessed solely in the initial tax year or in each of the five tax years for which the safe harbour provisions are applicable. </w:t>
            </w:r>
            <w:r w:rsidR="00D50CB0" w:rsidRPr="00E643CB">
              <w:rPr>
                <w:rFonts w:ascii="Calibri" w:hAnsi="Calibri" w:cs="Calibri"/>
                <w:lang w:bidi="en-US"/>
              </w:rPr>
              <w:t>Clarification is sought, whether the revenue threshold of less than INR 2,000 crores should be assessed solely in the initial tax year or in each of the five tax years for which the safe harbour provisions are applicable.</w:t>
            </w:r>
          </w:p>
          <w:p w14:paraId="6C25F1F4" w14:textId="77777777" w:rsidR="00D50CB0" w:rsidRPr="00E643CB" w:rsidRDefault="003143F7"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Rule 89(2)(1) stipulates that eligible assessees offering information technology services are required to maintain an operating profit margin of no less than 15.5% on their operating expenses, provided their total operating revenue from such transactions does not exceed ₹2,000 crores within the tax year. If this condition is to tested on year-on-year basis, then in the taxyear that the value of IT service transactions exceed this limit, the assessee will no longer be entitled to benefit from the safe harbour provisions. It is recommended that if, in a subsequent year within the five-year block period, the transaction value again falls within the prescribed threshold, the assessee should be permitted to avail the safe harbour regime. </w:t>
            </w:r>
            <w:r w:rsidR="00491B8C" w:rsidRPr="00E643CB">
              <w:rPr>
                <w:rFonts w:ascii="Calibri" w:hAnsi="Calibri" w:cs="Calibri"/>
                <w:lang w:bidi="en-US"/>
              </w:rPr>
              <w:t>It is recommended that if, in a subsequent year within the five-year block period, the transaction value again falls within the prescribed threshold, the assessee should be permitted to avail the safe harbour regime.</w:t>
            </w:r>
          </w:p>
          <w:p w14:paraId="5DB8AAFE" w14:textId="7A74F514" w:rsidR="00491B8C" w:rsidRPr="00E643CB" w:rsidRDefault="00DD3F9F" w:rsidP="00867893">
            <w:pPr>
              <w:pStyle w:val="ListParagraph"/>
              <w:numPr>
                <w:ilvl w:val="0"/>
                <w:numId w:val="25"/>
              </w:numPr>
              <w:spacing w:after="120" w:line="276" w:lineRule="auto"/>
              <w:contextualSpacing w:val="0"/>
              <w:rPr>
                <w:rFonts w:ascii="Calibri" w:hAnsi="Calibri" w:cs="Calibri"/>
                <w:lang w:bidi="en-US"/>
              </w:rPr>
            </w:pPr>
            <w:r w:rsidRPr="00E643CB">
              <w:rPr>
                <w:rFonts w:ascii="Calibri" w:hAnsi="Calibri" w:cs="Calibri"/>
                <w:lang w:bidi="en-US"/>
              </w:rPr>
              <w:t xml:space="preserve">For taxpayers with multiple business segments, they will need to carve out segments for eligible and non eligible businesses. it is recommended to provide clear guidance regarding the approach to segmentation for Safe Harbour purposes in order to avoid conflict. </w:t>
            </w:r>
          </w:p>
        </w:tc>
      </w:tr>
      <w:tr w:rsidR="003114B2" w:rsidRPr="00E643CB" w14:paraId="5F390B25"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9478B12"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49FDBAF" w14:textId="77777777" w:rsidR="003114B2" w:rsidRPr="0009782B" w:rsidRDefault="00B07B70" w:rsidP="00BD4879">
            <w:pPr>
              <w:spacing w:after="120" w:line="276" w:lineRule="auto"/>
              <w:jc w:val="both"/>
              <w:rPr>
                <w:rFonts w:ascii="Calibri" w:hAnsi="Calibri" w:cs="Calibri"/>
                <w:b/>
                <w:lang w:bidi="en-US"/>
              </w:rPr>
            </w:pPr>
            <w:r w:rsidRPr="0009782B">
              <w:rPr>
                <w:rFonts w:ascii="Calibri" w:hAnsi="Calibri" w:cs="Calibri"/>
                <w:b/>
                <w:lang w:bidi="en-US"/>
              </w:rPr>
              <w:t xml:space="preserve">Safe Harbour </w:t>
            </w:r>
            <w:r w:rsidR="004F32CE" w:rsidRPr="0009782B">
              <w:rPr>
                <w:rFonts w:ascii="Calibri" w:hAnsi="Calibri" w:cs="Calibri"/>
                <w:b/>
                <w:lang w:bidi="en-US"/>
              </w:rPr>
              <w:t>Rules</w:t>
            </w:r>
          </w:p>
          <w:p w14:paraId="6319F6D4" w14:textId="77777777" w:rsidR="00FD4F0A" w:rsidRPr="0009782B" w:rsidRDefault="00927E95" w:rsidP="00BD4879">
            <w:pPr>
              <w:spacing w:after="120" w:line="276" w:lineRule="auto"/>
              <w:jc w:val="both"/>
              <w:rPr>
                <w:rFonts w:ascii="Calibri" w:hAnsi="Calibri" w:cs="Calibri"/>
                <w:b/>
                <w:lang w:bidi="en-US"/>
              </w:rPr>
            </w:pPr>
            <w:r w:rsidRPr="0009782B">
              <w:rPr>
                <w:rFonts w:ascii="Calibri" w:hAnsi="Calibri" w:cs="Calibri"/>
                <w:b/>
                <w:lang w:bidi="en-US"/>
              </w:rPr>
              <w:t>Rule 10TE of IT Rules 1962</w:t>
            </w:r>
          </w:p>
          <w:p w14:paraId="08AEF401" w14:textId="230DBD79" w:rsidR="00927E95" w:rsidRPr="0009782B" w:rsidRDefault="00927E95" w:rsidP="00BD4879">
            <w:pPr>
              <w:spacing w:after="120" w:line="276" w:lineRule="auto"/>
              <w:jc w:val="both"/>
              <w:rPr>
                <w:rFonts w:ascii="Calibri" w:hAnsi="Calibri" w:cs="Calibri"/>
                <w:b/>
                <w:lang w:bidi="en-US"/>
              </w:rPr>
            </w:pPr>
            <w:r w:rsidRPr="0009782B">
              <w:rPr>
                <w:rFonts w:ascii="Calibri" w:hAnsi="Calibri" w:cs="Calibri"/>
                <w:b/>
                <w:lang w:bidi="en-US"/>
              </w:rPr>
              <w:t>Rule 90 and 91 of Draft IT Rules 2026</w:t>
            </w:r>
          </w:p>
        </w:tc>
        <w:tc>
          <w:tcPr>
            <w:tcW w:w="10404" w:type="dxa"/>
            <w:tcBorders>
              <w:top w:val="single" w:sz="4" w:space="0" w:color="auto"/>
              <w:left w:val="single" w:sz="4" w:space="0" w:color="auto"/>
              <w:bottom w:val="single" w:sz="4" w:space="0" w:color="auto"/>
              <w:right w:val="single" w:sz="4" w:space="0" w:color="auto"/>
            </w:tcBorders>
          </w:tcPr>
          <w:p w14:paraId="0D34377A" w14:textId="3D95C523" w:rsidR="003114B2" w:rsidRPr="00E643CB" w:rsidRDefault="00F50BBF" w:rsidP="00532E7E">
            <w:pPr>
              <w:spacing w:after="120" w:line="276" w:lineRule="auto"/>
              <w:rPr>
                <w:rFonts w:ascii="Calibri" w:hAnsi="Calibri" w:cs="Calibri"/>
                <w:b/>
                <w:lang w:bidi="en-US"/>
              </w:rPr>
            </w:pPr>
            <w:r w:rsidRPr="00E643CB">
              <w:rPr>
                <w:rFonts w:ascii="Calibri" w:hAnsi="Calibri" w:cs="Calibri"/>
                <w:b/>
                <w:lang w:bidi="en-US"/>
              </w:rPr>
              <w:t>Rationale</w:t>
            </w:r>
            <w:r w:rsidR="001D6032" w:rsidRPr="00E643CB">
              <w:rPr>
                <w:rFonts w:ascii="Calibri" w:hAnsi="Calibri" w:cs="Calibri"/>
                <w:b/>
                <w:lang w:bidi="en-US"/>
              </w:rPr>
              <w:t xml:space="preserve"> and Recommendation</w:t>
            </w:r>
            <w:r w:rsidRPr="00E643CB">
              <w:rPr>
                <w:rFonts w:ascii="Calibri" w:hAnsi="Calibri" w:cs="Calibri"/>
                <w:b/>
                <w:lang w:bidi="en-US"/>
              </w:rPr>
              <w:t>:</w:t>
            </w:r>
          </w:p>
          <w:p w14:paraId="44C78573" w14:textId="77777777" w:rsidR="00F50BBF" w:rsidRPr="00E643CB" w:rsidRDefault="00F50BBF"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Reference to TPO and consequent TP assessment is allowed for non-eligible transactions. However, this should not apply to closely linked transactions, whose costs and income are already accounted for in the SHR formula. Else, this shall lead to double taxation. Also, in the absence of such provision, the Taxpayers would continue to face burden of TP documentation and audits, despite opting for SHR</w:t>
            </w:r>
            <w:r w:rsidR="00E44D25" w:rsidRPr="00E643CB">
              <w:rPr>
                <w:rFonts w:ascii="Calibri" w:hAnsi="Calibri" w:cs="Calibri"/>
                <w:lang w:bidi="en-US"/>
              </w:rPr>
              <w:t xml:space="preserve">. </w:t>
            </w:r>
            <w:r w:rsidR="00E649AC" w:rsidRPr="00E643CB">
              <w:rPr>
                <w:rFonts w:ascii="Calibri" w:hAnsi="Calibri" w:cs="Calibri"/>
                <w:lang w:bidi="en-US"/>
              </w:rPr>
              <w:t>Closely linked transactions, whose costs and income are already accounted for in the SHR formula should be covered within SHR and not subject to separate documentation and assessment.</w:t>
            </w:r>
          </w:p>
          <w:p w14:paraId="75FEF1B2" w14:textId="77777777" w:rsidR="006C2D89" w:rsidRPr="00E643CB" w:rsidRDefault="006C2D89"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If the Assessing Officer affirms the validity of the option, it is recommended to incorporate a provision for formally notifying the assessee of this confirmation. Similar to acceptance specified in Rule 91(4).</w:t>
            </w:r>
          </w:p>
          <w:p w14:paraId="1DE94956" w14:textId="77777777" w:rsidR="006C2D89" w:rsidRPr="00E643CB" w:rsidRDefault="00E44804"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Rule 91(2) stipulates that, in order to exercise the safe harbour option, the assessee must submit Form No. 49, duly completed, to the Director General of Income-tax (Systems) at any time during the first of the five consecutive tax years for which the safe harbour option is intended, up to 30th June of the financial year immediately following the first tax year. As this option can be exercised at any point within the specified period, clarification is requested regarding whether the application may be submitted on the basis of projections.</w:t>
            </w:r>
          </w:p>
          <w:p w14:paraId="56141FF4" w14:textId="77777777" w:rsidR="006C2D89" w:rsidRPr="00E643CB" w:rsidRDefault="00503004"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Procedure talks about electronic verification of facts for determining eligible assessee and eligible transaction. Clarification regarding what this electronic process is and what information is required needs to be clarified. Same has been left to DGIT Systems.</w:t>
            </w:r>
          </w:p>
          <w:p w14:paraId="6E4D8CF5" w14:textId="77777777" w:rsidR="006C2D89" w:rsidRPr="00E643CB" w:rsidRDefault="00EB5324"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The FM’s speech suggests that the safe harbour is optional for five years, while Rule 91 indicates it is mandatory for five years. It is advised to revise the language to clearly state that the safe harbour option will remain available for a maximum of five consecutive tax years. However, the taxpayer can opt for a lesser period if deemed appropriate</w:t>
            </w:r>
          </w:p>
          <w:p w14:paraId="401AA860" w14:textId="77777777" w:rsidR="006C2D89" w:rsidRPr="00E643CB" w:rsidRDefault="00372A1B"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Rule 91 permits the application of safe harbour until 30 June of the following financial year for the first tax year. The taxpayer would need to complete audit of its books and also discuss shortfall of margins, if any with its AEs before opting for SHR. Collating and finalising this information within the prescribed timeframe can be onerous for taxpayers. Given that this deadline is relatively brief for this exercise, it is advisable to extend the due date for exercising the safe harbour option under Rule 91 from 30 June to 30 September of the tax year immediately succeeding the first tax year. This extension would provide the assessee with sufficient time to exercise this option. Additionally, in situations where the safe harbour option under Rule 91 is rejected, it is recommended that an additional period of two months be granted for compliance with sections 171 and 172.</w:t>
            </w:r>
          </w:p>
          <w:p w14:paraId="30FCADE1" w14:textId="77777777" w:rsidR="006C2D89" w:rsidRPr="00E643CB" w:rsidRDefault="00576719"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Rule 91 (6) stipulates that when a safe harbour option is electronically rejected, the assessee must be provided with the reasons for such rejection. Currently, there is no appeal mechanism available in the event of a safe harbour rejection. It is recommended that an appeal process be established to address instances where a safe harbour application is denied.</w:t>
            </w:r>
          </w:p>
          <w:p w14:paraId="20F66701" w14:textId="77777777" w:rsidR="006C2D89" w:rsidRPr="00E643CB" w:rsidRDefault="00FA382D"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Clarification is required on whether invoking Rule 91(8) (safe harbour withdrawal) permits the TPO to review completed safe harbour years within the framework of standard transfer pricing proceedings.</w:t>
            </w:r>
          </w:p>
          <w:p w14:paraId="12B3A6B7" w14:textId="77777777" w:rsidR="006C2D89" w:rsidRPr="00E643CB" w:rsidRDefault="003E35DF"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Subsection (10) requires assessee to submit a statement prior to filing their income tax return for each of the subsequent four consecutive tax years, outlining eligible transactions, their values, and associated profit margins. Clarification is sought as to whether factual verification will occur in the following years, and it is recommended that the Rules be amended to address this issue.</w:t>
            </w:r>
          </w:p>
          <w:p w14:paraId="3AD38243" w14:textId="71DD8020" w:rsidR="006C2D89" w:rsidRPr="00E643CB" w:rsidRDefault="00C64FAF" w:rsidP="00867893">
            <w:pPr>
              <w:pStyle w:val="ListParagraph"/>
              <w:numPr>
                <w:ilvl w:val="0"/>
                <w:numId w:val="26"/>
              </w:numPr>
              <w:spacing w:after="120" w:line="276" w:lineRule="auto"/>
              <w:contextualSpacing w:val="0"/>
              <w:rPr>
                <w:rFonts w:ascii="Calibri" w:hAnsi="Calibri" w:cs="Calibri"/>
                <w:lang w:bidi="en-US"/>
              </w:rPr>
            </w:pPr>
            <w:r w:rsidRPr="00E643CB">
              <w:rPr>
                <w:rFonts w:ascii="Calibri" w:hAnsi="Calibri" w:cs="Calibri"/>
                <w:lang w:bidi="en-US"/>
              </w:rPr>
              <w:t>Further guidance should be given on the time frame and proper procedure for submitting a withdrawal application for eligible transactions under Rule 91.</w:t>
            </w:r>
          </w:p>
        </w:tc>
      </w:tr>
      <w:tr w:rsidR="00EF6751" w:rsidRPr="00E643CB" w14:paraId="5B66B81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524F3BA" w14:textId="77777777" w:rsidR="00EF6751" w:rsidRPr="00E643CB" w:rsidRDefault="00EF6751"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CA31FA4" w14:textId="77777777" w:rsidR="00EF6751" w:rsidRPr="0009782B" w:rsidRDefault="004230B6" w:rsidP="00BD4879">
            <w:pPr>
              <w:spacing w:after="120" w:line="276" w:lineRule="auto"/>
              <w:jc w:val="both"/>
              <w:rPr>
                <w:rFonts w:ascii="Calibri" w:hAnsi="Calibri" w:cs="Calibri"/>
                <w:b/>
                <w:lang w:bidi="en-US"/>
              </w:rPr>
            </w:pPr>
            <w:r w:rsidRPr="0009782B">
              <w:rPr>
                <w:rFonts w:ascii="Calibri" w:hAnsi="Calibri" w:cs="Calibri"/>
                <w:b/>
                <w:lang w:bidi="en-US"/>
              </w:rPr>
              <w:t>Application of roll-back in cases where orders have been set aside by the Tribunal.</w:t>
            </w:r>
          </w:p>
          <w:p w14:paraId="142F2730" w14:textId="77777777" w:rsidR="004230B6" w:rsidRPr="0009782B" w:rsidRDefault="004230B6"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5647BD" w:rsidRPr="0009782B">
              <w:rPr>
                <w:rFonts w:ascii="Calibri" w:hAnsi="Calibri" w:cs="Calibri"/>
                <w:b/>
                <w:lang w:bidi="en-US"/>
              </w:rPr>
              <w:t>10MA of IT Rules 1962</w:t>
            </w:r>
          </w:p>
          <w:p w14:paraId="35A708CD" w14:textId="4DE68417" w:rsidR="005647BD" w:rsidRPr="0009782B" w:rsidRDefault="005647BD" w:rsidP="00BD4879">
            <w:pPr>
              <w:spacing w:after="120" w:line="276" w:lineRule="auto"/>
              <w:jc w:val="both"/>
              <w:rPr>
                <w:rFonts w:ascii="Calibri" w:hAnsi="Calibri" w:cs="Calibri"/>
                <w:b/>
                <w:lang w:bidi="en-US"/>
              </w:rPr>
            </w:pPr>
            <w:r w:rsidRPr="0009782B">
              <w:rPr>
                <w:rFonts w:ascii="Calibri" w:hAnsi="Calibri" w:cs="Calibri"/>
                <w:b/>
                <w:lang w:bidi="en-US"/>
              </w:rPr>
              <w:t>Rule</w:t>
            </w:r>
            <w:r w:rsidR="00BE47CA" w:rsidRPr="0009782B">
              <w:rPr>
                <w:rFonts w:ascii="Calibri" w:hAnsi="Calibri" w:cs="Calibri"/>
                <w:b/>
                <w:lang w:bidi="en-US"/>
              </w:rPr>
              <w:t xml:space="preserve"> 111</w:t>
            </w:r>
            <w:r w:rsidR="0002592C" w:rsidRPr="0009782B">
              <w:rPr>
                <w:rFonts w:ascii="Calibri" w:hAnsi="Calibri" w:cs="Calibri"/>
                <w:b/>
                <w:lang w:bidi="en-US"/>
              </w:rPr>
              <w:t xml:space="preserve"> of Draft IT Rules 2026</w:t>
            </w:r>
          </w:p>
        </w:tc>
        <w:tc>
          <w:tcPr>
            <w:tcW w:w="10404" w:type="dxa"/>
            <w:tcBorders>
              <w:top w:val="single" w:sz="4" w:space="0" w:color="auto"/>
              <w:left w:val="single" w:sz="4" w:space="0" w:color="auto"/>
              <w:bottom w:val="single" w:sz="4" w:space="0" w:color="auto"/>
              <w:right w:val="single" w:sz="4" w:space="0" w:color="auto"/>
            </w:tcBorders>
          </w:tcPr>
          <w:p w14:paraId="65ED0732" w14:textId="77777777" w:rsidR="00EF6751" w:rsidRPr="00E643CB" w:rsidRDefault="008C638B" w:rsidP="00532E7E">
            <w:pPr>
              <w:spacing w:after="120" w:line="276" w:lineRule="auto"/>
              <w:rPr>
                <w:rFonts w:ascii="Calibri" w:hAnsi="Calibri" w:cs="Calibri"/>
                <w:b/>
                <w:lang w:bidi="en-US"/>
              </w:rPr>
            </w:pPr>
            <w:r w:rsidRPr="00E643CB">
              <w:rPr>
                <w:rFonts w:ascii="Calibri" w:hAnsi="Calibri" w:cs="Calibri"/>
                <w:b/>
                <w:lang w:bidi="en-US"/>
              </w:rPr>
              <w:t>Rationale:</w:t>
            </w:r>
          </w:p>
          <w:p w14:paraId="1BF21B68" w14:textId="77777777" w:rsidR="008B56C5" w:rsidRPr="00E643CB" w:rsidRDefault="00DF1E94"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 xml:space="preserve">Rule 111(3)(i) states that the rollback provision cannot be used if the determination of the arm’s length price (ALP) for the relevant international transaction has already been appealed before the Tribunal, and the Tribunal has issued a final order on that appeal before the agreement was executed. </w:t>
            </w:r>
          </w:p>
          <w:p w14:paraId="5F5042CE" w14:textId="77DCA110" w:rsidR="008B56C5" w:rsidRPr="00E643CB" w:rsidRDefault="008B56C5"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 xml:space="preserve">However, </w:t>
            </w:r>
            <w:r w:rsidR="00435D50" w:rsidRPr="00E643CB">
              <w:rPr>
                <w:rFonts w:ascii="Calibri" w:hAnsi="Calibri" w:cs="Calibri"/>
                <w:bCs/>
                <w:lang w:bidi="en-US"/>
              </w:rPr>
              <w:t xml:space="preserve">there is no mention of a situation where </w:t>
            </w:r>
            <w:r w:rsidR="00006F7C" w:rsidRPr="00E643CB">
              <w:rPr>
                <w:rFonts w:ascii="Calibri" w:hAnsi="Calibri" w:cs="Calibri"/>
                <w:bCs/>
                <w:lang w:bidi="en-US"/>
              </w:rPr>
              <w:t>orders have been set aside by Tribunal.</w:t>
            </w:r>
          </w:p>
          <w:p w14:paraId="52F88F34" w14:textId="00EBD3A9" w:rsidR="00006F7C" w:rsidRPr="00E643CB" w:rsidRDefault="00006F7C" w:rsidP="00006F7C">
            <w:pPr>
              <w:spacing w:after="120" w:line="276" w:lineRule="auto"/>
              <w:rPr>
                <w:rFonts w:ascii="Calibri" w:hAnsi="Calibri" w:cs="Calibri"/>
                <w:b/>
                <w:lang w:bidi="en-US"/>
              </w:rPr>
            </w:pPr>
            <w:r w:rsidRPr="00E643CB">
              <w:rPr>
                <w:rFonts w:ascii="Calibri" w:hAnsi="Calibri" w:cs="Calibri"/>
                <w:b/>
                <w:lang w:bidi="en-US"/>
              </w:rPr>
              <w:t>Recommendation:</w:t>
            </w:r>
          </w:p>
          <w:p w14:paraId="64097F54" w14:textId="391BD1CB" w:rsidR="008C638B" w:rsidRPr="00E643CB" w:rsidRDefault="004230B6"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A clarification in the FAQ could address application of roll-back to cases where orders have been set aside by Tribunal.</w:t>
            </w:r>
          </w:p>
        </w:tc>
      </w:tr>
      <w:tr w:rsidR="003114B2" w:rsidRPr="00E643CB" w14:paraId="38142F5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9B3116B" w14:textId="77777777" w:rsidR="003114B2" w:rsidRPr="00E643CB" w:rsidRDefault="003114B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B24893F" w14:textId="77777777" w:rsidR="003114B2" w:rsidRPr="0009782B" w:rsidRDefault="00166822" w:rsidP="00BD4879">
            <w:pPr>
              <w:spacing w:after="120" w:line="276" w:lineRule="auto"/>
              <w:jc w:val="both"/>
              <w:rPr>
                <w:rFonts w:ascii="Calibri" w:hAnsi="Calibri" w:cs="Calibri"/>
                <w:b/>
                <w:lang w:bidi="en-US"/>
              </w:rPr>
            </w:pPr>
            <w:r w:rsidRPr="0009782B">
              <w:rPr>
                <w:rFonts w:ascii="Calibri" w:hAnsi="Calibri" w:cs="Calibri"/>
                <w:b/>
                <w:lang w:bidi="en-US"/>
              </w:rPr>
              <w:t xml:space="preserve">Copy of TPO’s </w:t>
            </w:r>
            <w:r w:rsidR="009E26EF" w:rsidRPr="0009782B">
              <w:rPr>
                <w:rFonts w:ascii="Calibri" w:hAnsi="Calibri" w:cs="Calibri"/>
                <w:b/>
                <w:lang w:bidi="en-US"/>
              </w:rPr>
              <w:t xml:space="preserve">ACR </w:t>
            </w:r>
            <w:r w:rsidR="0039597B" w:rsidRPr="0009782B">
              <w:rPr>
                <w:rFonts w:ascii="Calibri" w:hAnsi="Calibri" w:cs="Calibri"/>
                <w:b/>
                <w:lang w:bidi="en-US"/>
              </w:rPr>
              <w:t xml:space="preserve">audit report to be shared with </w:t>
            </w:r>
            <w:r w:rsidR="00266507" w:rsidRPr="0009782B">
              <w:rPr>
                <w:rFonts w:ascii="Calibri" w:hAnsi="Calibri" w:cs="Calibri"/>
                <w:b/>
                <w:lang w:bidi="en-US"/>
              </w:rPr>
              <w:t xml:space="preserve">the </w:t>
            </w:r>
            <w:r w:rsidR="0039597B" w:rsidRPr="0009782B">
              <w:rPr>
                <w:rFonts w:ascii="Calibri" w:hAnsi="Calibri" w:cs="Calibri"/>
                <w:b/>
                <w:lang w:bidi="en-US"/>
              </w:rPr>
              <w:t>assessee</w:t>
            </w:r>
          </w:p>
          <w:p w14:paraId="61280A24" w14:textId="77777777" w:rsidR="00266507" w:rsidRPr="0009782B" w:rsidRDefault="0050584D" w:rsidP="00BD4879">
            <w:pPr>
              <w:spacing w:after="120" w:line="276" w:lineRule="auto"/>
              <w:jc w:val="both"/>
              <w:rPr>
                <w:rFonts w:ascii="Calibri" w:hAnsi="Calibri" w:cs="Calibri"/>
                <w:b/>
                <w:lang w:bidi="en-US"/>
              </w:rPr>
            </w:pPr>
            <w:r w:rsidRPr="0009782B">
              <w:rPr>
                <w:rFonts w:ascii="Calibri" w:hAnsi="Calibri" w:cs="Calibri"/>
                <w:b/>
                <w:lang w:bidi="en-US"/>
              </w:rPr>
              <w:t>Rule 10P of IT Rules 1962</w:t>
            </w:r>
          </w:p>
          <w:p w14:paraId="55B00F56" w14:textId="635BCB36" w:rsidR="0050584D" w:rsidRPr="0009782B" w:rsidRDefault="00505BA5" w:rsidP="00BD4879">
            <w:pPr>
              <w:spacing w:after="120" w:line="276" w:lineRule="auto"/>
              <w:jc w:val="both"/>
              <w:rPr>
                <w:rFonts w:ascii="Calibri" w:hAnsi="Calibri" w:cs="Calibri"/>
                <w:b/>
                <w:lang w:bidi="en-US"/>
              </w:rPr>
            </w:pPr>
            <w:r w:rsidRPr="0009782B">
              <w:rPr>
                <w:rFonts w:ascii="Calibri" w:hAnsi="Calibri" w:cs="Calibri"/>
                <w:b/>
                <w:lang w:bidi="en-US"/>
              </w:rPr>
              <w:t>Rule 114 of Draft IT Rules 2026</w:t>
            </w:r>
          </w:p>
        </w:tc>
        <w:tc>
          <w:tcPr>
            <w:tcW w:w="10404" w:type="dxa"/>
            <w:tcBorders>
              <w:top w:val="single" w:sz="4" w:space="0" w:color="auto"/>
              <w:left w:val="single" w:sz="4" w:space="0" w:color="auto"/>
              <w:bottom w:val="single" w:sz="4" w:space="0" w:color="auto"/>
              <w:right w:val="single" w:sz="4" w:space="0" w:color="auto"/>
            </w:tcBorders>
          </w:tcPr>
          <w:p w14:paraId="3F6DAC1B" w14:textId="77777777" w:rsidR="003114B2" w:rsidRPr="00E643CB" w:rsidRDefault="006C3F0A" w:rsidP="00532E7E">
            <w:pPr>
              <w:spacing w:after="120" w:line="276" w:lineRule="auto"/>
              <w:rPr>
                <w:rFonts w:ascii="Calibri" w:hAnsi="Calibri" w:cs="Calibri"/>
                <w:b/>
                <w:lang w:bidi="en-US"/>
              </w:rPr>
            </w:pPr>
            <w:r w:rsidRPr="00E643CB">
              <w:rPr>
                <w:rFonts w:ascii="Calibri" w:hAnsi="Calibri" w:cs="Calibri"/>
                <w:b/>
                <w:lang w:bidi="en-US"/>
              </w:rPr>
              <w:t>Rationale:</w:t>
            </w:r>
          </w:p>
          <w:p w14:paraId="7BE17705" w14:textId="77777777" w:rsidR="004E374E" w:rsidRPr="00E643CB" w:rsidRDefault="006C3F0A"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 xml:space="preserve">Under Rule 114(3) the TPO shall submit the compliance audit report, for each year covered in the agreement, to the PCCIT (International Taxation) in case of unilateral agreement and to the CA of India, in case of bilateral or multilateral agreement, mentioning therein his findings as regards compliance by the assessee with terms of the agreement. </w:t>
            </w:r>
          </w:p>
          <w:p w14:paraId="7D144DA0" w14:textId="5396223F" w:rsidR="004E374E" w:rsidRPr="00E643CB" w:rsidRDefault="004E374E" w:rsidP="004E374E">
            <w:pPr>
              <w:spacing w:after="120" w:line="276" w:lineRule="auto"/>
              <w:rPr>
                <w:rFonts w:ascii="Calibri" w:hAnsi="Calibri" w:cs="Calibri"/>
                <w:b/>
                <w:lang w:bidi="en-US"/>
              </w:rPr>
            </w:pPr>
            <w:r w:rsidRPr="00E643CB">
              <w:rPr>
                <w:rFonts w:ascii="Calibri" w:hAnsi="Calibri" w:cs="Calibri"/>
                <w:b/>
                <w:lang w:bidi="en-US"/>
              </w:rPr>
              <w:t>Recommendation:</w:t>
            </w:r>
          </w:p>
          <w:p w14:paraId="5E492B6F" w14:textId="1B8593E5" w:rsidR="006C3F0A" w:rsidRPr="00E643CB" w:rsidRDefault="00EF7F6E"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It is recommended that a copy of TPO’s ACR audit report should also be shared with the assessee as confirmation of audit.</w:t>
            </w:r>
          </w:p>
        </w:tc>
      </w:tr>
      <w:tr w:rsidR="00B36025" w:rsidRPr="00E643CB" w14:paraId="598BC2A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FC39969" w14:textId="77777777" w:rsidR="00B36025" w:rsidRPr="00E643CB" w:rsidRDefault="00B3602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57F0548" w14:textId="77777777" w:rsidR="00B36025" w:rsidRPr="0009782B" w:rsidRDefault="00401998" w:rsidP="00BD4879">
            <w:pPr>
              <w:spacing w:after="120" w:line="276" w:lineRule="auto"/>
              <w:jc w:val="both"/>
              <w:rPr>
                <w:rFonts w:ascii="Calibri" w:hAnsi="Calibri" w:cs="Calibri"/>
                <w:b/>
                <w:lang w:bidi="en-US"/>
              </w:rPr>
            </w:pPr>
            <w:r w:rsidRPr="0009782B">
              <w:rPr>
                <w:rFonts w:ascii="Calibri" w:hAnsi="Calibri" w:cs="Calibri"/>
                <w:b/>
                <w:lang w:bidi="en-US"/>
              </w:rPr>
              <w:t>Clarification to be provided on treatment of penalties arising from issues resolved under MAP</w:t>
            </w:r>
          </w:p>
          <w:p w14:paraId="49D516C9" w14:textId="77777777" w:rsidR="00401998" w:rsidRPr="0009782B" w:rsidRDefault="005158A1" w:rsidP="00BD4879">
            <w:pPr>
              <w:spacing w:after="120" w:line="276" w:lineRule="auto"/>
              <w:jc w:val="both"/>
              <w:rPr>
                <w:rFonts w:ascii="Calibri" w:hAnsi="Calibri" w:cs="Calibri"/>
                <w:b/>
                <w:lang w:bidi="en-US"/>
              </w:rPr>
            </w:pPr>
            <w:r w:rsidRPr="0009782B">
              <w:rPr>
                <w:rFonts w:ascii="Calibri" w:hAnsi="Calibri" w:cs="Calibri"/>
                <w:b/>
                <w:lang w:bidi="en-US"/>
              </w:rPr>
              <w:t>Rule 44G of IT Rules 1962</w:t>
            </w:r>
          </w:p>
          <w:p w14:paraId="3DE133FA" w14:textId="51F8FAEB" w:rsidR="005158A1" w:rsidRPr="0009782B" w:rsidRDefault="00915115" w:rsidP="00BD4879">
            <w:pPr>
              <w:spacing w:after="120" w:line="276" w:lineRule="auto"/>
              <w:jc w:val="both"/>
              <w:rPr>
                <w:rFonts w:ascii="Calibri" w:hAnsi="Calibri" w:cs="Calibri"/>
                <w:b/>
                <w:lang w:bidi="en-US"/>
              </w:rPr>
            </w:pPr>
            <w:r w:rsidRPr="0009782B">
              <w:rPr>
                <w:rFonts w:ascii="Calibri" w:hAnsi="Calibri" w:cs="Calibri"/>
                <w:b/>
                <w:lang w:bidi="en-US"/>
              </w:rPr>
              <w:t>Rule 121 of Draft IT Rules 2026</w:t>
            </w:r>
          </w:p>
        </w:tc>
        <w:tc>
          <w:tcPr>
            <w:tcW w:w="10404" w:type="dxa"/>
            <w:tcBorders>
              <w:top w:val="single" w:sz="4" w:space="0" w:color="auto"/>
              <w:left w:val="single" w:sz="4" w:space="0" w:color="auto"/>
              <w:bottom w:val="single" w:sz="4" w:space="0" w:color="auto"/>
              <w:right w:val="single" w:sz="4" w:space="0" w:color="auto"/>
            </w:tcBorders>
          </w:tcPr>
          <w:p w14:paraId="7BED606F" w14:textId="77777777" w:rsidR="00B36025" w:rsidRPr="00E643CB" w:rsidRDefault="00B033C6" w:rsidP="00532E7E">
            <w:pPr>
              <w:spacing w:after="120" w:line="276" w:lineRule="auto"/>
              <w:rPr>
                <w:rFonts w:ascii="Calibri" w:hAnsi="Calibri" w:cs="Calibri"/>
                <w:b/>
                <w:lang w:bidi="en-US"/>
              </w:rPr>
            </w:pPr>
            <w:r w:rsidRPr="00E643CB">
              <w:rPr>
                <w:rFonts w:ascii="Calibri" w:hAnsi="Calibri" w:cs="Calibri"/>
                <w:b/>
                <w:lang w:bidi="en-US"/>
              </w:rPr>
              <w:t>Rationale:</w:t>
            </w:r>
          </w:p>
          <w:p w14:paraId="14ABF0A2" w14:textId="77777777" w:rsidR="001066F2" w:rsidRPr="00E643CB" w:rsidRDefault="00FF63E2"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 xml:space="preserve">As per Rule 121(13) the amount of tax, interest or penalty already determined shall be adjusted in accordance with the mutually agreeable resolution of the tax disputes on arrived at under sub-rule (4). </w:t>
            </w:r>
          </w:p>
          <w:p w14:paraId="37B02082" w14:textId="77777777" w:rsidR="00B033C6" w:rsidRPr="00E643CB" w:rsidRDefault="00273E83"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H</w:t>
            </w:r>
            <w:r w:rsidR="00913CC6" w:rsidRPr="00E643CB">
              <w:rPr>
                <w:rFonts w:ascii="Calibri" w:hAnsi="Calibri" w:cs="Calibri"/>
                <w:bCs/>
                <w:lang w:bidi="en-US"/>
              </w:rPr>
              <w:t>o</w:t>
            </w:r>
            <w:r w:rsidRPr="00E643CB">
              <w:rPr>
                <w:rFonts w:ascii="Calibri" w:hAnsi="Calibri" w:cs="Calibri"/>
                <w:bCs/>
                <w:lang w:bidi="en-US"/>
              </w:rPr>
              <w:t>we</w:t>
            </w:r>
            <w:r w:rsidR="00913CC6" w:rsidRPr="00E643CB">
              <w:rPr>
                <w:rFonts w:ascii="Calibri" w:hAnsi="Calibri" w:cs="Calibri"/>
                <w:bCs/>
                <w:lang w:bidi="en-US"/>
              </w:rPr>
              <w:t>ver, u</w:t>
            </w:r>
            <w:r w:rsidR="00FF63E2" w:rsidRPr="00E643CB">
              <w:rPr>
                <w:rFonts w:ascii="Calibri" w:hAnsi="Calibri" w:cs="Calibri"/>
                <w:bCs/>
                <w:lang w:bidi="en-US"/>
              </w:rPr>
              <w:t xml:space="preserve">nder the current practice, penalties do not form part of MAP negotiations. </w:t>
            </w:r>
          </w:p>
          <w:p w14:paraId="717C2BDE" w14:textId="2CD5604C" w:rsidR="00C83A57" w:rsidRPr="00E643CB" w:rsidRDefault="00C83A57" w:rsidP="00C83A57">
            <w:pPr>
              <w:spacing w:after="120" w:line="276" w:lineRule="auto"/>
              <w:rPr>
                <w:rFonts w:ascii="Calibri" w:hAnsi="Calibri" w:cs="Calibri"/>
                <w:b/>
                <w:lang w:bidi="en-US"/>
              </w:rPr>
            </w:pPr>
            <w:r w:rsidRPr="00E643CB">
              <w:rPr>
                <w:rFonts w:ascii="Calibri" w:hAnsi="Calibri" w:cs="Calibri"/>
                <w:b/>
                <w:lang w:bidi="en-US"/>
              </w:rPr>
              <w:t>Recommendation:</w:t>
            </w:r>
          </w:p>
          <w:p w14:paraId="0393D62A" w14:textId="05A4599A" w:rsidR="00C83A57" w:rsidRPr="00E643CB" w:rsidRDefault="00C83A57"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In this context, clarification is sought on how penalties arising from issues resolved under MAP are to be dealt with. It is recommended that explicit provisions be introduced to clearly address the treatment of penalties in cases concluded through MAP.</w:t>
            </w:r>
          </w:p>
        </w:tc>
      </w:tr>
      <w:tr w:rsidR="00B36025" w:rsidRPr="00E643CB" w14:paraId="757B09C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57B7E56" w14:textId="77777777" w:rsidR="00B36025" w:rsidRPr="00E643CB" w:rsidRDefault="00B3602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C04CFF3" w14:textId="77777777" w:rsidR="00B36025" w:rsidRPr="0009782B" w:rsidRDefault="00A440E4" w:rsidP="00BD4879">
            <w:pPr>
              <w:spacing w:after="120" w:line="276" w:lineRule="auto"/>
              <w:jc w:val="both"/>
              <w:rPr>
                <w:rFonts w:ascii="Calibri" w:hAnsi="Calibri" w:cs="Calibri"/>
                <w:b/>
                <w:lang w:bidi="en-US"/>
              </w:rPr>
            </w:pPr>
            <w:r w:rsidRPr="0009782B">
              <w:rPr>
                <w:rFonts w:ascii="Calibri" w:hAnsi="Calibri" w:cs="Calibri"/>
                <w:b/>
                <w:lang w:bidi="en-US"/>
              </w:rPr>
              <w:t xml:space="preserve">Amend rule </w:t>
            </w:r>
            <w:r w:rsidR="00382887" w:rsidRPr="0009782B">
              <w:rPr>
                <w:rFonts w:ascii="Calibri" w:hAnsi="Calibri" w:cs="Calibri"/>
                <w:b/>
                <w:lang w:bidi="en-US"/>
              </w:rPr>
              <w:t xml:space="preserve">121 to include that CIT(A) </w:t>
            </w:r>
            <w:r w:rsidR="004241FE" w:rsidRPr="0009782B">
              <w:rPr>
                <w:rFonts w:ascii="Calibri" w:hAnsi="Calibri" w:cs="Calibri"/>
                <w:b/>
                <w:lang w:bidi="en-US"/>
              </w:rPr>
              <w:t xml:space="preserve">to notify taxpayer regarding </w:t>
            </w:r>
            <w:r w:rsidR="00B16839" w:rsidRPr="0009782B">
              <w:rPr>
                <w:rFonts w:ascii="Calibri" w:hAnsi="Calibri" w:cs="Calibri"/>
                <w:b/>
                <w:lang w:bidi="en-US"/>
              </w:rPr>
              <w:t xml:space="preserve">acceptance of the withdrawal </w:t>
            </w:r>
            <w:r w:rsidR="0081412A" w:rsidRPr="0009782B">
              <w:rPr>
                <w:rFonts w:ascii="Calibri" w:hAnsi="Calibri" w:cs="Calibri"/>
                <w:b/>
                <w:lang w:bidi="en-US"/>
              </w:rPr>
              <w:t>of an appeal</w:t>
            </w:r>
          </w:p>
          <w:p w14:paraId="6B81545F" w14:textId="77777777" w:rsidR="00AA2CDE" w:rsidRPr="0009782B" w:rsidRDefault="00AA2CDE" w:rsidP="00BD4879">
            <w:pPr>
              <w:spacing w:after="120" w:line="276" w:lineRule="auto"/>
              <w:jc w:val="both"/>
              <w:rPr>
                <w:rFonts w:ascii="Calibri" w:hAnsi="Calibri" w:cs="Calibri"/>
                <w:b/>
                <w:lang w:bidi="en-US"/>
              </w:rPr>
            </w:pPr>
            <w:r w:rsidRPr="0009782B">
              <w:rPr>
                <w:rFonts w:ascii="Calibri" w:hAnsi="Calibri" w:cs="Calibri"/>
                <w:b/>
                <w:lang w:bidi="en-US"/>
              </w:rPr>
              <w:t>Rule 44G of IT Ru</w:t>
            </w:r>
            <w:r w:rsidR="00ED4F5C" w:rsidRPr="0009782B">
              <w:rPr>
                <w:rFonts w:ascii="Calibri" w:hAnsi="Calibri" w:cs="Calibri"/>
                <w:b/>
                <w:lang w:bidi="en-US"/>
              </w:rPr>
              <w:t>les 1962</w:t>
            </w:r>
          </w:p>
          <w:p w14:paraId="3DAA64A9" w14:textId="55CCE1E1" w:rsidR="00ED4F5C" w:rsidRPr="0009782B" w:rsidRDefault="00ED4F5C"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2226DD" w:rsidRPr="0009782B">
              <w:rPr>
                <w:rFonts w:ascii="Calibri" w:hAnsi="Calibri" w:cs="Calibri"/>
                <w:b/>
                <w:lang w:bidi="en-US"/>
              </w:rPr>
              <w:t>121 of Draft IT Rules 2026</w:t>
            </w:r>
          </w:p>
        </w:tc>
        <w:tc>
          <w:tcPr>
            <w:tcW w:w="10404" w:type="dxa"/>
            <w:tcBorders>
              <w:top w:val="single" w:sz="4" w:space="0" w:color="auto"/>
              <w:left w:val="single" w:sz="4" w:space="0" w:color="auto"/>
              <w:bottom w:val="single" w:sz="4" w:space="0" w:color="auto"/>
              <w:right w:val="single" w:sz="4" w:space="0" w:color="auto"/>
            </w:tcBorders>
          </w:tcPr>
          <w:p w14:paraId="63630EB6" w14:textId="77777777" w:rsidR="00B36025" w:rsidRPr="00E643CB" w:rsidRDefault="00C40719" w:rsidP="00532E7E">
            <w:pPr>
              <w:spacing w:after="120" w:line="276" w:lineRule="auto"/>
              <w:rPr>
                <w:rFonts w:ascii="Calibri" w:hAnsi="Calibri" w:cs="Calibri"/>
                <w:b/>
                <w:lang w:bidi="en-US"/>
              </w:rPr>
            </w:pPr>
            <w:r w:rsidRPr="00E643CB">
              <w:rPr>
                <w:rFonts w:ascii="Calibri" w:hAnsi="Calibri" w:cs="Calibri"/>
                <w:b/>
                <w:lang w:bidi="en-US"/>
              </w:rPr>
              <w:t>Rationale:</w:t>
            </w:r>
          </w:p>
          <w:p w14:paraId="1F1D231C" w14:textId="77777777" w:rsidR="00C40719" w:rsidRPr="00E643CB" w:rsidRDefault="00C40719"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 xml:space="preserve">Rule 121(8) stipulates that when an assessee accepts the resolution, they must also provide proof that their appeal has been withdrawn. As a result, the requirement for CIT(A)'s consent can be explicitly added to the Rules. </w:t>
            </w:r>
          </w:p>
          <w:p w14:paraId="7820241E" w14:textId="4921DBBC" w:rsidR="00C40719" w:rsidRPr="00E643CB" w:rsidRDefault="00C40719" w:rsidP="00D17EFE">
            <w:pPr>
              <w:pStyle w:val="ListParagraph"/>
              <w:numPr>
                <w:ilvl w:val="0"/>
                <w:numId w:val="29"/>
              </w:numPr>
              <w:spacing w:after="120" w:line="276" w:lineRule="auto"/>
              <w:contextualSpacing w:val="0"/>
              <w:rPr>
                <w:rFonts w:ascii="Calibri" w:hAnsi="Calibri" w:cs="Calibri"/>
                <w:bCs/>
                <w:lang w:bidi="en-US"/>
              </w:rPr>
            </w:pPr>
            <w:r w:rsidRPr="00E643CB">
              <w:rPr>
                <w:rFonts w:ascii="Calibri" w:hAnsi="Calibri" w:cs="Calibri"/>
                <w:bCs/>
                <w:lang w:bidi="en-US"/>
              </w:rPr>
              <w:t>The office memorandum dated 27 October 2025 directs the CIT(A) office to send a notification to the taxpayer confirming either the acceptance of the withdrawal of an appeal or the withdrawal of specific grounds of appeal</w:t>
            </w:r>
            <w:r w:rsidR="0099119F" w:rsidRPr="00E643CB">
              <w:rPr>
                <w:rFonts w:ascii="Calibri" w:hAnsi="Calibri" w:cs="Calibri"/>
                <w:bCs/>
                <w:lang w:bidi="en-US"/>
              </w:rPr>
              <w:t xml:space="preserve">. However, this </w:t>
            </w:r>
            <w:r w:rsidR="00BF7EEE" w:rsidRPr="00E643CB">
              <w:rPr>
                <w:rFonts w:ascii="Calibri" w:hAnsi="Calibri" w:cs="Calibri"/>
                <w:bCs/>
                <w:lang w:bidi="en-US"/>
              </w:rPr>
              <w:t>does</w:t>
            </w:r>
            <w:r w:rsidR="0099119F" w:rsidRPr="00E643CB">
              <w:rPr>
                <w:rFonts w:ascii="Calibri" w:hAnsi="Calibri" w:cs="Calibri"/>
                <w:bCs/>
                <w:lang w:bidi="en-US"/>
              </w:rPr>
              <w:t xml:space="preserve"> not form part of rules.</w:t>
            </w:r>
          </w:p>
          <w:p w14:paraId="7B726085" w14:textId="77777777" w:rsidR="0099119F" w:rsidRPr="00E643CB" w:rsidRDefault="0099119F" w:rsidP="0099119F">
            <w:pPr>
              <w:spacing w:after="120" w:line="276" w:lineRule="auto"/>
              <w:rPr>
                <w:rFonts w:ascii="Calibri" w:hAnsi="Calibri" w:cs="Calibri"/>
                <w:b/>
                <w:lang w:bidi="en-US"/>
              </w:rPr>
            </w:pPr>
            <w:r w:rsidRPr="00E643CB">
              <w:rPr>
                <w:rFonts w:ascii="Calibri" w:hAnsi="Calibri" w:cs="Calibri"/>
                <w:b/>
                <w:lang w:bidi="en-US"/>
              </w:rPr>
              <w:t>Recommendation:</w:t>
            </w:r>
          </w:p>
          <w:p w14:paraId="4CE482CE" w14:textId="417C6736" w:rsidR="0099119F" w:rsidRPr="00E643CB" w:rsidRDefault="0099119F"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For procedural consistency and clarity, it is recommended to amend the Rules to include the above.</w:t>
            </w:r>
          </w:p>
        </w:tc>
      </w:tr>
      <w:tr w:rsidR="0081412A" w:rsidRPr="00E643CB" w14:paraId="080EE1F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BB5A46C" w14:textId="77777777" w:rsidR="0081412A" w:rsidRPr="00E643CB" w:rsidRDefault="0081412A"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FDEA6D5" w14:textId="77777777" w:rsidR="0081412A" w:rsidRPr="0009782B" w:rsidRDefault="009B7259" w:rsidP="00BD4879">
            <w:pPr>
              <w:spacing w:after="120" w:line="276" w:lineRule="auto"/>
              <w:jc w:val="both"/>
              <w:rPr>
                <w:rFonts w:ascii="Calibri" w:hAnsi="Calibri" w:cs="Calibri"/>
                <w:b/>
                <w:lang w:bidi="en-US"/>
              </w:rPr>
            </w:pPr>
            <w:r w:rsidRPr="0009782B">
              <w:rPr>
                <w:rFonts w:ascii="Calibri" w:hAnsi="Calibri" w:cs="Calibri"/>
                <w:b/>
                <w:lang w:bidi="en-US"/>
              </w:rPr>
              <w:t xml:space="preserve">Clarification regarding </w:t>
            </w:r>
            <w:r w:rsidR="003529DF" w:rsidRPr="0009782B">
              <w:rPr>
                <w:rFonts w:ascii="Calibri" w:hAnsi="Calibri" w:cs="Calibri"/>
                <w:b/>
                <w:lang w:bidi="en-US"/>
              </w:rPr>
              <w:t xml:space="preserve">required with respect to </w:t>
            </w:r>
            <w:r w:rsidR="00643036" w:rsidRPr="0009782B">
              <w:rPr>
                <w:rFonts w:ascii="Calibri" w:hAnsi="Calibri" w:cs="Calibri"/>
                <w:b/>
                <w:lang w:bidi="en-US"/>
              </w:rPr>
              <w:t xml:space="preserve">conversion of BAPA or MAPA into UAPA, where </w:t>
            </w:r>
            <w:r w:rsidR="00D5475F" w:rsidRPr="0009782B">
              <w:rPr>
                <w:rFonts w:ascii="Calibri" w:hAnsi="Calibri" w:cs="Calibri"/>
                <w:b/>
                <w:lang w:bidi="en-US"/>
              </w:rPr>
              <w:t>no resolution is achieved</w:t>
            </w:r>
          </w:p>
          <w:p w14:paraId="06F06F46" w14:textId="77777777" w:rsidR="00A34D75" w:rsidRPr="0009782B" w:rsidRDefault="00816085" w:rsidP="00BD4879">
            <w:pPr>
              <w:spacing w:after="120" w:line="276" w:lineRule="auto"/>
              <w:jc w:val="both"/>
              <w:rPr>
                <w:rFonts w:ascii="Calibri" w:hAnsi="Calibri" w:cs="Calibri"/>
                <w:b/>
                <w:lang w:bidi="en-US"/>
              </w:rPr>
            </w:pPr>
            <w:r w:rsidRPr="0009782B">
              <w:rPr>
                <w:rFonts w:ascii="Calibri" w:hAnsi="Calibri" w:cs="Calibri"/>
                <w:b/>
                <w:lang w:bidi="en-US"/>
              </w:rPr>
              <w:t>Rule 44GA</w:t>
            </w:r>
            <w:r w:rsidR="00645FD8" w:rsidRPr="0009782B">
              <w:rPr>
                <w:rFonts w:ascii="Calibri" w:hAnsi="Calibri" w:cs="Calibri"/>
                <w:b/>
                <w:lang w:bidi="en-US"/>
              </w:rPr>
              <w:t xml:space="preserve"> of IT Rules 1962</w:t>
            </w:r>
          </w:p>
          <w:p w14:paraId="6271A7F0" w14:textId="7B7D6829" w:rsidR="00645FD8" w:rsidRPr="0009782B" w:rsidRDefault="002233A6" w:rsidP="00BD4879">
            <w:pPr>
              <w:spacing w:after="120" w:line="276" w:lineRule="auto"/>
              <w:jc w:val="both"/>
              <w:rPr>
                <w:rFonts w:ascii="Calibri" w:hAnsi="Calibri" w:cs="Calibri"/>
                <w:b/>
                <w:lang w:bidi="en-US"/>
              </w:rPr>
            </w:pPr>
            <w:r w:rsidRPr="0009782B">
              <w:rPr>
                <w:rFonts w:ascii="Calibri" w:hAnsi="Calibri" w:cs="Calibri"/>
                <w:b/>
                <w:lang w:bidi="en-US"/>
              </w:rPr>
              <w:t xml:space="preserve">Rule </w:t>
            </w:r>
            <w:r w:rsidR="008420F1" w:rsidRPr="0009782B">
              <w:rPr>
                <w:rFonts w:ascii="Calibri" w:hAnsi="Calibri" w:cs="Calibri"/>
                <w:b/>
                <w:lang w:bidi="en-US"/>
              </w:rPr>
              <w:t>122 of Draft IT Rules 2026</w:t>
            </w:r>
          </w:p>
        </w:tc>
        <w:tc>
          <w:tcPr>
            <w:tcW w:w="10404" w:type="dxa"/>
            <w:tcBorders>
              <w:top w:val="single" w:sz="4" w:space="0" w:color="auto"/>
              <w:left w:val="single" w:sz="4" w:space="0" w:color="auto"/>
              <w:bottom w:val="single" w:sz="4" w:space="0" w:color="auto"/>
              <w:right w:val="single" w:sz="4" w:space="0" w:color="auto"/>
            </w:tcBorders>
          </w:tcPr>
          <w:p w14:paraId="4C72BEFE" w14:textId="77777777" w:rsidR="0081412A" w:rsidRPr="00E643CB" w:rsidRDefault="00805B77" w:rsidP="00532E7E">
            <w:pPr>
              <w:spacing w:after="120" w:line="276" w:lineRule="auto"/>
              <w:rPr>
                <w:rFonts w:ascii="Calibri" w:hAnsi="Calibri" w:cs="Calibri"/>
                <w:b/>
                <w:lang w:bidi="en-US"/>
              </w:rPr>
            </w:pPr>
            <w:r w:rsidRPr="00E643CB">
              <w:rPr>
                <w:rFonts w:ascii="Calibri" w:hAnsi="Calibri" w:cs="Calibri"/>
                <w:b/>
                <w:lang w:bidi="en-US"/>
              </w:rPr>
              <w:t>Rationale:</w:t>
            </w:r>
          </w:p>
          <w:p w14:paraId="30CB5815" w14:textId="77777777" w:rsidR="009B7259" w:rsidRPr="00E643CB" w:rsidRDefault="00805B77"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 xml:space="preserve">Rule 122(9) states that if the applicant does not accept the agreement, they may: (a) continue the APA process without the benefit of the MAP, or (b) withdraw the application as per rule 107. </w:t>
            </w:r>
            <w:r w:rsidR="008D7033" w:rsidRPr="00E643CB">
              <w:rPr>
                <w:rFonts w:ascii="Calibri" w:hAnsi="Calibri" w:cs="Calibri"/>
                <w:bCs/>
                <w:lang w:bidi="en-US"/>
              </w:rPr>
              <w:t>A</w:t>
            </w:r>
            <w:r w:rsidRPr="00E643CB">
              <w:rPr>
                <w:rFonts w:ascii="Calibri" w:hAnsi="Calibri" w:cs="Calibri"/>
                <w:bCs/>
                <w:lang w:bidi="en-US"/>
              </w:rPr>
              <w:t xml:space="preserve">s per this provision, BAPA or MAPA may be converted to UAPA if no resolution is achieved. </w:t>
            </w:r>
          </w:p>
          <w:p w14:paraId="64DEE57E" w14:textId="2E806A76" w:rsidR="009B7259" w:rsidRPr="00E643CB" w:rsidRDefault="009B7259" w:rsidP="009B7259">
            <w:pPr>
              <w:spacing w:after="120" w:line="276" w:lineRule="auto"/>
              <w:rPr>
                <w:rFonts w:ascii="Calibri" w:hAnsi="Calibri" w:cs="Calibri"/>
                <w:b/>
                <w:lang w:bidi="en-US"/>
              </w:rPr>
            </w:pPr>
            <w:r w:rsidRPr="00E643CB">
              <w:rPr>
                <w:rFonts w:ascii="Calibri" w:hAnsi="Calibri" w:cs="Calibri"/>
                <w:b/>
                <w:lang w:bidi="en-US"/>
              </w:rPr>
              <w:t>Recommendation:</w:t>
            </w:r>
          </w:p>
          <w:p w14:paraId="3D4480D3" w14:textId="3A8C3B4A" w:rsidR="00805B77" w:rsidRPr="00E643CB" w:rsidRDefault="00805B77"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Further clarification/process in this regard is required</w:t>
            </w:r>
            <w:r w:rsidR="00C04575" w:rsidRPr="00E643CB">
              <w:rPr>
                <w:rFonts w:ascii="Calibri" w:hAnsi="Calibri" w:cs="Calibri"/>
                <w:bCs/>
                <w:lang w:bidi="en-US"/>
              </w:rPr>
              <w:t>.</w:t>
            </w:r>
          </w:p>
        </w:tc>
      </w:tr>
      <w:tr w:rsidR="0081412A" w:rsidRPr="00E643CB" w14:paraId="749CEFB5"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3782897" w14:textId="77777777" w:rsidR="0081412A" w:rsidRPr="00E643CB" w:rsidRDefault="0081412A"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EC9ED81" w14:textId="77777777" w:rsidR="0081412A" w:rsidRPr="0009782B" w:rsidRDefault="00211D38" w:rsidP="00BD4879">
            <w:pPr>
              <w:spacing w:after="120" w:line="276" w:lineRule="auto"/>
              <w:jc w:val="both"/>
              <w:rPr>
                <w:rFonts w:ascii="Calibri" w:hAnsi="Calibri" w:cs="Calibri"/>
                <w:b/>
                <w:lang w:bidi="en-US"/>
              </w:rPr>
            </w:pPr>
            <w:r w:rsidRPr="0009782B">
              <w:rPr>
                <w:rFonts w:ascii="Calibri" w:hAnsi="Calibri" w:cs="Calibri"/>
                <w:b/>
                <w:lang w:bidi="en-US"/>
              </w:rPr>
              <w:t>Ease TP documentation in case</w:t>
            </w:r>
            <w:r w:rsidR="00326A30" w:rsidRPr="0009782B">
              <w:rPr>
                <w:rFonts w:ascii="Calibri" w:hAnsi="Calibri" w:cs="Calibri"/>
                <w:b/>
                <w:lang w:bidi="en-US"/>
              </w:rPr>
              <w:t>s where APA is signed</w:t>
            </w:r>
          </w:p>
          <w:p w14:paraId="29CD75D8" w14:textId="77777777" w:rsidR="00326A30" w:rsidRPr="0009782B" w:rsidRDefault="00326A30" w:rsidP="00326A30">
            <w:pPr>
              <w:spacing w:after="120" w:line="276" w:lineRule="auto"/>
              <w:jc w:val="both"/>
              <w:rPr>
                <w:rFonts w:ascii="Calibri" w:hAnsi="Calibri" w:cs="Calibri"/>
                <w:b/>
                <w:lang w:bidi="en-US"/>
              </w:rPr>
            </w:pPr>
            <w:r w:rsidRPr="0009782B">
              <w:rPr>
                <w:rFonts w:ascii="Calibri" w:hAnsi="Calibri" w:cs="Calibri"/>
                <w:b/>
                <w:lang w:bidi="en-US"/>
              </w:rPr>
              <w:t>Rule 44GA of IT Rules 1962</w:t>
            </w:r>
          </w:p>
          <w:p w14:paraId="63BA2C5A" w14:textId="4A2EB423" w:rsidR="00326A30" w:rsidRPr="0009782B" w:rsidRDefault="00326A30" w:rsidP="00326A30">
            <w:pPr>
              <w:spacing w:after="120" w:line="276" w:lineRule="auto"/>
              <w:jc w:val="both"/>
              <w:rPr>
                <w:rFonts w:ascii="Calibri" w:hAnsi="Calibri" w:cs="Calibri"/>
                <w:b/>
                <w:lang w:bidi="en-US"/>
              </w:rPr>
            </w:pPr>
            <w:r w:rsidRPr="0009782B">
              <w:rPr>
                <w:rFonts w:ascii="Calibri" w:hAnsi="Calibri" w:cs="Calibri"/>
                <w:b/>
                <w:lang w:bidi="en-US"/>
              </w:rPr>
              <w:t>Rule 122 of Draft IT Rules 2026</w:t>
            </w:r>
          </w:p>
        </w:tc>
        <w:tc>
          <w:tcPr>
            <w:tcW w:w="10404" w:type="dxa"/>
            <w:tcBorders>
              <w:top w:val="single" w:sz="4" w:space="0" w:color="auto"/>
              <w:left w:val="single" w:sz="4" w:space="0" w:color="auto"/>
              <w:bottom w:val="single" w:sz="4" w:space="0" w:color="auto"/>
              <w:right w:val="single" w:sz="4" w:space="0" w:color="auto"/>
            </w:tcBorders>
          </w:tcPr>
          <w:p w14:paraId="2F941636" w14:textId="3540192A" w:rsidR="0081412A" w:rsidRPr="00E643CB" w:rsidRDefault="00CE71BA" w:rsidP="00532E7E">
            <w:pPr>
              <w:spacing w:after="120" w:line="276" w:lineRule="auto"/>
              <w:rPr>
                <w:rFonts w:ascii="Calibri" w:hAnsi="Calibri" w:cs="Calibri"/>
                <w:b/>
                <w:lang w:bidi="en-US"/>
              </w:rPr>
            </w:pPr>
            <w:r w:rsidRPr="00E643CB">
              <w:rPr>
                <w:rFonts w:ascii="Calibri" w:hAnsi="Calibri" w:cs="Calibri"/>
                <w:b/>
                <w:lang w:bidi="en-US"/>
              </w:rPr>
              <w:t>Rationale</w:t>
            </w:r>
            <w:r w:rsidR="00197D4A" w:rsidRPr="00E643CB">
              <w:rPr>
                <w:rFonts w:ascii="Calibri" w:hAnsi="Calibri" w:cs="Calibri"/>
                <w:b/>
                <w:lang w:bidi="en-US"/>
              </w:rPr>
              <w:t xml:space="preserve"> and Recommendation</w:t>
            </w:r>
            <w:r w:rsidRPr="00E643CB">
              <w:rPr>
                <w:rFonts w:ascii="Calibri" w:hAnsi="Calibri" w:cs="Calibri"/>
                <w:b/>
                <w:lang w:bidi="en-US"/>
              </w:rPr>
              <w:t>:</w:t>
            </w:r>
          </w:p>
          <w:p w14:paraId="0DC50B5E" w14:textId="1121315E" w:rsidR="00197D4A" w:rsidRPr="00E643CB" w:rsidRDefault="00031BA6"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It is recommended that the requirements for Transfer Pricing Documentation and Form 48 filing be eased in cases where APA is signed.</w:t>
            </w:r>
          </w:p>
          <w:p w14:paraId="78447081" w14:textId="77777777" w:rsidR="00CE71BA" w:rsidRPr="00E643CB" w:rsidRDefault="00CE71BA" w:rsidP="00532E7E">
            <w:pPr>
              <w:spacing w:after="120" w:line="276" w:lineRule="auto"/>
              <w:rPr>
                <w:rFonts w:ascii="Calibri" w:hAnsi="Calibri" w:cs="Calibri"/>
                <w:b/>
                <w:lang w:bidi="en-US"/>
              </w:rPr>
            </w:pPr>
          </w:p>
        </w:tc>
      </w:tr>
      <w:tr w:rsidR="0081412A" w:rsidRPr="00E643CB" w14:paraId="016B202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D86F6B5" w14:textId="77777777" w:rsidR="0081412A" w:rsidRPr="00E643CB" w:rsidRDefault="0081412A"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039CB89" w14:textId="144202DD" w:rsidR="0081412A" w:rsidRPr="0009782B" w:rsidRDefault="00851FF7" w:rsidP="00BD4879">
            <w:pPr>
              <w:spacing w:after="120" w:line="276" w:lineRule="auto"/>
              <w:jc w:val="both"/>
              <w:rPr>
                <w:rFonts w:ascii="Calibri" w:hAnsi="Calibri" w:cs="Calibri"/>
                <w:b/>
                <w:lang w:bidi="en-US"/>
              </w:rPr>
            </w:pPr>
            <w:r w:rsidRPr="0009782B">
              <w:rPr>
                <w:rFonts w:ascii="Calibri" w:hAnsi="Calibri" w:cs="Calibri"/>
                <w:b/>
                <w:lang w:bidi="en-US"/>
              </w:rPr>
              <w:t>Rule 10DA of IT Rules 1962</w:t>
            </w:r>
          </w:p>
          <w:p w14:paraId="2DB359B1" w14:textId="3F244571" w:rsidR="00851FF7" w:rsidRPr="0009782B" w:rsidRDefault="00E06E1C" w:rsidP="00BD4879">
            <w:pPr>
              <w:spacing w:after="120" w:line="276" w:lineRule="auto"/>
              <w:jc w:val="both"/>
              <w:rPr>
                <w:rFonts w:ascii="Calibri" w:hAnsi="Calibri" w:cs="Calibri"/>
                <w:b/>
                <w:lang w:bidi="en-US"/>
              </w:rPr>
            </w:pPr>
            <w:r w:rsidRPr="0009782B">
              <w:rPr>
                <w:rFonts w:ascii="Calibri" w:hAnsi="Calibri" w:cs="Calibri"/>
                <w:b/>
                <w:lang w:bidi="en-US"/>
              </w:rPr>
              <w:t>Rule 123 of Draft IT Rules 2026</w:t>
            </w:r>
          </w:p>
        </w:tc>
        <w:tc>
          <w:tcPr>
            <w:tcW w:w="10404" w:type="dxa"/>
            <w:tcBorders>
              <w:top w:val="single" w:sz="4" w:space="0" w:color="auto"/>
              <w:left w:val="single" w:sz="4" w:space="0" w:color="auto"/>
              <w:bottom w:val="single" w:sz="4" w:space="0" w:color="auto"/>
              <w:right w:val="single" w:sz="4" w:space="0" w:color="auto"/>
            </w:tcBorders>
          </w:tcPr>
          <w:p w14:paraId="08FF2AB7" w14:textId="77777777" w:rsidR="0081412A" w:rsidRPr="00E643CB" w:rsidRDefault="009C2F2A" w:rsidP="00532E7E">
            <w:pPr>
              <w:spacing w:after="120" w:line="276" w:lineRule="auto"/>
              <w:rPr>
                <w:rFonts w:ascii="Calibri" w:hAnsi="Calibri" w:cs="Calibri"/>
                <w:b/>
                <w:lang w:bidi="en-US"/>
              </w:rPr>
            </w:pPr>
            <w:r w:rsidRPr="00E643CB">
              <w:rPr>
                <w:rFonts w:ascii="Calibri" w:hAnsi="Calibri" w:cs="Calibri"/>
                <w:b/>
                <w:lang w:bidi="en-US"/>
              </w:rPr>
              <w:t>Rationale and Recommendation:</w:t>
            </w:r>
          </w:p>
          <w:p w14:paraId="5484B045" w14:textId="14B6E67E" w:rsidR="009C2F2A" w:rsidRPr="00E643CB" w:rsidRDefault="009C2F2A"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Rule 123(3) should be amended to apply only to the constituent entit</w:t>
            </w:r>
            <w:r w:rsidR="00462130" w:rsidRPr="00E643CB">
              <w:rPr>
                <w:rFonts w:ascii="Calibri" w:hAnsi="Calibri" w:cs="Calibri"/>
                <w:bCs/>
                <w:lang w:bidi="en-US"/>
              </w:rPr>
              <w:t>i</w:t>
            </w:r>
            <w:r w:rsidRPr="00E643CB">
              <w:rPr>
                <w:rFonts w:ascii="Calibri" w:hAnsi="Calibri" w:cs="Calibri"/>
                <w:bCs/>
                <w:lang w:bidi="en-US"/>
              </w:rPr>
              <w:t>es that have entered into international transactions to furnish Part A of Form No. 56</w:t>
            </w:r>
          </w:p>
        </w:tc>
      </w:tr>
      <w:tr w:rsidR="00EE4945" w:rsidRPr="00E643CB" w14:paraId="717415F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A4E3317" w14:textId="77777777" w:rsidR="00EE4945" w:rsidRPr="00E643CB" w:rsidRDefault="00EE494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A40F14A" w14:textId="77777777" w:rsidR="00EE4945" w:rsidRPr="0009782B" w:rsidRDefault="00A44D6F" w:rsidP="00BD4879">
            <w:pPr>
              <w:spacing w:after="120" w:line="276" w:lineRule="auto"/>
              <w:jc w:val="both"/>
              <w:rPr>
                <w:rFonts w:ascii="Calibri" w:hAnsi="Calibri" w:cs="Calibri"/>
                <w:b/>
                <w:lang w:bidi="en-US"/>
              </w:rPr>
            </w:pPr>
            <w:r w:rsidRPr="0009782B">
              <w:rPr>
                <w:rFonts w:ascii="Calibri" w:hAnsi="Calibri" w:cs="Calibri"/>
                <w:b/>
                <w:lang w:bidi="en-US"/>
              </w:rPr>
              <w:t>Modes of payment for the purpose of section 269SU of ITA 1961</w:t>
            </w:r>
            <w:r w:rsidR="00A318FB" w:rsidRPr="0009782B">
              <w:rPr>
                <w:rFonts w:ascii="Calibri" w:hAnsi="Calibri" w:cs="Calibri"/>
                <w:b/>
                <w:lang w:bidi="en-US"/>
              </w:rPr>
              <w:t xml:space="preserve"> (</w:t>
            </w:r>
            <w:r w:rsidR="008128B4" w:rsidRPr="0009782B">
              <w:rPr>
                <w:rFonts w:ascii="Calibri" w:hAnsi="Calibri" w:cs="Calibri"/>
                <w:b/>
                <w:lang w:bidi="en-US"/>
              </w:rPr>
              <w:t>S. 197 of ITA 2025)</w:t>
            </w:r>
          </w:p>
          <w:p w14:paraId="150ACFE7" w14:textId="7594AFB0" w:rsidR="008128B4" w:rsidRPr="0009782B" w:rsidRDefault="006C4898" w:rsidP="00BD4879">
            <w:pPr>
              <w:spacing w:after="120" w:line="276" w:lineRule="auto"/>
              <w:jc w:val="both"/>
              <w:rPr>
                <w:rFonts w:ascii="Calibri" w:hAnsi="Calibri" w:cs="Calibri"/>
                <w:b/>
                <w:lang w:bidi="en-US"/>
              </w:rPr>
            </w:pPr>
            <w:r w:rsidRPr="0009782B">
              <w:rPr>
                <w:rFonts w:ascii="Calibri" w:hAnsi="Calibri" w:cs="Calibri"/>
                <w:b/>
                <w:lang w:bidi="en-US"/>
              </w:rPr>
              <w:t>Rule 1</w:t>
            </w:r>
            <w:r w:rsidR="0032518F" w:rsidRPr="0009782B">
              <w:rPr>
                <w:rFonts w:ascii="Calibri" w:hAnsi="Calibri" w:cs="Calibri"/>
                <w:b/>
                <w:lang w:bidi="en-US"/>
              </w:rPr>
              <w:t>19AA of IT Rules 1962 (</w:t>
            </w:r>
            <w:r w:rsidR="00A57BC4" w:rsidRPr="0009782B">
              <w:rPr>
                <w:rFonts w:ascii="Calibri" w:hAnsi="Calibri" w:cs="Calibri"/>
                <w:b/>
                <w:lang w:bidi="en-US"/>
              </w:rPr>
              <w:t>Rule 133 of Draft IT Rules 2026)</w:t>
            </w:r>
          </w:p>
        </w:tc>
        <w:tc>
          <w:tcPr>
            <w:tcW w:w="10404" w:type="dxa"/>
            <w:tcBorders>
              <w:top w:val="single" w:sz="4" w:space="0" w:color="auto"/>
              <w:left w:val="single" w:sz="4" w:space="0" w:color="auto"/>
              <w:bottom w:val="single" w:sz="4" w:space="0" w:color="auto"/>
              <w:right w:val="single" w:sz="4" w:space="0" w:color="auto"/>
            </w:tcBorders>
          </w:tcPr>
          <w:p w14:paraId="60490C1C" w14:textId="77777777" w:rsidR="00EE4945" w:rsidRPr="00E643CB" w:rsidRDefault="0006065B" w:rsidP="00532E7E">
            <w:pPr>
              <w:spacing w:after="120" w:line="276" w:lineRule="auto"/>
              <w:rPr>
                <w:rFonts w:ascii="Calibri" w:hAnsi="Calibri" w:cs="Calibri"/>
                <w:b/>
                <w:lang w:bidi="en-US"/>
              </w:rPr>
            </w:pPr>
            <w:r w:rsidRPr="00E643CB">
              <w:rPr>
                <w:rFonts w:ascii="Calibri" w:hAnsi="Calibri" w:cs="Calibri"/>
                <w:b/>
                <w:lang w:bidi="en-US"/>
              </w:rPr>
              <w:t>Rationale:</w:t>
            </w:r>
          </w:p>
          <w:p w14:paraId="479ACAAB" w14:textId="7BBD99AC" w:rsidR="0006065B" w:rsidRPr="00E643CB" w:rsidRDefault="0006065B"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 xml:space="preserve">Rule 133 (2025) expands the mandate of Rule 119AA (1962) by: </w:t>
            </w:r>
          </w:p>
          <w:p w14:paraId="185DD5AC" w14:textId="77777777" w:rsidR="0006065B" w:rsidRPr="00E643CB" w:rsidRDefault="0006065B" w:rsidP="00D17EFE">
            <w:pPr>
              <w:pStyle w:val="ListParagraph"/>
              <w:spacing w:after="120" w:line="276" w:lineRule="auto"/>
              <w:contextualSpacing w:val="0"/>
              <w:rPr>
                <w:rFonts w:ascii="Calibri" w:hAnsi="Calibri" w:cs="Calibri"/>
                <w:bCs/>
                <w:lang w:bidi="en-US"/>
              </w:rPr>
            </w:pPr>
            <w:r w:rsidRPr="00E643CB">
              <w:rPr>
                <w:rFonts w:ascii="Calibri" w:hAnsi="Calibri" w:cs="Calibri"/>
                <w:bCs/>
                <w:lang w:bidi="en-US"/>
              </w:rPr>
              <w:t>(a) covering both business and profession (earlier only business was covered)</w:t>
            </w:r>
          </w:p>
          <w:p w14:paraId="210362CF" w14:textId="5CA9B6CB" w:rsidR="0006065B" w:rsidRPr="00E643CB" w:rsidRDefault="0006065B" w:rsidP="00D17EFE">
            <w:pPr>
              <w:pStyle w:val="ListParagraph"/>
              <w:spacing w:after="120" w:line="276" w:lineRule="auto"/>
              <w:contextualSpacing w:val="0"/>
              <w:rPr>
                <w:rFonts w:ascii="Calibri" w:hAnsi="Calibri" w:cs="Calibri"/>
                <w:bCs/>
                <w:lang w:bidi="en-US"/>
              </w:rPr>
            </w:pPr>
            <w:r w:rsidRPr="00E643CB">
              <w:rPr>
                <w:rFonts w:ascii="Calibri" w:hAnsi="Calibri" w:cs="Calibri"/>
                <w:bCs/>
                <w:lang w:bidi="en-US"/>
              </w:rPr>
              <w:t>(b) adding CBDC wallet payment modes (Tier-III: Full KYC Central Bank Digital Currency wallets, P-CBDC, Wholesale/Cross-border CBDC)</w:t>
            </w:r>
          </w:p>
          <w:p w14:paraId="5D701369" w14:textId="77777777" w:rsidR="0006065B" w:rsidRPr="00E643CB" w:rsidRDefault="0006065B" w:rsidP="00D17EFE">
            <w:pPr>
              <w:pStyle w:val="ListParagraph"/>
              <w:numPr>
                <w:ilvl w:val="0"/>
                <w:numId w:val="30"/>
              </w:numPr>
              <w:spacing w:after="120" w:line="276" w:lineRule="auto"/>
              <w:contextualSpacing w:val="0"/>
              <w:rPr>
                <w:rFonts w:ascii="Calibri" w:hAnsi="Calibri" w:cs="Calibri"/>
                <w:b/>
                <w:lang w:bidi="en-US"/>
              </w:rPr>
            </w:pPr>
            <w:r w:rsidRPr="00E643CB">
              <w:rPr>
                <w:rFonts w:ascii="Calibri" w:hAnsi="Calibri" w:cs="Calibri"/>
                <w:bCs/>
                <w:lang w:bidi="en-US"/>
              </w:rPr>
              <w:t xml:space="preserve">The </w:t>
            </w:r>
            <w:r w:rsidR="00470187" w:rsidRPr="00E643CB">
              <w:rPr>
                <w:rFonts w:ascii="Calibri" w:hAnsi="Calibri" w:cs="Calibri"/>
                <w:bCs/>
                <w:lang w:bidi="en-US"/>
              </w:rPr>
              <w:t xml:space="preserve">above </w:t>
            </w:r>
            <w:r w:rsidRPr="00E643CB">
              <w:rPr>
                <w:rFonts w:ascii="Calibri" w:hAnsi="Calibri" w:cs="Calibri"/>
                <w:bCs/>
                <w:lang w:bidi="en-US"/>
              </w:rPr>
              <w:t>changes may result in increased compliance</w:t>
            </w:r>
            <w:r w:rsidR="00470187" w:rsidRPr="00E643CB">
              <w:rPr>
                <w:rFonts w:ascii="Calibri" w:hAnsi="Calibri" w:cs="Calibri"/>
                <w:bCs/>
                <w:lang w:bidi="en-US"/>
              </w:rPr>
              <w:t>.</w:t>
            </w:r>
          </w:p>
          <w:p w14:paraId="06D898B8" w14:textId="77777777" w:rsidR="00470187" w:rsidRPr="00E643CB" w:rsidRDefault="00470187" w:rsidP="00470187">
            <w:pPr>
              <w:spacing w:after="120" w:line="276" w:lineRule="auto"/>
              <w:rPr>
                <w:rFonts w:ascii="Calibri" w:hAnsi="Calibri" w:cs="Calibri"/>
                <w:b/>
                <w:lang w:bidi="en-US"/>
              </w:rPr>
            </w:pPr>
            <w:r w:rsidRPr="00E643CB">
              <w:rPr>
                <w:rFonts w:ascii="Calibri" w:hAnsi="Calibri" w:cs="Calibri"/>
                <w:b/>
                <w:lang w:bidi="en-US"/>
              </w:rPr>
              <w:t>Recommendation:</w:t>
            </w:r>
          </w:p>
          <w:p w14:paraId="34510CEE" w14:textId="77777777" w:rsidR="0021521B" w:rsidRPr="00E643CB" w:rsidRDefault="0021521B"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Define “Tier-III: Full KYC Central Bank Digital Currency wallets, P-CBDC, Wholesale/Cross-border CBDC” in the rule or via guidance.</w:t>
            </w:r>
          </w:p>
          <w:p w14:paraId="16EAF0F5" w14:textId="77777777" w:rsidR="002D46B9" w:rsidRPr="00E643CB" w:rsidRDefault="002D46B9"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Clarify whether cross-border CBDC is mandatory for all, or only for entities with international transactions.</w:t>
            </w:r>
          </w:p>
          <w:p w14:paraId="4E2AB23C" w14:textId="77777777" w:rsidR="002D46B9" w:rsidRPr="00E643CB" w:rsidRDefault="002D46B9"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Consider phased implementation for professional firms (as profession has been added).</w:t>
            </w:r>
          </w:p>
          <w:p w14:paraId="5AD67C86" w14:textId="79E41693" w:rsidR="00470187" w:rsidRPr="00E643CB" w:rsidRDefault="00E97D01" w:rsidP="00D17EFE">
            <w:pPr>
              <w:pStyle w:val="ListParagraph"/>
              <w:numPr>
                <w:ilvl w:val="0"/>
                <w:numId w:val="30"/>
              </w:numPr>
              <w:spacing w:after="120" w:line="276" w:lineRule="auto"/>
              <w:contextualSpacing w:val="0"/>
              <w:rPr>
                <w:rFonts w:ascii="Calibri" w:hAnsi="Calibri" w:cs="Calibri"/>
                <w:bCs/>
                <w:lang w:bidi="en-US"/>
              </w:rPr>
            </w:pPr>
            <w:r w:rsidRPr="00E643CB">
              <w:rPr>
                <w:rFonts w:ascii="Calibri" w:hAnsi="Calibri" w:cs="Calibri"/>
                <w:bCs/>
                <w:lang w:bidi="en-US"/>
              </w:rPr>
              <w:t>Provide for periodic review of payment modes to ensure alignment with evolving technology and regulatory landscape.</w:t>
            </w:r>
          </w:p>
        </w:tc>
      </w:tr>
      <w:tr w:rsidR="00EE4945" w:rsidRPr="00E643CB" w14:paraId="3F67512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AF1299D" w14:textId="77777777" w:rsidR="00EE4945" w:rsidRPr="00E643CB" w:rsidRDefault="00EE494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F5EBC95" w14:textId="77777777" w:rsidR="00EE4945" w:rsidRPr="0009782B" w:rsidRDefault="00F12D82" w:rsidP="00BD4879">
            <w:pPr>
              <w:spacing w:after="120" w:line="276" w:lineRule="auto"/>
              <w:jc w:val="both"/>
              <w:rPr>
                <w:rFonts w:ascii="Calibri" w:hAnsi="Calibri" w:cs="Calibri"/>
                <w:b/>
                <w:lang w:bidi="en-US"/>
              </w:rPr>
            </w:pPr>
            <w:r w:rsidRPr="0009782B">
              <w:rPr>
                <w:rFonts w:ascii="Calibri" w:hAnsi="Calibri" w:cs="Calibri"/>
                <w:b/>
                <w:lang w:bidi="en-US"/>
              </w:rPr>
              <w:t xml:space="preserve">Allow opting </w:t>
            </w:r>
            <w:r w:rsidR="006D35CB" w:rsidRPr="0009782B">
              <w:rPr>
                <w:rFonts w:ascii="Calibri" w:hAnsi="Calibri" w:cs="Calibri"/>
                <w:b/>
                <w:lang w:bidi="en-US"/>
              </w:rPr>
              <w:t xml:space="preserve">for CTR </w:t>
            </w:r>
            <w:r w:rsidR="003453D4" w:rsidRPr="0009782B">
              <w:rPr>
                <w:rFonts w:ascii="Calibri" w:hAnsi="Calibri" w:cs="Calibri"/>
                <w:b/>
                <w:lang w:bidi="en-US"/>
              </w:rPr>
              <w:t>even in case of belated returns</w:t>
            </w:r>
          </w:p>
          <w:p w14:paraId="2BB1E8AB" w14:textId="77777777" w:rsidR="003453D4" w:rsidRPr="0009782B" w:rsidRDefault="005B0839" w:rsidP="00BD4879">
            <w:pPr>
              <w:spacing w:after="120" w:line="276" w:lineRule="auto"/>
              <w:jc w:val="both"/>
              <w:rPr>
                <w:rFonts w:ascii="Calibri" w:hAnsi="Calibri" w:cs="Calibri"/>
                <w:b/>
                <w:lang w:bidi="en-US"/>
              </w:rPr>
            </w:pPr>
            <w:r w:rsidRPr="0009782B">
              <w:rPr>
                <w:rFonts w:ascii="Calibri" w:hAnsi="Calibri" w:cs="Calibri"/>
                <w:b/>
                <w:lang w:bidi="en-US"/>
              </w:rPr>
              <w:t xml:space="preserve">Rule 21AD to Rule 21AHA </w:t>
            </w:r>
            <w:r w:rsidR="00715345" w:rsidRPr="0009782B">
              <w:rPr>
                <w:rFonts w:ascii="Calibri" w:hAnsi="Calibri" w:cs="Calibri"/>
                <w:b/>
                <w:lang w:bidi="en-US"/>
              </w:rPr>
              <w:t xml:space="preserve">pf IT Rules 1962 </w:t>
            </w:r>
            <w:r w:rsidRPr="0009782B">
              <w:rPr>
                <w:rFonts w:ascii="Calibri" w:hAnsi="Calibri" w:cs="Calibri"/>
                <w:b/>
                <w:lang w:bidi="en-US"/>
              </w:rPr>
              <w:t>[S.115BA to S.115BAE of Income Tax Act, 1961]</w:t>
            </w:r>
          </w:p>
          <w:p w14:paraId="10D656A9" w14:textId="2C9D0D67" w:rsidR="00715345" w:rsidRPr="0009782B" w:rsidRDefault="008573A9" w:rsidP="00BD4879">
            <w:pPr>
              <w:spacing w:after="120" w:line="276" w:lineRule="auto"/>
              <w:jc w:val="both"/>
              <w:rPr>
                <w:rFonts w:ascii="Calibri" w:hAnsi="Calibri" w:cs="Calibri"/>
                <w:b/>
                <w:lang w:bidi="en-US"/>
              </w:rPr>
            </w:pPr>
            <w:r w:rsidRPr="0009782B">
              <w:rPr>
                <w:rFonts w:ascii="Calibri" w:hAnsi="Calibri" w:cs="Calibri"/>
                <w:b/>
                <w:lang w:bidi="en-US"/>
              </w:rPr>
              <w:t>Rule 136 of Draft IT Rules 2026 [S.199 to S.204 of Income Tax Act 2025]</w:t>
            </w:r>
          </w:p>
        </w:tc>
        <w:tc>
          <w:tcPr>
            <w:tcW w:w="10404" w:type="dxa"/>
            <w:tcBorders>
              <w:top w:val="single" w:sz="4" w:space="0" w:color="auto"/>
              <w:left w:val="single" w:sz="4" w:space="0" w:color="auto"/>
              <w:bottom w:val="single" w:sz="4" w:space="0" w:color="auto"/>
              <w:right w:val="single" w:sz="4" w:space="0" w:color="auto"/>
            </w:tcBorders>
          </w:tcPr>
          <w:p w14:paraId="34AF8E14" w14:textId="77777777" w:rsidR="00EE4945" w:rsidRPr="00E643CB" w:rsidRDefault="00282600" w:rsidP="00532E7E">
            <w:pPr>
              <w:spacing w:after="120" w:line="276" w:lineRule="auto"/>
              <w:rPr>
                <w:rFonts w:ascii="Calibri" w:hAnsi="Calibri" w:cs="Calibri"/>
                <w:b/>
                <w:lang w:bidi="en-US"/>
              </w:rPr>
            </w:pPr>
            <w:r w:rsidRPr="00E643CB">
              <w:rPr>
                <w:rFonts w:ascii="Calibri" w:hAnsi="Calibri" w:cs="Calibri"/>
                <w:b/>
                <w:lang w:bidi="en-US"/>
              </w:rPr>
              <w:t>Rationale:</w:t>
            </w:r>
          </w:p>
          <w:p w14:paraId="41E29ED6" w14:textId="2028192A" w:rsidR="00994294" w:rsidRPr="00E643CB" w:rsidRDefault="00282600" w:rsidP="00D17EFE">
            <w:pPr>
              <w:pStyle w:val="ListParagraph"/>
              <w:numPr>
                <w:ilvl w:val="0"/>
                <w:numId w:val="31"/>
              </w:numPr>
              <w:spacing w:after="120" w:line="276" w:lineRule="auto"/>
              <w:contextualSpacing w:val="0"/>
              <w:rPr>
                <w:rFonts w:ascii="Calibri" w:hAnsi="Calibri" w:cs="Calibri"/>
                <w:bCs/>
                <w:lang w:bidi="en-US"/>
              </w:rPr>
            </w:pPr>
            <w:r w:rsidRPr="00E643CB">
              <w:rPr>
                <w:rFonts w:ascii="Calibri" w:hAnsi="Calibri" w:cs="Calibri"/>
                <w:bCs/>
                <w:lang w:bidi="en-US"/>
              </w:rPr>
              <w:t xml:space="preserve">Under ITA 1961 read with rules, the taxpayer can exercise their option </w:t>
            </w:r>
            <w:r w:rsidR="00C47F34">
              <w:rPr>
                <w:rFonts w:ascii="Calibri" w:hAnsi="Calibri" w:cs="Calibri"/>
                <w:bCs/>
                <w:lang w:bidi="en-US"/>
              </w:rPr>
              <w:t xml:space="preserve">(or withdraw from default new regime by non-corporates) </w:t>
            </w:r>
            <w:r w:rsidRPr="00E643CB">
              <w:rPr>
                <w:rFonts w:ascii="Calibri" w:hAnsi="Calibri" w:cs="Calibri"/>
                <w:bCs/>
                <w:lang w:bidi="en-US"/>
              </w:rPr>
              <w:t xml:space="preserve">by filing respective form on or before S 139(1) due date and there is no specific requirement to file the return of income on or before 139(1) due date. In other words, even in case where taxpayer has filed a belated return, as long as option to claim CTR </w:t>
            </w:r>
            <w:r w:rsidR="008861D2">
              <w:rPr>
                <w:rFonts w:ascii="Calibri" w:hAnsi="Calibri" w:cs="Calibri"/>
                <w:bCs/>
                <w:lang w:bidi="en-US"/>
              </w:rPr>
              <w:t xml:space="preserve">(or </w:t>
            </w:r>
            <w:r w:rsidR="001D07CE">
              <w:rPr>
                <w:rFonts w:ascii="Calibri" w:hAnsi="Calibri" w:cs="Calibri"/>
                <w:bCs/>
                <w:lang w:bidi="en-US"/>
              </w:rPr>
              <w:t xml:space="preserve">non-corporates to </w:t>
            </w:r>
            <w:r w:rsidR="008861D2">
              <w:rPr>
                <w:rFonts w:ascii="Calibri" w:hAnsi="Calibri" w:cs="Calibri"/>
                <w:bCs/>
                <w:lang w:bidi="en-US"/>
              </w:rPr>
              <w:t xml:space="preserve">withdraw from default new regime) </w:t>
            </w:r>
            <w:r w:rsidRPr="00E643CB">
              <w:rPr>
                <w:rFonts w:ascii="Calibri" w:hAnsi="Calibri" w:cs="Calibri"/>
                <w:bCs/>
                <w:lang w:bidi="en-US"/>
              </w:rPr>
              <w:t>has been exercised in the specified form on or before 139(1) due date, it is eligible to claim the CTR benefit</w:t>
            </w:r>
            <w:r w:rsidR="008861D2">
              <w:rPr>
                <w:rFonts w:ascii="Calibri" w:hAnsi="Calibri" w:cs="Calibri"/>
                <w:bCs/>
                <w:lang w:bidi="en-US"/>
              </w:rPr>
              <w:t xml:space="preserve"> (or claim old regime </w:t>
            </w:r>
            <w:r w:rsidR="001D07CE">
              <w:rPr>
                <w:rFonts w:ascii="Calibri" w:hAnsi="Calibri" w:cs="Calibri"/>
                <w:bCs/>
                <w:lang w:bidi="en-US"/>
              </w:rPr>
              <w:t>by non-corporates)</w:t>
            </w:r>
            <w:r w:rsidRPr="00E643CB">
              <w:rPr>
                <w:rFonts w:ascii="Calibri" w:hAnsi="Calibri" w:cs="Calibri"/>
                <w:bCs/>
                <w:lang w:bidi="en-US"/>
              </w:rPr>
              <w:t xml:space="preserve">. </w:t>
            </w:r>
          </w:p>
          <w:p w14:paraId="52C3870D" w14:textId="095B2FF8" w:rsidR="00282600" w:rsidRPr="00E643CB" w:rsidRDefault="00282600" w:rsidP="00D17EFE">
            <w:pPr>
              <w:pStyle w:val="ListParagraph"/>
              <w:numPr>
                <w:ilvl w:val="0"/>
                <w:numId w:val="31"/>
              </w:numPr>
              <w:spacing w:after="120" w:line="276" w:lineRule="auto"/>
              <w:contextualSpacing w:val="0"/>
              <w:rPr>
                <w:rFonts w:ascii="Calibri" w:hAnsi="Calibri" w:cs="Calibri"/>
                <w:bCs/>
                <w:lang w:bidi="en-US"/>
              </w:rPr>
            </w:pPr>
            <w:r w:rsidRPr="00E643CB">
              <w:rPr>
                <w:rFonts w:ascii="Calibri" w:hAnsi="Calibri" w:cs="Calibri"/>
                <w:bCs/>
                <w:lang w:bidi="en-US"/>
              </w:rPr>
              <w:t xml:space="preserve">However, </w:t>
            </w:r>
            <w:r w:rsidR="004B1086" w:rsidRPr="00E643CB">
              <w:rPr>
                <w:rFonts w:ascii="Calibri" w:hAnsi="Calibri" w:cs="Calibri"/>
                <w:bCs/>
                <w:lang w:bidi="en-US"/>
              </w:rPr>
              <w:t>under ITA 202</w:t>
            </w:r>
            <w:r w:rsidR="007D012D" w:rsidRPr="00E643CB">
              <w:rPr>
                <w:rFonts w:ascii="Calibri" w:hAnsi="Calibri" w:cs="Calibri"/>
                <w:bCs/>
                <w:lang w:bidi="en-US"/>
              </w:rPr>
              <w:t xml:space="preserve">5, the requirement to furnish Form 10-IB/10-IC/10-ID etc for opting for CTR regime </w:t>
            </w:r>
            <w:r w:rsidR="001D07CE">
              <w:rPr>
                <w:rFonts w:ascii="Calibri" w:hAnsi="Calibri" w:cs="Calibri"/>
                <w:bCs/>
                <w:lang w:bidi="en-US"/>
              </w:rPr>
              <w:t xml:space="preserve">(or withdraw from default new regime by non-corporates) </w:t>
            </w:r>
            <w:r w:rsidR="007D012D" w:rsidRPr="00E643CB">
              <w:rPr>
                <w:rFonts w:ascii="Calibri" w:hAnsi="Calibri" w:cs="Calibri"/>
                <w:bCs/>
                <w:lang w:bidi="en-US"/>
              </w:rPr>
              <w:t xml:space="preserve">is eliminated. Accordingly, the rules and procedures are also deleted. Now there is a consolidated rule for erstwhile CTR sections which provides that the option is to be furnished in ROI itself. The changes in procedure for exercising option under CTR regime </w:t>
            </w:r>
            <w:r w:rsidR="001D07CE">
              <w:rPr>
                <w:rFonts w:ascii="Calibri" w:hAnsi="Calibri" w:cs="Calibri"/>
                <w:bCs/>
                <w:lang w:bidi="en-US"/>
              </w:rPr>
              <w:t xml:space="preserve">(or withdrawal by non-corporates) </w:t>
            </w:r>
            <w:r w:rsidR="007D012D" w:rsidRPr="00E643CB">
              <w:rPr>
                <w:rFonts w:ascii="Calibri" w:hAnsi="Calibri" w:cs="Calibri"/>
                <w:bCs/>
                <w:lang w:bidi="en-US"/>
              </w:rPr>
              <w:t>may create hardship for genuine taxpayer who are not able to file RoI upto due date prescribed u/s 263(1) of ITA, 2025</w:t>
            </w:r>
            <w:r w:rsidR="00F751F5">
              <w:rPr>
                <w:rFonts w:ascii="Calibri" w:hAnsi="Calibri" w:cs="Calibri"/>
                <w:bCs/>
                <w:lang w:bidi="en-US"/>
              </w:rPr>
              <w:t xml:space="preserve"> or those who inadvertently miss to exercise</w:t>
            </w:r>
            <w:r w:rsidR="001D07CE">
              <w:rPr>
                <w:rFonts w:ascii="Calibri" w:hAnsi="Calibri" w:cs="Calibri"/>
                <w:bCs/>
                <w:lang w:bidi="en-US"/>
              </w:rPr>
              <w:t xml:space="preserve"> option or withdraw in the original return</w:t>
            </w:r>
            <w:r w:rsidR="007D012D" w:rsidRPr="00E643CB">
              <w:rPr>
                <w:rFonts w:ascii="Calibri" w:hAnsi="Calibri" w:cs="Calibri"/>
                <w:bCs/>
                <w:lang w:bidi="en-US"/>
              </w:rPr>
              <w:t>.</w:t>
            </w:r>
          </w:p>
          <w:p w14:paraId="32E515FD" w14:textId="77777777" w:rsidR="003A29ED" w:rsidRPr="00E643CB" w:rsidRDefault="003A29ED" w:rsidP="003A29ED">
            <w:pPr>
              <w:spacing w:after="120" w:line="276" w:lineRule="auto"/>
              <w:rPr>
                <w:rFonts w:ascii="Calibri" w:hAnsi="Calibri" w:cs="Calibri"/>
                <w:b/>
                <w:lang w:bidi="en-US"/>
              </w:rPr>
            </w:pPr>
            <w:r w:rsidRPr="00E643CB">
              <w:rPr>
                <w:rFonts w:ascii="Calibri" w:hAnsi="Calibri" w:cs="Calibri"/>
                <w:b/>
                <w:lang w:bidi="en-US"/>
              </w:rPr>
              <w:t>Recommendation:</w:t>
            </w:r>
          </w:p>
          <w:p w14:paraId="09C75728" w14:textId="4CCDB86B" w:rsidR="003A29ED" w:rsidRPr="00E643CB" w:rsidRDefault="003A29ED" w:rsidP="004E3036">
            <w:pPr>
              <w:pStyle w:val="ListParagraph"/>
              <w:numPr>
                <w:ilvl w:val="0"/>
                <w:numId w:val="32"/>
              </w:numPr>
              <w:spacing w:after="120" w:line="276" w:lineRule="auto"/>
              <w:contextualSpacing w:val="0"/>
              <w:rPr>
                <w:rFonts w:ascii="Calibri" w:hAnsi="Calibri" w:cs="Calibri"/>
                <w:bCs/>
                <w:lang w:bidi="en-US"/>
              </w:rPr>
            </w:pPr>
            <w:r w:rsidRPr="00E643CB">
              <w:rPr>
                <w:rFonts w:ascii="Calibri" w:hAnsi="Calibri" w:cs="Calibri"/>
                <w:bCs/>
                <w:lang w:bidi="en-US"/>
              </w:rPr>
              <w:t xml:space="preserve">It is recommended that scope of rules be amended whereby </w:t>
            </w:r>
            <w:r w:rsidR="00206311">
              <w:rPr>
                <w:rFonts w:ascii="Calibri" w:hAnsi="Calibri" w:cs="Calibri"/>
                <w:bCs/>
                <w:lang w:bidi="en-US"/>
              </w:rPr>
              <w:t xml:space="preserve">taxpayer may be given option to either file a separate form </w:t>
            </w:r>
            <w:r w:rsidR="00D50F8C">
              <w:rPr>
                <w:rFonts w:ascii="Calibri" w:hAnsi="Calibri" w:cs="Calibri"/>
                <w:bCs/>
                <w:lang w:bidi="en-US"/>
              </w:rPr>
              <w:t>to exercise option (or withdraw by non-corporates) by ROI filing due date u/s. 263(1) or exercise/withdraw such option in the ROI itself which is file</w:t>
            </w:r>
            <w:r w:rsidR="00163A54">
              <w:rPr>
                <w:rFonts w:ascii="Calibri" w:hAnsi="Calibri" w:cs="Calibri"/>
                <w:bCs/>
                <w:lang w:bidi="en-US"/>
              </w:rPr>
              <w:t xml:space="preserve">d within due date u/s. 263(1). </w:t>
            </w:r>
          </w:p>
        </w:tc>
      </w:tr>
      <w:tr w:rsidR="00F5143E" w:rsidRPr="00E643CB" w14:paraId="57B221D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C93C2B7" w14:textId="77777777" w:rsidR="00F5143E" w:rsidRPr="00E643CB" w:rsidRDefault="00F5143E"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B695EA0" w14:textId="77777777" w:rsidR="00F5143E" w:rsidRPr="0009782B" w:rsidRDefault="0072446D" w:rsidP="00BD4879">
            <w:pPr>
              <w:spacing w:after="120" w:line="276" w:lineRule="auto"/>
              <w:jc w:val="both"/>
              <w:rPr>
                <w:rFonts w:ascii="Calibri" w:hAnsi="Calibri" w:cs="Calibri"/>
                <w:b/>
                <w:lang w:bidi="en-US"/>
              </w:rPr>
            </w:pPr>
            <w:r w:rsidRPr="0009782B">
              <w:rPr>
                <w:rFonts w:ascii="Calibri" w:hAnsi="Calibri" w:cs="Calibri"/>
                <w:b/>
                <w:lang w:bidi="en-US"/>
              </w:rPr>
              <w:t>Rule to be aligned with provisions of the Act</w:t>
            </w:r>
          </w:p>
          <w:p w14:paraId="1A5940F7" w14:textId="77777777" w:rsidR="0072446D" w:rsidRPr="0009782B" w:rsidRDefault="0072446D" w:rsidP="0072446D">
            <w:pPr>
              <w:spacing w:after="120" w:line="276" w:lineRule="auto"/>
              <w:jc w:val="both"/>
              <w:rPr>
                <w:rFonts w:ascii="Calibri" w:hAnsi="Calibri" w:cs="Calibri"/>
                <w:b/>
                <w:lang w:bidi="en-US"/>
              </w:rPr>
            </w:pPr>
            <w:r w:rsidRPr="0009782B">
              <w:rPr>
                <w:rFonts w:ascii="Calibri" w:hAnsi="Calibri" w:cs="Calibri"/>
                <w:b/>
                <w:lang w:bidi="en-US"/>
              </w:rPr>
              <w:t>Rule 13 of IT Rules 1962 (Section 132 of ITA 1961)</w:t>
            </w:r>
          </w:p>
          <w:p w14:paraId="1BA19C48" w14:textId="18870195" w:rsidR="0072446D" w:rsidRPr="0009782B" w:rsidRDefault="00700188" w:rsidP="00700188">
            <w:pPr>
              <w:spacing w:after="120" w:line="276" w:lineRule="auto"/>
              <w:jc w:val="both"/>
              <w:rPr>
                <w:rFonts w:ascii="Calibri" w:hAnsi="Calibri" w:cs="Calibri"/>
                <w:b/>
                <w:lang w:bidi="en-US"/>
              </w:rPr>
            </w:pPr>
            <w:r w:rsidRPr="0009782B">
              <w:rPr>
                <w:rFonts w:ascii="Calibri" w:hAnsi="Calibri" w:cs="Calibri"/>
                <w:b/>
                <w:lang w:bidi="en-US"/>
              </w:rPr>
              <w:t>Rule 149 of Draft IT Rules 2026 (Section 247 of ITA 2025)</w:t>
            </w:r>
          </w:p>
        </w:tc>
        <w:tc>
          <w:tcPr>
            <w:tcW w:w="10404" w:type="dxa"/>
            <w:tcBorders>
              <w:top w:val="single" w:sz="4" w:space="0" w:color="auto"/>
              <w:left w:val="single" w:sz="4" w:space="0" w:color="auto"/>
              <w:bottom w:val="single" w:sz="4" w:space="0" w:color="auto"/>
              <w:right w:val="single" w:sz="4" w:space="0" w:color="auto"/>
            </w:tcBorders>
          </w:tcPr>
          <w:p w14:paraId="578670AD" w14:textId="77777777" w:rsidR="00F5143E" w:rsidRPr="00E643CB" w:rsidRDefault="000C435E" w:rsidP="00532E7E">
            <w:pPr>
              <w:spacing w:after="120" w:line="276" w:lineRule="auto"/>
              <w:rPr>
                <w:rFonts w:ascii="Calibri" w:hAnsi="Calibri" w:cs="Calibri"/>
                <w:b/>
                <w:lang w:bidi="en-US"/>
              </w:rPr>
            </w:pPr>
            <w:r w:rsidRPr="00E643CB">
              <w:rPr>
                <w:rFonts w:ascii="Calibri" w:hAnsi="Calibri" w:cs="Calibri"/>
                <w:b/>
                <w:lang w:bidi="en-US"/>
              </w:rPr>
              <w:t>Rationale:</w:t>
            </w:r>
          </w:p>
          <w:p w14:paraId="2389E1AF" w14:textId="2B69B0AB" w:rsidR="000C435E" w:rsidRPr="00E643CB" w:rsidRDefault="000C435E" w:rsidP="00D17EFE">
            <w:pPr>
              <w:pStyle w:val="ListParagraph"/>
              <w:numPr>
                <w:ilvl w:val="0"/>
                <w:numId w:val="32"/>
              </w:numPr>
              <w:spacing w:after="120" w:line="276" w:lineRule="auto"/>
              <w:contextualSpacing w:val="0"/>
              <w:rPr>
                <w:rFonts w:ascii="Calibri" w:hAnsi="Calibri" w:cs="Calibri"/>
                <w:bCs/>
                <w:lang w:bidi="en-US"/>
              </w:rPr>
            </w:pPr>
            <w:r w:rsidRPr="00E643CB">
              <w:rPr>
                <w:rFonts w:ascii="Calibri" w:hAnsi="Calibri" w:cs="Calibri"/>
                <w:bCs/>
                <w:lang w:bidi="en-US"/>
              </w:rPr>
              <w:t>Requirement of approval in case of police officer or any officer of Central Government or both</w:t>
            </w:r>
            <w:r w:rsidR="00043F15" w:rsidRPr="00E643CB">
              <w:rPr>
                <w:rFonts w:ascii="Calibri" w:hAnsi="Calibri" w:cs="Calibri"/>
                <w:bCs/>
                <w:lang w:bidi="en-US"/>
              </w:rPr>
              <w:t xml:space="preserve">: </w:t>
            </w:r>
            <w:r w:rsidRPr="00E643CB">
              <w:rPr>
                <w:rFonts w:ascii="Calibri" w:hAnsi="Calibri" w:cs="Calibri"/>
                <w:bCs/>
                <w:lang w:bidi="en-US"/>
              </w:rPr>
              <w:t>In the draft IT Rules, there appears to be contradiction for seeking approval. While the section does not mandate approval for persons covered under Section 247(5)(i) of ITA 2025, whereas the Rule appears to suggest that even for people covered under Section 247(5)(i) approval is required. This is on account of the fact the Rule makes reference to sub-section (5) in entirety.</w:t>
            </w:r>
            <w:r w:rsidR="00043F15" w:rsidRPr="00E643CB">
              <w:rPr>
                <w:rFonts w:ascii="Calibri" w:hAnsi="Calibri" w:cs="Calibri"/>
                <w:bCs/>
                <w:lang w:bidi="en-US"/>
              </w:rPr>
              <w:t xml:space="preserve"> </w:t>
            </w:r>
            <w:r w:rsidRPr="00E643CB">
              <w:rPr>
                <w:rFonts w:ascii="Calibri" w:hAnsi="Calibri" w:cs="Calibri"/>
                <w:bCs/>
                <w:lang w:bidi="en-US"/>
              </w:rPr>
              <w:t>Similar contradiction is there in Draft Rule 149(2).</w:t>
            </w:r>
          </w:p>
          <w:p w14:paraId="19F040D8" w14:textId="77777777" w:rsidR="00C0383B" w:rsidRPr="00E643CB" w:rsidRDefault="00043F15" w:rsidP="00D17EFE">
            <w:pPr>
              <w:pStyle w:val="ListParagraph"/>
              <w:numPr>
                <w:ilvl w:val="0"/>
                <w:numId w:val="33"/>
              </w:numPr>
              <w:spacing w:after="120" w:line="276" w:lineRule="auto"/>
              <w:contextualSpacing w:val="0"/>
              <w:rPr>
                <w:rFonts w:ascii="Calibri" w:hAnsi="Calibri" w:cs="Calibri"/>
                <w:bCs/>
                <w:lang w:bidi="en-US"/>
              </w:rPr>
            </w:pPr>
            <w:r w:rsidRPr="00E643CB">
              <w:rPr>
                <w:rFonts w:ascii="Calibri" w:hAnsi="Calibri" w:cs="Calibri"/>
                <w:bCs/>
                <w:lang w:bidi="en-US"/>
              </w:rPr>
              <w:t>Requirement of approval in case of Valuation Officer and person registered under Section 514 of the ITA 2025: In the draft IT Rules, there appears to be contradiction for seeking approval. While the section does not mandate approval for Valuation Officer and person registered as a valuer under Section 514 of ITA 2025, whereas the Rule appears to suggest that even for such people approval is required. This is on account of the fact the Rule makes reference to sub-section (9) in entirety. Similar contradiction is there in Draft Rule 149(2).</w:t>
            </w:r>
          </w:p>
          <w:p w14:paraId="3AD4AA0E" w14:textId="77777777" w:rsidR="00043F15" w:rsidRPr="00E643CB" w:rsidRDefault="00043F15" w:rsidP="00043F15">
            <w:pPr>
              <w:spacing w:after="120" w:line="276" w:lineRule="auto"/>
              <w:rPr>
                <w:rFonts w:ascii="Calibri" w:hAnsi="Calibri" w:cs="Calibri"/>
                <w:b/>
                <w:lang w:bidi="en-US"/>
              </w:rPr>
            </w:pPr>
            <w:r w:rsidRPr="00E643CB">
              <w:rPr>
                <w:rFonts w:ascii="Calibri" w:hAnsi="Calibri" w:cs="Calibri"/>
                <w:b/>
                <w:lang w:bidi="en-US"/>
              </w:rPr>
              <w:t>Recommendation:</w:t>
            </w:r>
          </w:p>
          <w:p w14:paraId="21F539AB" w14:textId="2E6B1203" w:rsidR="009924C1" w:rsidRPr="00E643CB" w:rsidRDefault="007E30C8" w:rsidP="00D17EFE">
            <w:pPr>
              <w:pStyle w:val="ListParagraph"/>
              <w:numPr>
                <w:ilvl w:val="0"/>
                <w:numId w:val="33"/>
              </w:numPr>
              <w:spacing w:after="120" w:line="276" w:lineRule="auto"/>
              <w:contextualSpacing w:val="0"/>
              <w:rPr>
                <w:rFonts w:ascii="Calibri" w:hAnsi="Calibri" w:cs="Calibri"/>
                <w:bCs/>
                <w:lang w:bidi="en-US"/>
              </w:rPr>
            </w:pPr>
            <w:r w:rsidRPr="00E643CB">
              <w:rPr>
                <w:rFonts w:ascii="Calibri" w:hAnsi="Calibri" w:cs="Calibri"/>
                <w:bCs/>
                <w:lang w:bidi="en-US"/>
              </w:rPr>
              <w:t>The Rule should be aligned with ITA 2025. In fact, the earlier Rule 13 of IT Rules 1962 appropriately captured requirement of approval as per the mandate of the section.</w:t>
            </w:r>
          </w:p>
        </w:tc>
      </w:tr>
      <w:tr w:rsidR="00F5143E" w:rsidRPr="00E643CB" w14:paraId="37508DD4"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52DD1BC" w14:textId="77777777" w:rsidR="00F5143E" w:rsidRPr="00E643CB" w:rsidRDefault="00F5143E"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CFF8C16" w14:textId="77777777" w:rsidR="00F5143E" w:rsidRPr="0009782B" w:rsidRDefault="00B368E8" w:rsidP="00BD4879">
            <w:pPr>
              <w:spacing w:after="120" w:line="276" w:lineRule="auto"/>
              <w:jc w:val="both"/>
              <w:rPr>
                <w:rFonts w:ascii="Calibri" w:hAnsi="Calibri" w:cs="Calibri"/>
                <w:b/>
                <w:lang w:bidi="en-US"/>
              </w:rPr>
            </w:pPr>
            <w:r w:rsidRPr="0009782B">
              <w:rPr>
                <w:rFonts w:ascii="Calibri" w:hAnsi="Calibri" w:cs="Calibri"/>
                <w:b/>
                <w:lang w:bidi="en-US"/>
              </w:rPr>
              <w:t>Retention</w:t>
            </w:r>
            <w:r w:rsidR="00DE168B" w:rsidRPr="0009782B">
              <w:rPr>
                <w:rFonts w:ascii="Calibri" w:hAnsi="Calibri" w:cs="Calibri"/>
                <w:b/>
                <w:lang w:bidi="en-US"/>
              </w:rPr>
              <w:t xml:space="preserve"> of references to Wealth-tax Act, 1957, the Expenditure-tax Act, 1987, Gift-tax Act, 1958 and Interest-tax Act, 1974 in Section 250(1)(a) of ITA 2025</w:t>
            </w:r>
          </w:p>
          <w:p w14:paraId="6BCA5888" w14:textId="77777777" w:rsidR="00422582" w:rsidRPr="0009782B" w:rsidRDefault="00422582" w:rsidP="00BD4879">
            <w:pPr>
              <w:spacing w:after="120" w:line="276" w:lineRule="auto"/>
              <w:jc w:val="both"/>
              <w:rPr>
                <w:rFonts w:ascii="Calibri" w:hAnsi="Calibri" w:cs="Calibri"/>
                <w:b/>
                <w:lang w:bidi="en-US"/>
              </w:rPr>
            </w:pPr>
          </w:p>
          <w:p w14:paraId="256390A0" w14:textId="6D01CB28" w:rsidR="00422582" w:rsidRPr="0009782B" w:rsidRDefault="007F6F13" w:rsidP="007F6F13">
            <w:pPr>
              <w:spacing w:after="120" w:line="276" w:lineRule="auto"/>
              <w:jc w:val="both"/>
              <w:rPr>
                <w:rFonts w:ascii="Calibri" w:hAnsi="Calibri" w:cs="Calibri"/>
                <w:b/>
                <w:lang w:bidi="en-US"/>
              </w:rPr>
            </w:pPr>
            <w:r w:rsidRPr="0009782B">
              <w:rPr>
                <w:rFonts w:ascii="Calibri" w:hAnsi="Calibri" w:cs="Calibri"/>
                <w:b/>
                <w:lang w:bidi="en-US"/>
              </w:rPr>
              <w:t xml:space="preserve">Rule 112C of IT Rules 1962 (Section132B of ITA </w:t>
            </w:r>
            <w:r w:rsidR="00525E03" w:rsidRPr="0009782B">
              <w:rPr>
                <w:rFonts w:ascii="Calibri" w:hAnsi="Calibri" w:cs="Calibri"/>
                <w:b/>
                <w:lang w:bidi="en-US"/>
              </w:rPr>
              <w:t>1961</w:t>
            </w:r>
            <w:r w:rsidRPr="0009782B">
              <w:rPr>
                <w:rFonts w:ascii="Calibri" w:hAnsi="Calibri" w:cs="Calibri"/>
                <w:b/>
                <w:lang w:bidi="en-US"/>
              </w:rPr>
              <w:t>)</w:t>
            </w:r>
          </w:p>
          <w:p w14:paraId="09D3F8FC" w14:textId="37635CD4" w:rsidR="007F6F13" w:rsidRPr="0009782B" w:rsidRDefault="00525E03" w:rsidP="00525E03">
            <w:pPr>
              <w:spacing w:after="120" w:line="276" w:lineRule="auto"/>
              <w:jc w:val="both"/>
              <w:rPr>
                <w:rFonts w:ascii="Calibri" w:hAnsi="Calibri" w:cs="Calibri"/>
                <w:b/>
                <w:lang w:bidi="en-US"/>
              </w:rPr>
            </w:pPr>
            <w:r w:rsidRPr="0009782B">
              <w:rPr>
                <w:rFonts w:ascii="Calibri" w:hAnsi="Calibri" w:cs="Calibri"/>
                <w:b/>
                <w:lang w:bidi="en-US"/>
              </w:rPr>
              <w:t>Rule 152 of Draft IT Rules 2026 (Section 250 of ITA 2025)</w:t>
            </w:r>
          </w:p>
        </w:tc>
        <w:tc>
          <w:tcPr>
            <w:tcW w:w="10404" w:type="dxa"/>
            <w:tcBorders>
              <w:top w:val="single" w:sz="4" w:space="0" w:color="auto"/>
              <w:left w:val="single" w:sz="4" w:space="0" w:color="auto"/>
              <w:bottom w:val="single" w:sz="4" w:space="0" w:color="auto"/>
              <w:right w:val="single" w:sz="4" w:space="0" w:color="auto"/>
            </w:tcBorders>
          </w:tcPr>
          <w:p w14:paraId="0800944C" w14:textId="77777777" w:rsidR="00F5143E" w:rsidRPr="00E643CB" w:rsidRDefault="00103B49" w:rsidP="00532E7E">
            <w:pPr>
              <w:spacing w:after="120" w:line="276" w:lineRule="auto"/>
              <w:rPr>
                <w:rFonts w:ascii="Calibri" w:hAnsi="Calibri" w:cs="Calibri"/>
                <w:b/>
                <w:lang w:bidi="en-US"/>
              </w:rPr>
            </w:pPr>
            <w:r w:rsidRPr="00E643CB">
              <w:rPr>
                <w:rFonts w:ascii="Calibri" w:hAnsi="Calibri" w:cs="Calibri"/>
                <w:b/>
                <w:lang w:bidi="en-US"/>
              </w:rPr>
              <w:t>Rationale:</w:t>
            </w:r>
          </w:p>
          <w:p w14:paraId="61F397D5" w14:textId="0E7E011A" w:rsidR="00103B49" w:rsidRPr="00E643CB" w:rsidRDefault="002C73E7" w:rsidP="00D17EFE">
            <w:pPr>
              <w:pStyle w:val="ListParagraph"/>
              <w:numPr>
                <w:ilvl w:val="0"/>
                <w:numId w:val="33"/>
              </w:numPr>
              <w:spacing w:after="120" w:line="276" w:lineRule="auto"/>
              <w:contextualSpacing w:val="0"/>
              <w:rPr>
                <w:rFonts w:ascii="Calibri" w:hAnsi="Calibri" w:cs="Calibri"/>
                <w:bCs/>
                <w:lang w:bidi="en-US"/>
              </w:rPr>
            </w:pPr>
            <w:r w:rsidRPr="00E643CB">
              <w:rPr>
                <w:rFonts w:ascii="Calibri" w:hAnsi="Calibri" w:cs="Calibri"/>
                <w:bCs/>
                <w:lang w:bidi="en-US"/>
              </w:rPr>
              <w:t>The is n</w:t>
            </w:r>
            <w:r w:rsidR="00103B49" w:rsidRPr="00E643CB">
              <w:rPr>
                <w:rFonts w:ascii="Calibri" w:hAnsi="Calibri" w:cs="Calibri"/>
                <w:bCs/>
                <w:lang w:bidi="en-US"/>
              </w:rPr>
              <w:t>o change in the language of the draft rule. However, Draft Rule 152 makes specific reference of Section 250(1)(a) of ITA 2025 for the purpose of existing liability. Section 250(1) of ITA 2025 provides for specified Acts.</w:t>
            </w:r>
          </w:p>
          <w:p w14:paraId="5914AA55" w14:textId="77777777" w:rsidR="00103B49" w:rsidRPr="00E643CB" w:rsidRDefault="00103B49" w:rsidP="00D17EFE">
            <w:pPr>
              <w:pStyle w:val="ListParagraph"/>
              <w:numPr>
                <w:ilvl w:val="0"/>
                <w:numId w:val="33"/>
              </w:numPr>
              <w:spacing w:after="120" w:line="276" w:lineRule="auto"/>
              <w:contextualSpacing w:val="0"/>
              <w:rPr>
                <w:rFonts w:ascii="Calibri" w:hAnsi="Calibri" w:cs="Calibri"/>
                <w:bCs/>
                <w:lang w:bidi="en-US"/>
              </w:rPr>
            </w:pPr>
            <w:r w:rsidRPr="00E643CB">
              <w:rPr>
                <w:rFonts w:ascii="Calibri" w:hAnsi="Calibri" w:cs="Calibri"/>
                <w:bCs/>
                <w:lang w:bidi="en-US"/>
              </w:rPr>
              <w:t xml:space="preserve">The earlier, Section 132B(1)(i) of ITA 1961, includes references for Wealth-tax Act, 1957, the Expenditure-tax Act, 1987, Gift-tax Act, 1958 and Interest-tax Act, 1974, Section 250(1)(a) of ITA 2025 excludes these Acts. However, there could be a possibility that there are pending demands and litigation under such Acts. Moreover, Section 420 of ITA 2025 dealing with tax clearance certificate, have continued to include the reference of such Acts for the purpose of existence of liability while issuing tax clearance certificate.   </w:t>
            </w:r>
          </w:p>
          <w:p w14:paraId="7DC554D8" w14:textId="50437767" w:rsidR="00085E09" w:rsidRPr="00E643CB" w:rsidRDefault="00085E09" w:rsidP="00085E09">
            <w:pPr>
              <w:spacing w:after="120" w:line="276" w:lineRule="auto"/>
              <w:rPr>
                <w:rFonts w:ascii="Calibri" w:hAnsi="Calibri" w:cs="Calibri"/>
                <w:b/>
                <w:lang w:bidi="en-US"/>
              </w:rPr>
            </w:pPr>
            <w:r w:rsidRPr="00E643CB">
              <w:rPr>
                <w:rFonts w:ascii="Calibri" w:hAnsi="Calibri" w:cs="Calibri"/>
                <w:b/>
                <w:lang w:bidi="en-US"/>
              </w:rPr>
              <w:t>Recommendation:</w:t>
            </w:r>
          </w:p>
          <w:p w14:paraId="24038D4D" w14:textId="186F98D5" w:rsidR="00103B49" w:rsidRPr="00E643CB" w:rsidRDefault="00085E09" w:rsidP="00D17EFE">
            <w:pPr>
              <w:pStyle w:val="ListParagraph"/>
              <w:numPr>
                <w:ilvl w:val="0"/>
                <w:numId w:val="36"/>
              </w:numPr>
              <w:spacing w:after="120" w:line="276" w:lineRule="auto"/>
              <w:contextualSpacing w:val="0"/>
              <w:rPr>
                <w:rFonts w:ascii="Calibri" w:hAnsi="Calibri" w:cs="Calibri"/>
                <w:b/>
                <w:lang w:bidi="en-US"/>
              </w:rPr>
            </w:pPr>
            <w:r w:rsidRPr="00E643CB">
              <w:rPr>
                <w:rFonts w:ascii="Calibri" w:hAnsi="Calibri" w:cs="Calibri"/>
                <w:bCs/>
                <w:lang w:bidi="en-US"/>
              </w:rPr>
              <w:t>To maintain consistency with the earlier provisions and also draft Rule, the references to Wealth-tax Act, 1957, the Expenditure-tax Act, 1987, Gift-tax Act, 1958 and Interest-tax Act, 1974 should be included in Section 250(1)(a) of ITA 2025 since there is a possibility that there are pending demands and litigation under these Acts.</w:t>
            </w:r>
          </w:p>
        </w:tc>
      </w:tr>
      <w:tr w:rsidR="00F5143E" w:rsidRPr="00E643CB" w14:paraId="6A3821E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AAF31AC" w14:textId="77777777" w:rsidR="00F5143E" w:rsidRPr="00E643CB" w:rsidRDefault="00F5143E"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71D301C" w14:textId="77777777" w:rsidR="00F5143E" w:rsidRPr="0009782B" w:rsidRDefault="009E45F2" w:rsidP="00BD4879">
            <w:pPr>
              <w:spacing w:after="120" w:line="276" w:lineRule="auto"/>
              <w:jc w:val="both"/>
              <w:rPr>
                <w:rFonts w:ascii="Calibri" w:hAnsi="Calibri" w:cs="Calibri"/>
                <w:b/>
                <w:lang w:bidi="en-US"/>
              </w:rPr>
            </w:pPr>
            <w:r w:rsidRPr="0009782B">
              <w:rPr>
                <w:rFonts w:ascii="Calibri" w:hAnsi="Calibri" w:cs="Calibri"/>
                <w:b/>
                <w:lang w:bidi="en-US"/>
              </w:rPr>
              <w:t>Retention of references to quoting and authentication of Aadhaar in Draft Rule 161</w:t>
            </w:r>
          </w:p>
          <w:p w14:paraId="740659F5" w14:textId="77777777" w:rsidR="0067565F" w:rsidRPr="0009782B" w:rsidRDefault="0067565F" w:rsidP="00BD4879">
            <w:pPr>
              <w:spacing w:after="120" w:line="276" w:lineRule="auto"/>
              <w:jc w:val="both"/>
              <w:rPr>
                <w:rFonts w:ascii="Calibri" w:hAnsi="Calibri" w:cs="Calibri"/>
                <w:b/>
                <w:lang w:bidi="en-US"/>
              </w:rPr>
            </w:pPr>
          </w:p>
          <w:p w14:paraId="790F732D" w14:textId="28353C18" w:rsidR="0067565F" w:rsidRPr="0009782B" w:rsidRDefault="0067565F" w:rsidP="0067565F">
            <w:pPr>
              <w:spacing w:after="120" w:line="276" w:lineRule="auto"/>
              <w:jc w:val="both"/>
              <w:rPr>
                <w:rFonts w:ascii="Calibri" w:hAnsi="Calibri" w:cs="Calibri"/>
                <w:b/>
                <w:lang w:bidi="en-US"/>
              </w:rPr>
            </w:pPr>
            <w:r w:rsidRPr="0009782B">
              <w:rPr>
                <w:rFonts w:ascii="Calibri" w:hAnsi="Calibri" w:cs="Calibri"/>
                <w:b/>
                <w:lang w:bidi="en-US"/>
              </w:rPr>
              <w:t>Rule 114BB of IT Ru</w:t>
            </w:r>
            <w:r w:rsidR="000525E0" w:rsidRPr="0009782B">
              <w:rPr>
                <w:rFonts w:ascii="Calibri" w:hAnsi="Calibri" w:cs="Calibri"/>
                <w:b/>
                <w:lang w:bidi="en-US"/>
              </w:rPr>
              <w:t xml:space="preserve">les 1962 </w:t>
            </w:r>
            <w:r w:rsidRPr="0009782B">
              <w:rPr>
                <w:rFonts w:ascii="Calibri" w:hAnsi="Calibri" w:cs="Calibri"/>
                <w:b/>
                <w:lang w:bidi="en-US"/>
              </w:rPr>
              <w:t>(Section 139A of ITA 1961)</w:t>
            </w:r>
          </w:p>
          <w:p w14:paraId="3E1163CF" w14:textId="670FDE77" w:rsidR="000525E0" w:rsidRPr="0009782B" w:rsidRDefault="00A0766D" w:rsidP="00A0766D">
            <w:pPr>
              <w:spacing w:after="120" w:line="276" w:lineRule="auto"/>
              <w:jc w:val="both"/>
              <w:rPr>
                <w:rFonts w:ascii="Calibri" w:hAnsi="Calibri" w:cs="Calibri"/>
                <w:b/>
                <w:lang w:bidi="en-US"/>
              </w:rPr>
            </w:pPr>
            <w:r w:rsidRPr="0009782B">
              <w:rPr>
                <w:rFonts w:ascii="Calibri" w:hAnsi="Calibri" w:cs="Calibri"/>
                <w:b/>
                <w:lang w:bidi="en-US"/>
              </w:rPr>
              <w:t>Rule 161 of IT Rules 2026</w:t>
            </w:r>
            <w:r w:rsidR="00305595" w:rsidRPr="0009782B">
              <w:rPr>
                <w:rFonts w:ascii="Calibri" w:hAnsi="Calibri" w:cs="Calibri"/>
                <w:b/>
                <w:lang w:bidi="en-US"/>
              </w:rPr>
              <w:t xml:space="preserve"> </w:t>
            </w:r>
            <w:r w:rsidRPr="0009782B">
              <w:rPr>
                <w:rFonts w:ascii="Calibri" w:hAnsi="Calibri" w:cs="Calibri"/>
                <w:b/>
                <w:lang w:bidi="en-US"/>
              </w:rPr>
              <w:t>(Section 262</w:t>
            </w:r>
            <w:r w:rsidR="00307F29" w:rsidRPr="0009782B">
              <w:rPr>
                <w:rFonts w:ascii="Calibri" w:hAnsi="Calibri" w:cs="Calibri"/>
                <w:b/>
                <w:lang w:bidi="en-US"/>
              </w:rPr>
              <w:t xml:space="preserve"> of ITA 2025</w:t>
            </w:r>
            <w:r w:rsidRPr="0009782B">
              <w:rPr>
                <w:rFonts w:ascii="Calibri" w:hAnsi="Calibri" w:cs="Calibri"/>
                <w:b/>
                <w:lang w:bidi="en-US"/>
              </w:rPr>
              <w:t>)</w:t>
            </w:r>
          </w:p>
        </w:tc>
        <w:tc>
          <w:tcPr>
            <w:tcW w:w="10404" w:type="dxa"/>
            <w:tcBorders>
              <w:top w:val="single" w:sz="4" w:space="0" w:color="auto"/>
              <w:left w:val="single" w:sz="4" w:space="0" w:color="auto"/>
              <w:bottom w:val="single" w:sz="4" w:space="0" w:color="auto"/>
              <w:right w:val="single" w:sz="4" w:space="0" w:color="auto"/>
            </w:tcBorders>
          </w:tcPr>
          <w:p w14:paraId="534D6D5A" w14:textId="77777777" w:rsidR="00F5143E" w:rsidRPr="00E643CB" w:rsidRDefault="00A92DB5" w:rsidP="00532E7E">
            <w:pPr>
              <w:spacing w:after="120" w:line="276" w:lineRule="auto"/>
              <w:rPr>
                <w:rFonts w:ascii="Calibri" w:hAnsi="Calibri" w:cs="Calibri"/>
                <w:b/>
                <w:lang w:bidi="en-US"/>
              </w:rPr>
            </w:pPr>
            <w:r w:rsidRPr="00E643CB">
              <w:rPr>
                <w:rFonts w:ascii="Calibri" w:hAnsi="Calibri" w:cs="Calibri"/>
                <w:b/>
                <w:lang w:bidi="en-US"/>
              </w:rPr>
              <w:t>Rationale:</w:t>
            </w:r>
          </w:p>
          <w:p w14:paraId="24692B91" w14:textId="56E74691" w:rsidR="00A92DB5" w:rsidRPr="00E643CB" w:rsidRDefault="00A92DB5" w:rsidP="00D17EFE">
            <w:pPr>
              <w:pStyle w:val="ListParagraph"/>
              <w:numPr>
                <w:ilvl w:val="0"/>
                <w:numId w:val="36"/>
              </w:numPr>
              <w:spacing w:after="120" w:line="276" w:lineRule="auto"/>
              <w:contextualSpacing w:val="0"/>
              <w:rPr>
                <w:rFonts w:ascii="Calibri" w:hAnsi="Calibri" w:cs="Calibri"/>
                <w:bCs/>
                <w:lang w:bidi="en-US"/>
              </w:rPr>
            </w:pPr>
            <w:r w:rsidRPr="00E643CB">
              <w:rPr>
                <w:rFonts w:ascii="Calibri" w:hAnsi="Calibri" w:cs="Calibri"/>
                <w:bCs/>
                <w:lang w:bidi="en-US"/>
              </w:rPr>
              <w:t>Section 262(9)(a) of ITA 2025 deals with quoting and authentication of PAN or Aadhaar in relation to transactions covered under Draft Rule 161.</w:t>
            </w:r>
          </w:p>
          <w:p w14:paraId="71B91C0F" w14:textId="77777777" w:rsidR="00A92DB5" w:rsidRPr="00E643CB" w:rsidRDefault="00A92DB5" w:rsidP="00D17EFE">
            <w:pPr>
              <w:pStyle w:val="ListParagraph"/>
              <w:numPr>
                <w:ilvl w:val="0"/>
                <w:numId w:val="36"/>
              </w:numPr>
              <w:spacing w:after="120" w:line="276" w:lineRule="auto"/>
              <w:contextualSpacing w:val="0"/>
              <w:rPr>
                <w:rFonts w:ascii="Calibri" w:hAnsi="Calibri" w:cs="Calibri"/>
                <w:bCs/>
                <w:lang w:bidi="en-US"/>
              </w:rPr>
            </w:pPr>
            <w:r w:rsidRPr="00E643CB">
              <w:rPr>
                <w:rFonts w:ascii="Calibri" w:hAnsi="Calibri" w:cs="Calibri"/>
                <w:bCs/>
                <w:lang w:bidi="en-US"/>
              </w:rPr>
              <w:t>However, draft Rule 161, refers quoting and authentication of PAN only which is inconsistent with the corresponding Section 262(9)(a) of ITA 2025 and existing Rule 114BB.</w:t>
            </w:r>
          </w:p>
          <w:p w14:paraId="77086382" w14:textId="77777777" w:rsidR="00A92DB5" w:rsidRPr="00E643CB" w:rsidRDefault="00AB004B" w:rsidP="00D17EFE">
            <w:pPr>
              <w:pStyle w:val="ListParagraph"/>
              <w:numPr>
                <w:ilvl w:val="0"/>
                <w:numId w:val="36"/>
              </w:numPr>
              <w:spacing w:after="120" w:line="276" w:lineRule="auto"/>
              <w:contextualSpacing w:val="0"/>
              <w:rPr>
                <w:rFonts w:ascii="Calibri" w:hAnsi="Calibri" w:cs="Calibri"/>
                <w:bCs/>
                <w:lang w:bidi="en-US"/>
              </w:rPr>
            </w:pPr>
            <w:r w:rsidRPr="00E643CB">
              <w:rPr>
                <w:rFonts w:ascii="Calibri" w:hAnsi="Calibri" w:cs="Calibri"/>
                <w:bCs/>
                <w:lang w:bidi="en-US"/>
              </w:rPr>
              <w:t>In the table to Draft Rule 161(1), column (3) is blank against S.No. 1(ii); 2(ii) and 3(ii) of Column (2) and the relevant entry has been mentioned in the above row, a presentation error.</w:t>
            </w:r>
          </w:p>
          <w:p w14:paraId="5A16A620" w14:textId="230827F6" w:rsidR="00D24A43" w:rsidRPr="00E643CB" w:rsidRDefault="00D24A43" w:rsidP="00D24A43">
            <w:pPr>
              <w:spacing w:after="120" w:line="276" w:lineRule="auto"/>
              <w:rPr>
                <w:rFonts w:ascii="Calibri" w:hAnsi="Calibri" w:cs="Calibri"/>
                <w:b/>
                <w:lang w:bidi="en-US"/>
              </w:rPr>
            </w:pPr>
            <w:r w:rsidRPr="00E643CB">
              <w:rPr>
                <w:rFonts w:ascii="Calibri" w:hAnsi="Calibri" w:cs="Calibri"/>
                <w:b/>
                <w:lang w:bidi="en-US"/>
              </w:rPr>
              <w:t>Recommendation:</w:t>
            </w:r>
          </w:p>
          <w:p w14:paraId="1563388E" w14:textId="77777777" w:rsidR="00044C61" w:rsidRPr="00E643CB" w:rsidRDefault="00044C61" w:rsidP="00D17EFE">
            <w:pPr>
              <w:pStyle w:val="ListParagraph"/>
              <w:numPr>
                <w:ilvl w:val="0"/>
                <w:numId w:val="36"/>
              </w:numPr>
              <w:spacing w:after="120" w:line="276" w:lineRule="auto"/>
              <w:contextualSpacing w:val="0"/>
              <w:rPr>
                <w:rFonts w:ascii="Calibri" w:hAnsi="Calibri" w:cs="Calibri"/>
                <w:bCs/>
                <w:lang w:bidi="en-US"/>
              </w:rPr>
            </w:pPr>
            <w:r w:rsidRPr="00E643CB">
              <w:rPr>
                <w:rFonts w:ascii="Calibri" w:hAnsi="Calibri" w:cs="Calibri"/>
                <w:bCs/>
                <w:lang w:bidi="en-US"/>
              </w:rPr>
              <w:t>The exclusion of Aadhaar appears unintentional. It is recommended to include the reference of quoting and authentication of Aadhaar in Draft Rule 161 to remove the inconsistency.</w:t>
            </w:r>
          </w:p>
          <w:p w14:paraId="3C2ECB40" w14:textId="6A2EA146" w:rsidR="00AB004B" w:rsidRPr="00E643CB" w:rsidRDefault="00D24A43" w:rsidP="00D17EFE">
            <w:pPr>
              <w:pStyle w:val="ListParagraph"/>
              <w:numPr>
                <w:ilvl w:val="0"/>
                <w:numId w:val="36"/>
              </w:numPr>
              <w:spacing w:after="120" w:line="276" w:lineRule="auto"/>
              <w:contextualSpacing w:val="0"/>
              <w:rPr>
                <w:rFonts w:ascii="Calibri" w:hAnsi="Calibri" w:cs="Calibri"/>
                <w:bCs/>
                <w:lang w:bidi="en-US"/>
              </w:rPr>
            </w:pPr>
            <w:r w:rsidRPr="00E643CB">
              <w:rPr>
                <w:rFonts w:ascii="Calibri" w:hAnsi="Calibri" w:cs="Calibri"/>
                <w:bCs/>
                <w:lang w:bidi="en-US"/>
              </w:rPr>
              <w:t>The presentation error needs to be corrected in column (3) of the table.</w:t>
            </w:r>
          </w:p>
        </w:tc>
      </w:tr>
      <w:tr w:rsidR="00B36025" w:rsidRPr="00E643CB" w14:paraId="5FAAAB2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B87FA85" w14:textId="77777777" w:rsidR="00B36025" w:rsidRPr="00E643CB" w:rsidRDefault="00B3602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B961396" w14:textId="676AECCB" w:rsidR="00B36025" w:rsidRPr="0009782B" w:rsidRDefault="00987234" w:rsidP="00BD4879">
            <w:pPr>
              <w:spacing w:after="120" w:line="276" w:lineRule="auto"/>
              <w:jc w:val="both"/>
              <w:rPr>
                <w:rFonts w:ascii="Calibri" w:hAnsi="Calibri" w:cs="Calibri"/>
                <w:b/>
              </w:rPr>
            </w:pPr>
            <w:r w:rsidRPr="0009782B">
              <w:rPr>
                <w:rFonts w:ascii="Calibri" w:hAnsi="Calibri" w:cs="Calibri"/>
                <w:b/>
              </w:rPr>
              <w:t>Tax on Income of venture capital company or a venture capital fund</w:t>
            </w:r>
            <w:r w:rsidR="002554FA" w:rsidRPr="0009782B">
              <w:rPr>
                <w:rFonts w:ascii="Calibri" w:hAnsi="Calibri" w:cs="Calibri"/>
                <w:b/>
              </w:rPr>
              <w:t xml:space="preserve"> (Rule 12C of IT rules 1962, </w:t>
            </w:r>
            <w:r w:rsidR="008D0576" w:rsidRPr="0009782B">
              <w:rPr>
                <w:rFonts w:ascii="Calibri" w:hAnsi="Calibri" w:cs="Calibri"/>
                <w:b/>
              </w:rPr>
              <w:t>Section 115U(2) of ITA 1961</w:t>
            </w:r>
            <w:r w:rsidR="002554FA" w:rsidRPr="0009782B">
              <w:rPr>
                <w:rFonts w:ascii="Calibri" w:hAnsi="Calibri" w:cs="Calibri"/>
                <w:b/>
              </w:rPr>
              <w:t>)</w:t>
            </w:r>
            <w:r w:rsidR="00747546" w:rsidRPr="0009782B">
              <w:rPr>
                <w:rFonts w:ascii="Calibri" w:hAnsi="Calibri" w:cs="Calibri"/>
                <w:b/>
              </w:rPr>
              <w:t>,</w:t>
            </w:r>
            <w:r w:rsidR="00B15AE6" w:rsidRPr="0009782B">
              <w:rPr>
                <w:rFonts w:ascii="Calibri" w:hAnsi="Calibri" w:cs="Calibri"/>
                <w:b/>
              </w:rPr>
              <w:t xml:space="preserve"> (</w:t>
            </w:r>
            <w:r w:rsidR="00DE6078" w:rsidRPr="0009782B">
              <w:rPr>
                <w:rFonts w:ascii="Calibri" w:hAnsi="Calibri" w:cs="Calibri"/>
                <w:b/>
              </w:rPr>
              <w:t xml:space="preserve">Rule </w:t>
            </w:r>
            <w:r w:rsidR="00DB4908" w:rsidRPr="0009782B">
              <w:rPr>
                <w:rFonts w:ascii="Calibri" w:hAnsi="Calibri" w:cs="Calibri"/>
                <w:b/>
              </w:rPr>
              <w:t>145 of</w:t>
            </w:r>
            <w:r w:rsidR="00347294" w:rsidRPr="0009782B">
              <w:rPr>
                <w:rFonts w:ascii="Calibri" w:hAnsi="Calibri" w:cs="Calibri"/>
                <w:b/>
              </w:rPr>
              <w:t xml:space="preserve"> D</w:t>
            </w:r>
            <w:r w:rsidR="00DB4908" w:rsidRPr="0009782B">
              <w:rPr>
                <w:rFonts w:ascii="Calibri" w:hAnsi="Calibri" w:cs="Calibri"/>
                <w:b/>
              </w:rPr>
              <w:t xml:space="preserve">raft IT rules 2026, Section </w:t>
            </w:r>
            <w:r w:rsidR="000231F4" w:rsidRPr="0009782B">
              <w:rPr>
                <w:rFonts w:ascii="Calibri" w:hAnsi="Calibri" w:cs="Calibri"/>
                <w:b/>
              </w:rPr>
              <w:t>222(2) of ITA 2025</w:t>
            </w:r>
            <w:r w:rsidR="00B15AE6" w:rsidRPr="0009782B">
              <w:rPr>
                <w:rFonts w:ascii="Calibri" w:hAnsi="Calibri" w:cs="Calibri"/>
                <w:b/>
              </w:rPr>
              <w:t>)</w:t>
            </w:r>
          </w:p>
          <w:p w14:paraId="6E3A93AC" w14:textId="77777777" w:rsidR="00366437" w:rsidRPr="0009782B" w:rsidRDefault="00366437" w:rsidP="00BD4879">
            <w:pPr>
              <w:spacing w:after="120" w:line="276" w:lineRule="auto"/>
              <w:jc w:val="both"/>
              <w:rPr>
                <w:rFonts w:ascii="Calibri" w:hAnsi="Calibri" w:cs="Calibri"/>
                <w:b/>
              </w:rPr>
            </w:pPr>
          </w:p>
          <w:p w14:paraId="103E4DB8" w14:textId="01EE6057" w:rsidR="00366437" w:rsidRPr="0009782B" w:rsidRDefault="004F3682" w:rsidP="00BD4879">
            <w:pPr>
              <w:spacing w:after="120" w:line="276" w:lineRule="auto"/>
              <w:jc w:val="both"/>
              <w:rPr>
                <w:rFonts w:ascii="Calibri" w:hAnsi="Calibri" w:cs="Calibri"/>
                <w:b/>
              </w:rPr>
            </w:pPr>
            <w:r w:rsidRPr="0009782B">
              <w:rPr>
                <w:rFonts w:ascii="Calibri" w:hAnsi="Calibri" w:cs="Calibri"/>
                <w:b/>
              </w:rPr>
              <w:t>Tax on income of unit holder and business trust (Rule 12C</w:t>
            </w:r>
            <w:r w:rsidR="003F5B99" w:rsidRPr="0009782B">
              <w:rPr>
                <w:rFonts w:ascii="Calibri" w:hAnsi="Calibri" w:cs="Calibri"/>
                <w:b/>
              </w:rPr>
              <w:t>A</w:t>
            </w:r>
            <w:r w:rsidRPr="0009782B">
              <w:rPr>
                <w:rFonts w:ascii="Calibri" w:hAnsi="Calibri" w:cs="Calibri"/>
                <w:b/>
              </w:rPr>
              <w:t xml:space="preserve"> of IT rules 1962, Section 115U</w:t>
            </w:r>
            <w:r w:rsidR="009F1537" w:rsidRPr="0009782B">
              <w:rPr>
                <w:rFonts w:ascii="Calibri" w:hAnsi="Calibri" w:cs="Calibri"/>
                <w:b/>
              </w:rPr>
              <w:t>A</w:t>
            </w:r>
            <w:r w:rsidRPr="0009782B">
              <w:rPr>
                <w:rFonts w:ascii="Calibri" w:hAnsi="Calibri" w:cs="Calibri"/>
                <w:b/>
              </w:rPr>
              <w:t>(</w:t>
            </w:r>
            <w:r w:rsidR="009F1537" w:rsidRPr="0009782B">
              <w:rPr>
                <w:rFonts w:ascii="Calibri" w:hAnsi="Calibri" w:cs="Calibri"/>
                <w:b/>
              </w:rPr>
              <w:t>4</w:t>
            </w:r>
            <w:r w:rsidRPr="0009782B">
              <w:rPr>
                <w:rFonts w:ascii="Calibri" w:hAnsi="Calibri" w:cs="Calibri"/>
                <w:b/>
              </w:rPr>
              <w:t>) of ITA 1961), (Rule 145 of Draft IT rules 2026, Section 22</w:t>
            </w:r>
            <w:r w:rsidR="00E47A34" w:rsidRPr="0009782B">
              <w:rPr>
                <w:rFonts w:ascii="Calibri" w:hAnsi="Calibri" w:cs="Calibri"/>
                <w:b/>
              </w:rPr>
              <w:t>3</w:t>
            </w:r>
            <w:r w:rsidRPr="0009782B">
              <w:rPr>
                <w:rFonts w:ascii="Calibri" w:hAnsi="Calibri" w:cs="Calibri"/>
                <w:b/>
              </w:rPr>
              <w:t>(</w:t>
            </w:r>
            <w:r w:rsidR="00E47A34" w:rsidRPr="0009782B">
              <w:rPr>
                <w:rFonts w:ascii="Calibri" w:hAnsi="Calibri" w:cs="Calibri"/>
                <w:b/>
              </w:rPr>
              <w:t>4</w:t>
            </w:r>
            <w:r w:rsidRPr="0009782B">
              <w:rPr>
                <w:rFonts w:ascii="Calibri" w:hAnsi="Calibri" w:cs="Calibri"/>
                <w:b/>
              </w:rPr>
              <w:t>) of ITA 2025</w:t>
            </w:r>
            <w:r w:rsidR="00E47A34" w:rsidRPr="0009782B">
              <w:rPr>
                <w:rFonts w:ascii="Calibri" w:hAnsi="Calibri" w:cs="Calibri"/>
                <w:b/>
              </w:rPr>
              <w:t>)</w:t>
            </w:r>
          </w:p>
          <w:p w14:paraId="182A2AD2" w14:textId="77777777" w:rsidR="00E47A34" w:rsidRPr="0009782B" w:rsidRDefault="00E47A34" w:rsidP="00BD4879">
            <w:pPr>
              <w:spacing w:after="120" w:line="276" w:lineRule="auto"/>
              <w:jc w:val="both"/>
              <w:rPr>
                <w:rFonts w:ascii="Calibri" w:hAnsi="Calibri" w:cs="Calibri"/>
                <w:b/>
              </w:rPr>
            </w:pPr>
          </w:p>
          <w:p w14:paraId="7BA5E7FD" w14:textId="01776B55" w:rsidR="00E47A34" w:rsidRPr="0009782B" w:rsidRDefault="00D45752" w:rsidP="00BD4879">
            <w:pPr>
              <w:spacing w:after="120" w:line="276" w:lineRule="auto"/>
              <w:jc w:val="both"/>
              <w:rPr>
                <w:rFonts w:ascii="Calibri" w:hAnsi="Calibri" w:cs="Calibri"/>
                <w:b/>
              </w:rPr>
            </w:pPr>
            <w:r w:rsidRPr="0009782B">
              <w:rPr>
                <w:rFonts w:ascii="Calibri" w:hAnsi="Calibri" w:cs="Calibri"/>
                <w:b/>
              </w:rPr>
              <w:t xml:space="preserve">Tax on income of investment fund &amp; its unit holders </w:t>
            </w:r>
            <w:r w:rsidR="00B42EA4" w:rsidRPr="0009782B">
              <w:rPr>
                <w:rFonts w:ascii="Calibri" w:hAnsi="Calibri" w:cs="Calibri"/>
                <w:b/>
              </w:rPr>
              <w:t>(Rule 12C</w:t>
            </w:r>
            <w:r w:rsidR="006D73AA" w:rsidRPr="0009782B">
              <w:rPr>
                <w:rFonts w:ascii="Calibri" w:hAnsi="Calibri" w:cs="Calibri"/>
                <w:b/>
              </w:rPr>
              <w:t>B</w:t>
            </w:r>
            <w:r w:rsidR="00B42EA4" w:rsidRPr="0009782B">
              <w:rPr>
                <w:rFonts w:ascii="Calibri" w:hAnsi="Calibri" w:cs="Calibri"/>
                <w:b/>
              </w:rPr>
              <w:t xml:space="preserve"> of IT rules 1962, Section 115U</w:t>
            </w:r>
            <w:r w:rsidR="00D83C00" w:rsidRPr="0009782B">
              <w:rPr>
                <w:rFonts w:ascii="Calibri" w:hAnsi="Calibri" w:cs="Calibri"/>
                <w:b/>
              </w:rPr>
              <w:t>B</w:t>
            </w:r>
            <w:r w:rsidR="00B42EA4" w:rsidRPr="0009782B">
              <w:rPr>
                <w:rFonts w:ascii="Calibri" w:hAnsi="Calibri" w:cs="Calibri"/>
                <w:b/>
              </w:rPr>
              <w:t xml:space="preserve"> of ITA 1961), (Rule 145 of Draft IT rules 2026, Section 224 of ITA 2025)</w:t>
            </w:r>
          </w:p>
          <w:p w14:paraId="2EDCAD29" w14:textId="77777777" w:rsidR="00307A84" w:rsidRPr="0009782B" w:rsidRDefault="00307A84" w:rsidP="00BD4879">
            <w:pPr>
              <w:spacing w:after="120" w:line="276" w:lineRule="auto"/>
              <w:jc w:val="both"/>
              <w:rPr>
                <w:rFonts w:ascii="Calibri" w:hAnsi="Calibri" w:cs="Calibri"/>
                <w:b/>
              </w:rPr>
            </w:pPr>
          </w:p>
          <w:p w14:paraId="6AA28A7E" w14:textId="1CBC2E50" w:rsidR="00987234" w:rsidRPr="0009782B" w:rsidRDefault="00307A84" w:rsidP="00BD4879">
            <w:pPr>
              <w:spacing w:after="120" w:line="276" w:lineRule="auto"/>
              <w:jc w:val="both"/>
              <w:rPr>
                <w:rFonts w:ascii="Calibri" w:hAnsi="Calibri" w:cs="Calibri"/>
                <w:b/>
                <w:lang w:bidi="en-US"/>
              </w:rPr>
            </w:pPr>
            <w:r w:rsidRPr="0009782B">
              <w:rPr>
                <w:rFonts w:ascii="Calibri" w:hAnsi="Calibri" w:cs="Calibri"/>
                <w:b/>
              </w:rPr>
              <w:t>Tax on income from Securitisation trust (Rule 12C</w:t>
            </w:r>
            <w:r w:rsidR="00F54735" w:rsidRPr="0009782B">
              <w:rPr>
                <w:rFonts w:ascii="Calibri" w:hAnsi="Calibri" w:cs="Calibri"/>
                <w:b/>
              </w:rPr>
              <w:t>C</w:t>
            </w:r>
            <w:r w:rsidRPr="0009782B">
              <w:rPr>
                <w:rFonts w:ascii="Calibri" w:hAnsi="Calibri" w:cs="Calibri"/>
                <w:b/>
              </w:rPr>
              <w:t xml:space="preserve"> of IT </w:t>
            </w:r>
            <w:r w:rsidR="00F54735" w:rsidRPr="0009782B">
              <w:rPr>
                <w:rFonts w:ascii="Calibri" w:hAnsi="Calibri" w:cs="Calibri"/>
                <w:b/>
              </w:rPr>
              <w:t>R</w:t>
            </w:r>
            <w:r w:rsidRPr="0009782B">
              <w:rPr>
                <w:rFonts w:ascii="Calibri" w:hAnsi="Calibri" w:cs="Calibri"/>
                <w:b/>
              </w:rPr>
              <w:t>ules 1962, Section 11</w:t>
            </w:r>
            <w:r w:rsidR="0014120F" w:rsidRPr="0009782B">
              <w:rPr>
                <w:rFonts w:ascii="Calibri" w:hAnsi="Calibri" w:cs="Calibri"/>
                <w:b/>
              </w:rPr>
              <w:t>5TCA</w:t>
            </w:r>
            <w:r w:rsidRPr="0009782B">
              <w:rPr>
                <w:rFonts w:ascii="Calibri" w:hAnsi="Calibri" w:cs="Calibri"/>
                <w:b/>
              </w:rPr>
              <w:t xml:space="preserve"> of ITA 1961), (Rule 145 of Draft IT </w:t>
            </w:r>
            <w:r w:rsidR="00424CC3" w:rsidRPr="0009782B">
              <w:rPr>
                <w:rFonts w:ascii="Calibri" w:hAnsi="Calibri" w:cs="Calibri"/>
                <w:b/>
              </w:rPr>
              <w:t>R</w:t>
            </w:r>
            <w:r w:rsidRPr="0009782B">
              <w:rPr>
                <w:rFonts w:ascii="Calibri" w:hAnsi="Calibri" w:cs="Calibri"/>
                <w:b/>
              </w:rPr>
              <w:t>ules 2026, Section 22</w:t>
            </w:r>
            <w:r w:rsidR="00D14680" w:rsidRPr="0009782B">
              <w:rPr>
                <w:rFonts w:ascii="Calibri" w:hAnsi="Calibri" w:cs="Calibri"/>
                <w:b/>
              </w:rPr>
              <w:t>1</w:t>
            </w:r>
            <w:r w:rsidRPr="0009782B">
              <w:rPr>
                <w:rFonts w:ascii="Calibri" w:hAnsi="Calibri" w:cs="Calibri"/>
                <w:b/>
              </w:rPr>
              <w:t xml:space="preserve"> of ITA 2025)</w:t>
            </w:r>
          </w:p>
        </w:tc>
        <w:tc>
          <w:tcPr>
            <w:tcW w:w="10404" w:type="dxa"/>
            <w:tcBorders>
              <w:top w:val="single" w:sz="4" w:space="0" w:color="auto"/>
              <w:left w:val="single" w:sz="4" w:space="0" w:color="auto"/>
              <w:bottom w:val="single" w:sz="4" w:space="0" w:color="auto"/>
              <w:right w:val="single" w:sz="4" w:space="0" w:color="auto"/>
            </w:tcBorders>
          </w:tcPr>
          <w:p w14:paraId="0BDDE254" w14:textId="3477995E" w:rsidR="00AF69C5" w:rsidRPr="00E643CB" w:rsidRDefault="00AF69C5" w:rsidP="00532E7E">
            <w:pPr>
              <w:spacing w:after="120" w:line="276" w:lineRule="auto"/>
              <w:ind w:right="279"/>
              <w:rPr>
                <w:rFonts w:ascii="Calibri" w:hAnsi="Calibri" w:cs="Calibri"/>
                <w:b/>
              </w:rPr>
            </w:pPr>
            <w:r w:rsidRPr="00E643CB">
              <w:rPr>
                <w:rFonts w:ascii="Calibri" w:hAnsi="Calibri" w:cs="Calibri"/>
                <w:b/>
              </w:rPr>
              <w:t>Rationale</w:t>
            </w:r>
          </w:p>
          <w:p w14:paraId="5D898A60" w14:textId="77777777" w:rsidR="00471679" w:rsidRPr="00E643CB" w:rsidRDefault="00471679" w:rsidP="00532E7E">
            <w:pPr>
              <w:spacing w:after="120" w:line="276" w:lineRule="auto"/>
              <w:ind w:right="279"/>
              <w:rPr>
                <w:rFonts w:ascii="Calibri" w:hAnsi="Calibri" w:cs="Calibri"/>
              </w:rPr>
            </w:pPr>
            <w:r w:rsidRPr="00E643CB">
              <w:rPr>
                <w:rFonts w:ascii="Calibri" w:hAnsi="Calibri" w:cs="Calibri"/>
              </w:rPr>
              <w:t>With respect to Form 74, Form 76, Form 79 and Form 72 (“Forms”):</w:t>
            </w:r>
          </w:p>
          <w:p w14:paraId="71869C22" w14:textId="77777777" w:rsidR="00471679" w:rsidRPr="00E643CB" w:rsidRDefault="00471679" w:rsidP="00532E7E">
            <w:pPr>
              <w:spacing w:after="120" w:line="276" w:lineRule="auto"/>
              <w:ind w:left="141" w:right="279"/>
              <w:rPr>
                <w:rFonts w:ascii="Calibri" w:hAnsi="Calibri" w:cs="Calibri"/>
                <w:b/>
                <w:u w:val="single"/>
              </w:rPr>
            </w:pPr>
            <w:r w:rsidRPr="00E643CB">
              <w:rPr>
                <w:rFonts w:ascii="Calibri" w:hAnsi="Calibri" w:cs="Calibri"/>
                <w:b/>
                <w:u w:val="single"/>
              </w:rPr>
              <w:t xml:space="preserve">Issue 1 – </w:t>
            </w:r>
          </w:p>
          <w:p w14:paraId="0444855D" w14:textId="77777777"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 xml:space="preserve">The </w:t>
            </w:r>
            <w:r w:rsidRPr="00E643CB">
              <w:rPr>
                <w:rFonts w:ascii="Calibri" w:hAnsi="Calibri" w:cs="Calibri"/>
                <w:lang w:bidi="en-US"/>
              </w:rPr>
              <w:t>Draft</w:t>
            </w:r>
            <w:r w:rsidRPr="00E643CB">
              <w:rPr>
                <w:rFonts w:ascii="Calibri" w:hAnsi="Calibri" w:cs="Calibri"/>
              </w:rPr>
              <w:t xml:space="preserve"> Rules 2026 and the erstwhile Income-tax rules, 1962 mandate that audited financial statements be submitted along with the Forms by 15th June each year.</w:t>
            </w:r>
          </w:p>
          <w:p w14:paraId="53BCF7EE" w14:textId="6A8496F1"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However, for the concerned entities, the statutory deadline for finalisation and signing of audited financial statements is generally 30th September under the applicable regulatory framework.</w:t>
            </w:r>
          </w:p>
          <w:p w14:paraId="3DFD111F" w14:textId="77777777"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This creates a practical difficulty for the assessee to get the audited accounts available by 15th June for submission along with the Forms.</w:t>
            </w:r>
          </w:p>
          <w:p w14:paraId="3086B2D8" w14:textId="45A51E34"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Consequently, the industry faces significant compliance challenges and the risk of technical non</w:t>
            </w:r>
            <w:r w:rsidRPr="00E643CB">
              <w:rPr>
                <w:rFonts w:ascii="Calibri" w:hAnsi="Calibri" w:cs="Calibri"/>
              </w:rPr>
              <w:noBreakHyphen/>
              <w:t xml:space="preserve">compliance due to the </w:t>
            </w:r>
            <w:r w:rsidRPr="00E643CB">
              <w:rPr>
                <w:rFonts w:ascii="Calibri" w:hAnsi="Calibri" w:cs="Calibri"/>
                <w:lang w:bidi="en-US"/>
              </w:rPr>
              <w:t>mismatch</w:t>
            </w:r>
            <w:r w:rsidRPr="00E643CB">
              <w:rPr>
                <w:rFonts w:ascii="Calibri" w:hAnsi="Calibri" w:cs="Calibri"/>
              </w:rPr>
              <w:t xml:space="preserve"> between the regulatory audit timeline and the proposed reporting timeline. </w:t>
            </w:r>
          </w:p>
          <w:p w14:paraId="636A8F32" w14:textId="653D062B" w:rsidR="004C7CD9" w:rsidRPr="00E643CB" w:rsidRDefault="004C7CD9" w:rsidP="00532E7E">
            <w:pPr>
              <w:spacing w:after="120" w:line="276" w:lineRule="auto"/>
              <w:rPr>
                <w:rFonts w:ascii="Calibri" w:hAnsi="Calibri" w:cs="Calibri"/>
                <w:b/>
              </w:rPr>
            </w:pPr>
            <w:r w:rsidRPr="00E643CB">
              <w:rPr>
                <w:rFonts w:ascii="Calibri" w:hAnsi="Calibri" w:cs="Calibri"/>
                <w:b/>
              </w:rPr>
              <w:t>Recommendation</w:t>
            </w:r>
          </w:p>
          <w:p w14:paraId="45E1D214" w14:textId="3B371026" w:rsidR="004C7CD9" w:rsidRPr="00E643CB" w:rsidRDefault="004C7CD9" w:rsidP="00532E7E">
            <w:pPr>
              <w:numPr>
                <w:ilvl w:val="0"/>
                <w:numId w:val="3"/>
              </w:numPr>
              <w:spacing w:after="120" w:line="276" w:lineRule="auto"/>
              <w:rPr>
                <w:rFonts w:ascii="Calibri" w:hAnsi="Calibri" w:cs="Calibri"/>
                <w:u w:val="single"/>
              </w:rPr>
            </w:pPr>
            <w:r w:rsidRPr="00E643CB">
              <w:rPr>
                <w:rFonts w:ascii="Calibri" w:hAnsi="Calibri" w:cs="Calibri"/>
                <w:u w:val="single"/>
              </w:rPr>
              <w:t>Option 1: Extension of the Due Date</w:t>
            </w:r>
          </w:p>
          <w:p w14:paraId="1B67A73A" w14:textId="2B1B0028" w:rsidR="004C7CD9" w:rsidRPr="00E643CB" w:rsidRDefault="004C7CD9" w:rsidP="00532E7E">
            <w:pPr>
              <w:spacing w:after="120" w:line="276" w:lineRule="auto"/>
              <w:ind w:left="720"/>
              <w:rPr>
                <w:rFonts w:ascii="Calibri" w:hAnsi="Calibri" w:cs="Calibri"/>
              </w:rPr>
            </w:pPr>
            <w:r w:rsidRPr="00E643CB">
              <w:rPr>
                <w:rFonts w:ascii="Calibri" w:hAnsi="Calibri" w:cs="Calibri"/>
              </w:rPr>
              <w:t>It is proposed that the due date for submission of the Forms be shifted to a date on or after</w:t>
            </w:r>
            <w:r w:rsidRPr="00E643CB">
              <w:rPr>
                <w:rFonts w:ascii="Calibri" w:hAnsi="Calibri" w:cs="Calibri"/>
                <w:i/>
              </w:rPr>
              <w:t xml:space="preserve"> </w:t>
            </w:r>
            <w:r w:rsidRPr="00E643CB">
              <w:rPr>
                <w:rFonts w:ascii="Calibri" w:hAnsi="Calibri" w:cs="Calibri"/>
              </w:rPr>
              <w:t xml:space="preserve">30th September each year. This will </w:t>
            </w:r>
            <w:r w:rsidRPr="00E643CB">
              <w:rPr>
                <w:rFonts w:ascii="Calibri" w:hAnsi="Calibri" w:cs="Calibri"/>
                <w:lang w:bidi="en-US"/>
              </w:rPr>
              <w:t>allow</w:t>
            </w:r>
            <w:r w:rsidRPr="00E643CB">
              <w:rPr>
                <w:rFonts w:ascii="Calibri" w:hAnsi="Calibri" w:cs="Calibri"/>
              </w:rPr>
              <w:t xml:space="preserve"> entities to submit the forms along with their audited financial statements, which are generally finalised and signed by 30th September as per statutory timelines. Aligning the Forms’ submission date with the audit cycle would enhance consistency, reduce administrative difficulties, and avoid unintentional non</w:t>
            </w:r>
            <w:r w:rsidRPr="00E643CB">
              <w:rPr>
                <w:rFonts w:ascii="Calibri" w:hAnsi="Calibri" w:cs="Calibri"/>
              </w:rPr>
              <w:noBreakHyphen/>
              <w:t>compliance arising from the unavailability of audited accounts by 15th June. This change would also ensure that the Department receives complete, accurate, and audit</w:t>
            </w:r>
            <w:r w:rsidRPr="00E643CB">
              <w:rPr>
                <w:rFonts w:ascii="Calibri" w:hAnsi="Calibri" w:cs="Calibri"/>
              </w:rPr>
              <w:noBreakHyphen/>
              <w:t>verified information, thereby improving the quality and reliability of reporting.</w:t>
            </w:r>
          </w:p>
          <w:p w14:paraId="72871DA1" w14:textId="4A735A25" w:rsidR="004C7CD9" w:rsidRPr="00E643CB" w:rsidRDefault="004C7CD9" w:rsidP="00532E7E">
            <w:pPr>
              <w:numPr>
                <w:ilvl w:val="0"/>
                <w:numId w:val="3"/>
              </w:numPr>
              <w:spacing w:after="120" w:line="276" w:lineRule="auto"/>
              <w:rPr>
                <w:rFonts w:ascii="Calibri" w:hAnsi="Calibri" w:cs="Calibri"/>
                <w:u w:val="single"/>
              </w:rPr>
            </w:pPr>
            <w:r w:rsidRPr="00E643CB">
              <w:rPr>
                <w:rFonts w:ascii="Calibri" w:hAnsi="Calibri" w:cs="Calibri"/>
                <w:u w:val="single"/>
              </w:rPr>
              <w:t>Option 2: Filing Based on Unaudited Financial Statements</w:t>
            </w:r>
          </w:p>
          <w:p w14:paraId="4488A738" w14:textId="69E167CB" w:rsidR="004C7CD9" w:rsidRPr="00E643CB" w:rsidRDefault="004C7CD9" w:rsidP="00532E7E">
            <w:pPr>
              <w:spacing w:after="120" w:line="276" w:lineRule="auto"/>
              <w:ind w:left="720"/>
              <w:rPr>
                <w:rFonts w:ascii="Calibri" w:hAnsi="Calibri" w:cs="Calibri"/>
              </w:rPr>
            </w:pPr>
            <w:r w:rsidRPr="00E643CB">
              <w:rPr>
                <w:rFonts w:ascii="Calibri" w:hAnsi="Calibri" w:cs="Calibri"/>
              </w:rPr>
              <w:t xml:space="preserve">Alternatively, entities may be permitted to file the Forms by 15th June using unaudited financial statements, with the </w:t>
            </w:r>
            <w:r w:rsidRPr="00E643CB">
              <w:rPr>
                <w:rFonts w:ascii="Calibri" w:hAnsi="Calibri" w:cs="Calibri"/>
                <w:lang w:bidi="en-US"/>
              </w:rPr>
              <w:t>requirement</w:t>
            </w:r>
            <w:r w:rsidRPr="00E643CB">
              <w:rPr>
                <w:rFonts w:ascii="Calibri" w:hAnsi="Calibri" w:cs="Calibri"/>
              </w:rPr>
              <w:t xml:space="preserve"> to subsequently submit the audited financials once finalised. This two</w:t>
            </w:r>
            <w:r w:rsidRPr="00E643CB">
              <w:rPr>
                <w:rFonts w:ascii="Calibri" w:hAnsi="Calibri" w:cs="Calibri"/>
              </w:rPr>
              <w:noBreakHyphen/>
              <w:t>stage filing process accommodates the current statutory audit timeline while ensuring timely compliance under the Draft Rules. It allows entities to meet the prescribed deadline without compromising the accuracy of final data. This approach aligns with prevailing industry practice and offers a practical way to prevent non</w:t>
            </w:r>
            <w:r w:rsidRPr="00E643CB">
              <w:rPr>
                <w:rFonts w:ascii="Calibri" w:hAnsi="Calibri" w:cs="Calibri"/>
              </w:rPr>
              <w:noBreakHyphen/>
              <w:t>compliance that may occur solely due to audit completion timelines beyond the control of reporting entities.</w:t>
            </w:r>
          </w:p>
          <w:p w14:paraId="0AC81973" w14:textId="77777777" w:rsidR="00471679" w:rsidRPr="00E643CB" w:rsidRDefault="00471679" w:rsidP="00532E7E">
            <w:pPr>
              <w:spacing w:after="120" w:line="276" w:lineRule="auto"/>
              <w:ind w:left="141" w:right="279"/>
              <w:rPr>
                <w:rFonts w:ascii="Calibri" w:hAnsi="Calibri" w:cs="Calibri"/>
                <w:b/>
                <w:u w:val="single"/>
              </w:rPr>
            </w:pPr>
            <w:r w:rsidRPr="00E643CB">
              <w:rPr>
                <w:rFonts w:ascii="Calibri" w:hAnsi="Calibri" w:cs="Calibri"/>
                <w:b/>
                <w:u w:val="single"/>
              </w:rPr>
              <w:t xml:space="preserve">Issue 2 – </w:t>
            </w:r>
          </w:p>
          <w:p w14:paraId="4250FD22" w14:textId="77777777"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 xml:space="preserve">The Draft Rules, 2026 introduce revised reporting Forms that mandate disclosure of the </w:t>
            </w:r>
            <w:r w:rsidRPr="00E643CB">
              <w:rPr>
                <w:rFonts w:ascii="Calibri" w:hAnsi="Calibri" w:cs="Calibri"/>
                <w:i/>
              </w:rPr>
              <w:t>“Validity of Registration (upto)”</w:t>
            </w:r>
            <w:r w:rsidRPr="00E643CB">
              <w:rPr>
                <w:rFonts w:ascii="Calibri" w:hAnsi="Calibri" w:cs="Calibri"/>
              </w:rPr>
              <w:t xml:space="preserve"> for </w:t>
            </w:r>
            <w:r w:rsidRPr="00E643CB">
              <w:rPr>
                <w:rFonts w:ascii="Calibri" w:hAnsi="Calibri" w:cs="Calibri"/>
                <w:lang w:bidi="en-US"/>
              </w:rPr>
              <w:t>entities</w:t>
            </w:r>
            <w:r w:rsidRPr="00E643CB">
              <w:rPr>
                <w:rFonts w:ascii="Calibri" w:hAnsi="Calibri" w:cs="Calibri"/>
              </w:rPr>
              <w:t xml:space="preserve"> registered under the relevant Act/Regulations—primarily registrations granted by the Securities and Exchange Board of India (SEBI).</w:t>
            </w:r>
          </w:p>
          <w:p w14:paraId="380BE6A8" w14:textId="77777777" w:rsidR="00471679"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 xml:space="preserve">It is submitted that SEBI registrations, in most categories, do not carry provide any fixed validity period for registration. </w:t>
            </w:r>
            <w:r w:rsidRPr="00E643CB">
              <w:rPr>
                <w:rFonts w:ascii="Calibri" w:hAnsi="Calibri" w:cs="Calibri"/>
                <w:lang w:bidi="en-US"/>
              </w:rPr>
              <w:t>Registrations</w:t>
            </w:r>
            <w:r w:rsidRPr="00E643CB">
              <w:rPr>
                <w:rFonts w:ascii="Calibri" w:hAnsi="Calibri" w:cs="Calibri"/>
              </w:rPr>
              <w:t xml:space="preserve"> are generally perpetual in nature, subject only to compliance with ongoing regulatory requirements and payment of fees, where applicable.</w:t>
            </w:r>
          </w:p>
          <w:p w14:paraId="6DC3CAD2" w14:textId="77777777" w:rsidR="00B36025" w:rsidRPr="00E643CB" w:rsidRDefault="00471679" w:rsidP="00532E7E">
            <w:pPr>
              <w:numPr>
                <w:ilvl w:val="0"/>
                <w:numId w:val="3"/>
              </w:numPr>
              <w:spacing w:after="120" w:line="276" w:lineRule="auto"/>
              <w:rPr>
                <w:rFonts w:ascii="Calibri" w:hAnsi="Calibri" w:cs="Calibri"/>
              </w:rPr>
            </w:pPr>
            <w:r w:rsidRPr="00E643CB">
              <w:rPr>
                <w:rFonts w:ascii="Calibri" w:hAnsi="Calibri" w:cs="Calibri"/>
              </w:rPr>
              <w:t xml:space="preserve">Mandating this field as compulsory would therefore result in practical challenges and inconsistencies in reporting, given that the </w:t>
            </w:r>
            <w:r w:rsidRPr="00E643CB">
              <w:rPr>
                <w:rFonts w:ascii="Calibri" w:hAnsi="Calibri" w:cs="Calibri"/>
                <w:lang w:bidi="en-US"/>
              </w:rPr>
              <w:t>required</w:t>
            </w:r>
            <w:r w:rsidRPr="00E643CB">
              <w:rPr>
                <w:rFonts w:ascii="Calibri" w:hAnsi="Calibri" w:cs="Calibri"/>
              </w:rPr>
              <w:t xml:space="preserve"> information is inherently unavailable in a majority of cases.</w:t>
            </w:r>
          </w:p>
          <w:p w14:paraId="77E5A3AB" w14:textId="2927EA1B" w:rsidR="008425F1" w:rsidRPr="00E643CB" w:rsidRDefault="008425F1" w:rsidP="00532E7E">
            <w:pPr>
              <w:spacing w:after="120" w:line="276" w:lineRule="auto"/>
              <w:ind w:left="40" w:right="279"/>
              <w:rPr>
                <w:rFonts w:ascii="Calibri" w:hAnsi="Calibri" w:cs="Calibri"/>
                <w:b/>
              </w:rPr>
            </w:pPr>
            <w:r w:rsidRPr="00E643CB">
              <w:rPr>
                <w:rFonts w:ascii="Calibri" w:hAnsi="Calibri" w:cs="Calibri"/>
                <w:b/>
              </w:rPr>
              <w:t>Recommendation</w:t>
            </w:r>
          </w:p>
          <w:p w14:paraId="35437930" w14:textId="77777777" w:rsidR="000E396F" w:rsidRPr="00E643CB" w:rsidRDefault="008425F1" w:rsidP="00532E7E">
            <w:pPr>
              <w:numPr>
                <w:ilvl w:val="0"/>
                <w:numId w:val="3"/>
              </w:numPr>
              <w:spacing w:after="120" w:line="276" w:lineRule="auto"/>
              <w:rPr>
                <w:rFonts w:ascii="Calibri" w:hAnsi="Calibri" w:cs="Calibri"/>
                <w:u w:val="single"/>
              </w:rPr>
            </w:pPr>
            <w:r w:rsidRPr="00E643CB">
              <w:rPr>
                <w:rFonts w:ascii="Calibri" w:hAnsi="Calibri" w:cs="Calibri"/>
                <w:u w:val="single"/>
              </w:rPr>
              <w:t>Option A: Removal of the Field</w:t>
            </w:r>
          </w:p>
          <w:p w14:paraId="66B92719" w14:textId="5046554E" w:rsidR="008425F1" w:rsidRPr="00E643CB" w:rsidRDefault="008425F1" w:rsidP="00532E7E">
            <w:pPr>
              <w:spacing w:after="120" w:line="276" w:lineRule="auto"/>
              <w:ind w:left="720"/>
              <w:rPr>
                <w:rFonts w:ascii="Calibri" w:hAnsi="Calibri" w:cs="Calibri"/>
                <w:u w:val="single"/>
              </w:rPr>
            </w:pPr>
            <w:r w:rsidRPr="00E643CB">
              <w:rPr>
                <w:rFonts w:ascii="Calibri" w:hAnsi="Calibri" w:cs="Calibri"/>
              </w:rPr>
              <w:t>Remove the requirement to report “Validity of Registration (upto)” in the Forms, as most regulatory registrations, particularly SEBI registrations, do not stipulate a fixed validity period, making the field inapplicable and potentially misleading.</w:t>
            </w:r>
          </w:p>
          <w:p w14:paraId="752BD739" w14:textId="77777777" w:rsidR="000E396F" w:rsidRPr="00E643CB" w:rsidRDefault="008425F1" w:rsidP="00532E7E">
            <w:pPr>
              <w:numPr>
                <w:ilvl w:val="0"/>
                <w:numId w:val="3"/>
              </w:numPr>
              <w:spacing w:after="120" w:line="276" w:lineRule="auto"/>
              <w:rPr>
                <w:rFonts w:ascii="Calibri" w:hAnsi="Calibri" w:cs="Calibri"/>
                <w:u w:val="single"/>
              </w:rPr>
            </w:pPr>
            <w:r w:rsidRPr="00E643CB">
              <w:rPr>
                <w:rFonts w:ascii="Calibri" w:hAnsi="Calibri" w:cs="Calibri"/>
                <w:u w:val="single"/>
                <w:lang w:bidi="en-US"/>
              </w:rPr>
              <w:t>Option</w:t>
            </w:r>
            <w:r w:rsidRPr="00E643CB">
              <w:rPr>
                <w:rFonts w:ascii="Calibri" w:hAnsi="Calibri" w:cs="Calibri"/>
                <w:u w:val="single"/>
              </w:rPr>
              <w:t xml:space="preserve"> B: Make the Field Optional</w:t>
            </w:r>
          </w:p>
          <w:p w14:paraId="78A7FD3B" w14:textId="004F16D7" w:rsidR="00BD0A8E" w:rsidRPr="00E643CB" w:rsidRDefault="008425F1" w:rsidP="00532E7E">
            <w:pPr>
              <w:spacing w:after="120" w:line="276" w:lineRule="auto"/>
              <w:ind w:left="720"/>
              <w:rPr>
                <w:rFonts w:ascii="Calibri" w:hAnsi="Calibri" w:cs="Calibri"/>
                <w:u w:val="single"/>
              </w:rPr>
            </w:pPr>
            <w:r w:rsidRPr="00E643CB">
              <w:rPr>
                <w:rFonts w:ascii="Calibri" w:hAnsi="Calibri" w:cs="Calibri"/>
              </w:rPr>
              <w:t>Alternatively, the field may be made optional / non</w:t>
            </w:r>
            <w:r w:rsidRPr="00E643CB">
              <w:rPr>
                <w:rFonts w:ascii="Calibri" w:hAnsi="Calibri" w:cs="Calibri"/>
              </w:rPr>
              <w:noBreakHyphen/>
              <w:t>mandatory, allowing entities to leave it blank or specify “Not Applicable” where registrations are perpetual or without an expiry date.</w:t>
            </w:r>
          </w:p>
        </w:tc>
      </w:tr>
      <w:tr w:rsidR="00B36025" w:rsidRPr="00E643CB" w14:paraId="2A516AF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DCBB5DF" w14:textId="77777777" w:rsidR="00B36025" w:rsidRPr="00E643CB" w:rsidRDefault="00B3602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E50AA17" w14:textId="5362551D" w:rsidR="00B36025" w:rsidRPr="0009782B" w:rsidRDefault="00635603" w:rsidP="00BD4879">
            <w:pPr>
              <w:spacing w:after="120" w:line="276" w:lineRule="auto"/>
              <w:jc w:val="both"/>
              <w:rPr>
                <w:rFonts w:ascii="Calibri" w:hAnsi="Calibri" w:cs="Calibri"/>
                <w:b/>
                <w:lang w:bidi="en-US"/>
              </w:rPr>
            </w:pPr>
            <w:r w:rsidRPr="0009782B">
              <w:rPr>
                <w:rFonts w:ascii="Calibri" w:hAnsi="Calibri" w:cs="Calibri"/>
                <w:b/>
                <w:lang w:bidi="en-US"/>
              </w:rPr>
              <w:t>Jurisdiction of Valuation Officers as per section 2(110) read with section 269 of ITA 2026</w:t>
            </w:r>
            <w:r w:rsidR="00C36335" w:rsidRPr="0009782B">
              <w:rPr>
                <w:rFonts w:ascii="Calibri" w:hAnsi="Calibri" w:cs="Calibri"/>
                <w:b/>
                <w:lang w:bidi="en-US"/>
              </w:rPr>
              <w:t xml:space="preserve"> (</w:t>
            </w:r>
            <w:r w:rsidR="00C36335" w:rsidRPr="0009782B">
              <w:rPr>
                <w:rFonts w:ascii="Calibri" w:eastAsia="Times New Roman" w:hAnsi="Calibri" w:cs="Calibri"/>
                <w:b/>
                <w:color w:val="000000"/>
                <w:kern w:val="0"/>
                <w:lang w:eastAsia="en-IN"/>
                <w14:ligatures w14:val="none"/>
              </w:rPr>
              <w:t>Rule 173 of Draft IT Rules 2026</w:t>
            </w:r>
            <w:r w:rsidR="00C36335" w:rsidRPr="0009782B">
              <w:rPr>
                <w:rFonts w:ascii="Calibri" w:hAnsi="Calibri" w:cs="Calibri"/>
                <w:b/>
                <w:lang w:bidi="en-US"/>
              </w:rPr>
              <w:t>)</w:t>
            </w:r>
          </w:p>
          <w:p w14:paraId="4B29C152" w14:textId="77777777" w:rsidR="00635603" w:rsidRPr="0009782B" w:rsidRDefault="00635603" w:rsidP="00BD4879">
            <w:pPr>
              <w:spacing w:after="120" w:line="276" w:lineRule="auto"/>
              <w:jc w:val="both"/>
              <w:rPr>
                <w:rFonts w:ascii="Calibri" w:hAnsi="Calibri" w:cs="Calibri"/>
                <w:b/>
                <w:lang w:bidi="en-US"/>
              </w:rPr>
            </w:pPr>
          </w:p>
          <w:p w14:paraId="4D1560DC" w14:textId="363C804A" w:rsidR="00F13955" w:rsidRPr="0009782B" w:rsidRDefault="00F13955" w:rsidP="00BD4879">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3A</w:t>
            </w:r>
            <w:r w:rsidR="00C36335" w:rsidRPr="0009782B">
              <w:rPr>
                <w:rFonts w:ascii="Calibri" w:eastAsia="Times New Roman" w:hAnsi="Calibri" w:cs="Calibri"/>
                <w:b/>
                <w:color w:val="000000"/>
                <w:kern w:val="0"/>
                <w:lang w:eastAsia="en-IN"/>
                <w14:ligatures w14:val="none"/>
              </w:rPr>
              <w:t xml:space="preserve"> </w:t>
            </w:r>
            <w:r w:rsidRPr="0009782B">
              <w:rPr>
                <w:rFonts w:ascii="Calibri" w:eastAsia="Times New Roman" w:hAnsi="Calibri" w:cs="Calibri"/>
                <w:b/>
                <w:color w:val="000000"/>
                <w:kern w:val="0"/>
                <w:lang w:eastAsia="en-IN"/>
                <w14:ligatures w14:val="none"/>
              </w:rPr>
              <w:t>- Wealth-tax Act, 1957</w:t>
            </w:r>
          </w:p>
          <w:p w14:paraId="33750EEC" w14:textId="77777777" w:rsidR="00F13955" w:rsidRPr="0009782B" w:rsidRDefault="00F13955" w:rsidP="00BD4879">
            <w:pPr>
              <w:spacing w:after="120" w:line="276" w:lineRule="auto"/>
              <w:jc w:val="both"/>
              <w:rPr>
                <w:rFonts w:ascii="Calibri" w:eastAsia="Times New Roman" w:hAnsi="Calibri" w:cs="Calibri"/>
                <w:b/>
                <w:color w:val="000000"/>
                <w:kern w:val="0"/>
                <w:lang w:eastAsia="en-IN" w:bidi="en-US"/>
                <w14:ligatures w14:val="none"/>
              </w:rPr>
            </w:pPr>
          </w:p>
          <w:p w14:paraId="7B0CFDC1" w14:textId="18AB63ED" w:rsidR="00F13955" w:rsidRPr="0009782B" w:rsidRDefault="00F13955" w:rsidP="00BD4879">
            <w:pPr>
              <w:spacing w:after="120" w:line="276" w:lineRule="auto"/>
              <w:jc w:val="both"/>
              <w:rPr>
                <w:rFonts w:ascii="Calibri" w:hAnsi="Calibri" w:cs="Calibri"/>
                <w:b/>
                <w:lang w:bidi="en-US"/>
              </w:rPr>
            </w:pPr>
          </w:p>
        </w:tc>
        <w:tc>
          <w:tcPr>
            <w:tcW w:w="10404" w:type="dxa"/>
            <w:tcBorders>
              <w:top w:val="single" w:sz="4" w:space="0" w:color="auto"/>
              <w:left w:val="single" w:sz="4" w:space="0" w:color="auto"/>
              <w:bottom w:val="single" w:sz="4" w:space="0" w:color="auto"/>
              <w:right w:val="single" w:sz="4" w:space="0" w:color="auto"/>
            </w:tcBorders>
          </w:tcPr>
          <w:p w14:paraId="68369D67" w14:textId="77777777" w:rsidR="00B36025" w:rsidRPr="00E643CB" w:rsidRDefault="003D6ACB" w:rsidP="00532E7E">
            <w:pPr>
              <w:spacing w:after="120" w:line="276" w:lineRule="auto"/>
              <w:rPr>
                <w:rFonts w:ascii="Calibri" w:hAnsi="Calibri" w:cs="Calibri"/>
                <w:b/>
                <w:lang w:bidi="en-US"/>
              </w:rPr>
            </w:pPr>
            <w:r w:rsidRPr="00E643CB">
              <w:rPr>
                <w:rFonts w:ascii="Calibri" w:hAnsi="Calibri" w:cs="Calibri"/>
                <w:b/>
                <w:lang w:bidi="en-US"/>
              </w:rPr>
              <w:t xml:space="preserve">Rationale </w:t>
            </w:r>
          </w:p>
          <w:p w14:paraId="2B633B61" w14:textId="24495AEF" w:rsidR="00DF48B8" w:rsidRPr="00E643CB" w:rsidRDefault="003D6ACB" w:rsidP="00532E7E">
            <w:pPr>
              <w:numPr>
                <w:ilvl w:val="0"/>
                <w:numId w:val="3"/>
              </w:numPr>
              <w:spacing w:after="120" w:line="276" w:lineRule="auto"/>
              <w:rPr>
                <w:rFonts w:ascii="Calibri" w:hAnsi="Calibri" w:cs="Calibri"/>
                <w:lang w:bidi="en-US"/>
              </w:rPr>
            </w:pPr>
            <w:r w:rsidRPr="00E643CB">
              <w:rPr>
                <w:rFonts w:ascii="Calibri" w:hAnsi="Calibri" w:cs="Calibri"/>
                <w:u w:val="single"/>
                <w:lang w:bidi="en-US"/>
              </w:rPr>
              <w:t>Sub</w:t>
            </w:r>
            <w:r w:rsidRPr="00E643CB">
              <w:rPr>
                <w:rFonts w:ascii="Calibri" w:hAnsi="Calibri" w:cs="Calibri"/>
                <w:u w:val="single"/>
                <w:lang w:bidi="en-US"/>
              </w:rPr>
              <w:noBreakHyphen/>
              <w:t>rule (2) of Old vs Sub</w:t>
            </w:r>
            <w:r w:rsidRPr="00E643CB">
              <w:rPr>
                <w:rFonts w:ascii="Calibri" w:hAnsi="Calibri" w:cs="Calibri"/>
                <w:u w:val="single"/>
                <w:lang w:bidi="en-US"/>
              </w:rPr>
              <w:noBreakHyphen/>
              <w:t>rule 1(b) of new rule</w:t>
            </w:r>
            <w:r w:rsidRPr="00E643CB">
              <w:rPr>
                <w:rFonts w:ascii="Calibri" w:hAnsi="Calibri" w:cs="Calibri"/>
                <w:lang w:bidi="en-US"/>
              </w:rPr>
              <w:t xml:space="preserve"> - Old rule applied only to “classes of assets,” predominantly immovable property. New rule explicitly adds “properties or investments,” increasing jurisdiction beyond buildings/lands. Interpretational risk: “Investments” is undefined in rule </w:t>
            </w:r>
            <w:r w:rsidR="00C9664D" w:rsidRPr="00E643CB">
              <w:rPr>
                <w:rFonts w:ascii="Calibri" w:hAnsi="Calibri" w:cs="Calibri"/>
                <w:lang w:bidi="en-US"/>
              </w:rPr>
              <w:t>which</w:t>
            </w:r>
            <w:r w:rsidRPr="00E643CB">
              <w:rPr>
                <w:rFonts w:ascii="Calibri" w:hAnsi="Calibri" w:cs="Calibri"/>
                <w:lang w:bidi="en-US"/>
              </w:rPr>
              <w:t xml:space="preserve"> may include financial instruments, equity, debt, etc</w:t>
            </w:r>
            <w:r w:rsidR="00DF48B8" w:rsidRPr="00E643CB">
              <w:rPr>
                <w:rFonts w:ascii="Calibri" w:hAnsi="Calibri" w:cs="Calibri"/>
                <w:lang w:bidi="en-US"/>
              </w:rPr>
              <w:t>.</w:t>
            </w:r>
          </w:p>
          <w:p w14:paraId="59B4E764" w14:textId="5BF19808" w:rsidR="00DF48B8" w:rsidRPr="00E643CB" w:rsidRDefault="003D6ACB" w:rsidP="00532E7E">
            <w:pPr>
              <w:numPr>
                <w:ilvl w:val="0"/>
                <w:numId w:val="3"/>
              </w:numPr>
              <w:spacing w:after="120" w:line="276" w:lineRule="auto"/>
              <w:rPr>
                <w:rFonts w:ascii="Calibri" w:hAnsi="Calibri" w:cs="Calibri"/>
                <w:lang w:bidi="en-US"/>
              </w:rPr>
            </w:pPr>
            <w:r w:rsidRPr="00E643CB">
              <w:rPr>
                <w:rFonts w:ascii="Calibri" w:hAnsi="Calibri" w:cs="Calibri"/>
                <w:u w:val="single"/>
                <w:lang w:bidi="en-US"/>
              </w:rPr>
              <w:t>Sub</w:t>
            </w:r>
            <w:r w:rsidRPr="00E643CB">
              <w:rPr>
                <w:rFonts w:ascii="Calibri" w:hAnsi="Calibri" w:cs="Calibri"/>
                <w:u w:val="single"/>
                <w:lang w:bidi="en-US"/>
              </w:rPr>
              <w:noBreakHyphen/>
              <w:t>rule (3) of Old vs Sub</w:t>
            </w:r>
            <w:r w:rsidRPr="00E643CB">
              <w:rPr>
                <w:rFonts w:ascii="Calibri" w:hAnsi="Calibri" w:cs="Calibri"/>
                <w:u w:val="single"/>
                <w:lang w:bidi="en-US"/>
              </w:rPr>
              <w:noBreakHyphen/>
              <w:t>rule 1(c) + Table of new rule</w:t>
            </w:r>
            <w:r w:rsidRPr="00E643CB">
              <w:rPr>
                <w:rFonts w:ascii="Calibri" w:hAnsi="Calibri" w:cs="Calibri"/>
                <w:lang w:bidi="en-US"/>
              </w:rPr>
              <w:t xml:space="preserve"> - Thresholds have been increased for each level of officer</w:t>
            </w:r>
            <w:r w:rsidR="00DF48B8" w:rsidRPr="00E643CB">
              <w:rPr>
                <w:rFonts w:ascii="Calibri" w:hAnsi="Calibri" w:cs="Calibri"/>
                <w:lang w:bidi="en-US"/>
              </w:rPr>
              <w:t>.</w:t>
            </w:r>
          </w:p>
          <w:p w14:paraId="2BCC14A5" w14:textId="1B205950" w:rsidR="003D6ACB" w:rsidRPr="00E643CB" w:rsidRDefault="003D6ACB" w:rsidP="00532E7E">
            <w:pPr>
              <w:numPr>
                <w:ilvl w:val="0"/>
                <w:numId w:val="3"/>
              </w:numPr>
              <w:spacing w:after="120" w:line="276" w:lineRule="auto"/>
              <w:rPr>
                <w:rFonts w:ascii="Calibri" w:hAnsi="Calibri" w:cs="Calibri"/>
                <w:lang w:bidi="en-US"/>
              </w:rPr>
            </w:pPr>
            <w:r w:rsidRPr="00E643CB">
              <w:rPr>
                <w:rFonts w:ascii="Calibri" w:hAnsi="Calibri" w:cs="Calibri"/>
                <w:u w:val="single"/>
                <w:lang w:bidi="en-US"/>
              </w:rPr>
              <w:t>New additions in sub rule (2), (3), (4) -</w:t>
            </w:r>
            <w:r w:rsidRPr="00E643CB">
              <w:rPr>
                <w:rFonts w:ascii="Calibri" w:hAnsi="Calibri" w:cs="Calibri"/>
                <w:lang w:bidi="en-US"/>
              </w:rPr>
              <w:t xml:space="preserve"> Introduce valuation basis depending on type of reference: Sec. 78(2) → stamp duty value, Sec. 91(1) → value claimed by assessee</w:t>
            </w:r>
            <w:r w:rsidR="00504766" w:rsidRPr="00E643CB">
              <w:rPr>
                <w:rFonts w:ascii="Calibri" w:hAnsi="Calibri" w:cs="Calibri"/>
                <w:lang w:bidi="en-US"/>
              </w:rPr>
              <w:t xml:space="preserve">. </w:t>
            </w:r>
            <w:r w:rsidRPr="00E643CB">
              <w:rPr>
                <w:rFonts w:ascii="Calibri" w:hAnsi="Calibri" w:cs="Calibri"/>
                <w:lang w:bidi="en-US"/>
              </w:rPr>
              <w:t>Latest ROI value, failing which DVO direction</w:t>
            </w:r>
            <w:r w:rsidR="00C91690" w:rsidRPr="00E643CB">
              <w:rPr>
                <w:rFonts w:ascii="Calibri" w:hAnsi="Calibri" w:cs="Calibri"/>
                <w:lang w:bidi="en-US"/>
              </w:rPr>
              <w:t xml:space="preserve">, </w:t>
            </w:r>
            <w:r w:rsidR="000D0EF6" w:rsidRPr="00E643CB">
              <w:rPr>
                <w:rFonts w:ascii="Calibri" w:hAnsi="Calibri" w:cs="Calibri"/>
                <w:lang w:bidi="en-US"/>
              </w:rPr>
              <w:t>s</w:t>
            </w:r>
            <w:r w:rsidRPr="00E643CB">
              <w:rPr>
                <w:rFonts w:ascii="Calibri" w:hAnsi="Calibri" w:cs="Calibri"/>
                <w:lang w:bidi="en-US"/>
              </w:rPr>
              <w:t>ubstantive insertion</w:t>
            </w:r>
            <w:r w:rsidR="00414A1C" w:rsidRPr="00E643CB">
              <w:rPr>
                <w:rFonts w:ascii="Calibri" w:hAnsi="Calibri" w:cs="Calibri"/>
                <w:lang w:bidi="en-US"/>
              </w:rPr>
              <w:t>, i</w:t>
            </w:r>
            <w:r w:rsidRPr="00E643CB">
              <w:rPr>
                <w:rFonts w:ascii="Calibri" w:hAnsi="Calibri" w:cs="Calibri"/>
                <w:lang w:bidi="en-US"/>
              </w:rPr>
              <w:t>ntroduces multiple valuation reference points that did not exist earlier.</w:t>
            </w:r>
          </w:p>
          <w:p w14:paraId="18A1E135" w14:textId="79F56EE4" w:rsidR="00931D73" w:rsidRPr="00E643CB" w:rsidRDefault="00931D73" w:rsidP="00532E7E">
            <w:pPr>
              <w:spacing w:after="120" w:line="276" w:lineRule="auto"/>
              <w:rPr>
                <w:rFonts w:ascii="Calibri" w:hAnsi="Calibri" w:cs="Calibri"/>
                <w:b/>
                <w:lang w:bidi="en-US"/>
              </w:rPr>
            </w:pPr>
            <w:r w:rsidRPr="00E643CB">
              <w:rPr>
                <w:rFonts w:ascii="Calibri" w:hAnsi="Calibri" w:cs="Calibri"/>
                <w:b/>
                <w:lang w:bidi="en-US"/>
              </w:rPr>
              <w:t>Recommendation</w:t>
            </w:r>
          </w:p>
          <w:p w14:paraId="474E8C57" w14:textId="0A0F296A" w:rsidR="00931D73" w:rsidRPr="00E643CB" w:rsidRDefault="001F476C" w:rsidP="00532E7E">
            <w:pPr>
              <w:numPr>
                <w:ilvl w:val="0"/>
                <w:numId w:val="3"/>
              </w:numPr>
              <w:spacing w:after="120" w:line="276" w:lineRule="auto"/>
              <w:rPr>
                <w:rFonts w:ascii="Calibri" w:hAnsi="Calibri" w:cs="Calibri"/>
                <w:u w:val="single"/>
                <w:lang w:bidi="en-US"/>
              </w:rPr>
            </w:pPr>
            <w:r w:rsidRPr="00E643CB">
              <w:rPr>
                <w:rFonts w:ascii="Calibri" w:eastAsia="Times New Roman" w:hAnsi="Calibri" w:cs="Calibri"/>
                <w:color w:val="000000"/>
                <w:kern w:val="0"/>
                <w:lang w:eastAsia="en-IN"/>
                <w14:ligatures w14:val="none"/>
              </w:rPr>
              <w:t xml:space="preserve">Expansion of the scope significantly broadens VO jurisdiction and may increase taxpayer exposure to valuation scrutiny. </w:t>
            </w:r>
            <w:r w:rsidR="00931D73" w:rsidRPr="00E643CB">
              <w:rPr>
                <w:rFonts w:ascii="Calibri" w:hAnsi="Calibri" w:cs="Calibri"/>
                <w:lang w:bidi="en-US"/>
              </w:rPr>
              <w:t>CBDT should issue a clarificatory circular enumerating categories of “assets/properties/investments” intended to fall within valuation jurisdiction to avoid overlap with other valuation regimes.</w:t>
            </w:r>
            <w:r w:rsidRPr="00E643CB">
              <w:rPr>
                <w:rFonts w:ascii="Calibri" w:hAnsi="Calibri" w:cs="Calibri"/>
                <w:lang w:bidi="en-US"/>
              </w:rPr>
              <w:t xml:space="preserve"> </w:t>
            </w:r>
            <w:r w:rsidRPr="00E643CB">
              <w:rPr>
                <w:rFonts w:ascii="Calibri" w:eastAsia="Times New Roman" w:hAnsi="Calibri" w:cs="Calibri"/>
                <w:color w:val="000000"/>
                <w:kern w:val="0"/>
                <w:lang w:eastAsia="en-IN"/>
                <w14:ligatures w14:val="none"/>
              </w:rPr>
              <w:t>Clear definitions will reduce litigation and duplication with FMV/TP valuation regimes.</w:t>
            </w:r>
          </w:p>
          <w:p w14:paraId="1320C7EF" w14:textId="1453A64C" w:rsidR="00931D73" w:rsidRPr="00E643CB" w:rsidRDefault="00931D73" w:rsidP="00532E7E">
            <w:pPr>
              <w:numPr>
                <w:ilvl w:val="0"/>
                <w:numId w:val="3"/>
              </w:numPr>
              <w:spacing w:after="120" w:line="276" w:lineRule="auto"/>
              <w:rPr>
                <w:rFonts w:ascii="Calibri" w:hAnsi="Calibri" w:cs="Calibri"/>
                <w:u w:val="single"/>
                <w:lang w:bidi="en-US"/>
              </w:rPr>
            </w:pPr>
            <w:r w:rsidRPr="00E643CB">
              <w:rPr>
                <w:rFonts w:ascii="Calibri" w:hAnsi="Calibri" w:cs="Calibri"/>
                <w:lang w:bidi="en-US"/>
              </w:rPr>
              <w:t>Insert transition clause: references made prior to enforcement of Rule 173 continue under earlier value bands to avoid administrative disputes</w:t>
            </w:r>
            <w:r w:rsidR="00756FCB" w:rsidRPr="00E643CB">
              <w:rPr>
                <w:rFonts w:ascii="Calibri" w:hAnsi="Calibri" w:cs="Calibri"/>
                <w:lang w:bidi="en-US"/>
              </w:rPr>
              <w:t xml:space="preserve"> for cases currently mid valuation</w:t>
            </w:r>
            <w:r w:rsidRPr="00E643CB">
              <w:rPr>
                <w:rFonts w:ascii="Calibri" w:hAnsi="Calibri" w:cs="Calibri"/>
                <w:lang w:bidi="en-US"/>
              </w:rPr>
              <w:t>.</w:t>
            </w:r>
            <w:r w:rsidR="00756FCB" w:rsidRPr="00E643CB">
              <w:rPr>
                <w:rFonts w:ascii="Calibri" w:hAnsi="Calibri" w:cs="Calibri"/>
                <w:lang w:bidi="en-US"/>
              </w:rPr>
              <w:t xml:space="preserve"> </w:t>
            </w:r>
            <w:r w:rsidR="009257C8" w:rsidRPr="00E643CB">
              <w:rPr>
                <w:rFonts w:ascii="Calibri" w:hAnsi="Calibri" w:cs="Calibri"/>
                <w:lang w:bidi="en-US"/>
              </w:rPr>
              <w:t xml:space="preserve"> </w:t>
            </w:r>
          </w:p>
          <w:p w14:paraId="3C6FDBD6" w14:textId="2F87AE37" w:rsidR="00931D73" w:rsidRPr="00E643CB" w:rsidRDefault="00483958" w:rsidP="00532E7E">
            <w:pPr>
              <w:numPr>
                <w:ilvl w:val="0"/>
                <w:numId w:val="3"/>
              </w:numPr>
              <w:spacing w:after="120" w:line="276" w:lineRule="auto"/>
              <w:rPr>
                <w:rFonts w:ascii="Calibri" w:hAnsi="Calibri" w:cs="Calibri"/>
                <w:u w:val="single"/>
                <w:lang w:bidi="en-US"/>
              </w:rPr>
            </w:pPr>
            <w:r w:rsidRPr="00E643CB">
              <w:rPr>
                <w:rFonts w:ascii="Calibri" w:eastAsia="Times New Roman" w:hAnsi="Calibri" w:cs="Calibri"/>
                <w:color w:val="000000"/>
                <w:kern w:val="0"/>
                <w:lang w:eastAsia="en-IN"/>
                <w14:ligatures w14:val="none"/>
              </w:rPr>
              <w:t xml:space="preserve">New valuation anchors significantly expand VO involvement and may increase disputes unless administrative guidance is provided. </w:t>
            </w:r>
            <w:r w:rsidR="00931D73" w:rsidRPr="00E643CB">
              <w:rPr>
                <w:rFonts w:ascii="Calibri" w:hAnsi="Calibri" w:cs="Calibri"/>
                <w:lang w:bidi="en-US"/>
              </w:rPr>
              <w:t>CBDT should clarify rationale for multiple valuation bases in Explanatory Memorandum and consider harmonisation where possible.</w:t>
            </w:r>
            <w:r w:rsidR="00345001" w:rsidRPr="00E643CB">
              <w:rPr>
                <w:rFonts w:ascii="Calibri" w:hAnsi="Calibri" w:cs="Calibri"/>
                <w:lang w:bidi="en-US"/>
              </w:rPr>
              <w:t xml:space="preserve"> </w:t>
            </w:r>
          </w:p>
        </w:tc>
      </w:tr>
      <w:tr w:rsidR="00B36025" w:rsidRPr="00E643CB" w14:paraId="2236B6A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79C5898" w14:textId="77777777" w:rsidR="00B36025" w:rsidRPr="00E643CB" w:rsidRDefault="00B36025"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727EB7B" w14:textId="7F30009D" w:rsidR="009B72EF" w:rsidRPr="0009782B" w:rsidRDefault="009B72EF" w:rsidP="00BD4879">
            <w:pPr>
              <w:spacing w:after="120" w:line="276" w:lineRule="auto"/>
              <w:jc w:val="both"/>
              <w:rPr>
                <w:rFonts w:ascii="Calibri" w:hAnsi="Calibri" w:cs="Calibri"/>
                <w:b/>
              </w:rPr>
            </w:pPr>
            <w:r w:rsidRPr="0009782B">
              <w:rPr>
                <w:rFonts w:ascii="Calibri" w:hAnsi="Calibri" w:cs="Calibri"/>
                <w:b/>
              </w:rPr>
              <w:t xml:space="preserve">Procedure for faceless assessment, reassessment or recomputation under section 273(1) of </w:t>
            </w:r>
            <w:r w:rsidR="009C6956" w:rsidRPr="0009782B">
              <w:rPr>
                <w:rFonts w:ascii="Calibri" w:hAnsi="Calibri" w:cs="Calibri"/>
                <w:b/>
              </w:rPr>
              <w:t>ITA 2025</w:t>
            </w:r>
          </w:p>
          <w:p w14:paraId="43A28FED" w14:textId="6348572C" w:rsidR="009B72EF" w:rsidRPr="0009782B" w:rsidRDefault="00227F44" w:rsidP="00BD4879">
            <w:pPr>
              <w:spacing w:after="120" w:line="276" w:lineRule="auto"/>
              <w:jc w:val="both"/>
              <w:rPr>
                <w:rFonts w:ascii="Calibri" w:hAnsi="Calibri" w:cs="Calibri"/>
                <w:b/>
              </w:rPr>
            </w:pPr>
            <w:r w:rsidRPr="0009782B">
              <w:rPr>
                <w:rFonts w:ascii="Calibri" w:hAnsi="Calibri" w:cs="Calibri"/>
                <w:b/>
              </w:rPr>
              <w:t>Rule 176 of Draft IT Rules</w:t>
            </w:r>
          </w:p>
          <w:p w14:paraId="33FF8068" w14:textId="72125061" w:rsidR="00B36025" w:rsidRPr="0009782B" w:rsidRDefault="00227F44" w:rsidP="00BD4879">
            <w:pPr>
              <w:spacing w:after="120" w:line="276" w:lineRule="auto"/>
              <w:jc w:val="both"/>
              <w:rPr>
                <w:rFonts w:ascii="Calibri" w:hAnsi="Calibri" w:cs="Calibri"/>
                <w:b/>
                <w:lang w:bidi="en-US"/>
              </w:rPr>
            </w:pPr>
            <w:r w:rsidRPr="0009782B">
              <w:rPr>
                <w:rFonts w:ascii="Calibri" w:hAnsi="Calibri" w:cs="Calibri"/>
                <w:b/>
              </w:rPr>
              <w:t>2026 (New Rule)</w:t>
            </w:r>
          </w:p>
        </w:tc>
        <w:tc>
          <w:tcPr>
            <w:tcW w:w="10404" w:type="dxa"/>
            <w:tcBorders>
              <w:top w:val="single" w:sz="4" w:space="0" w:color="auto"/>
              <w:left w:val="single" w:sz="4" w:space="0" w:color="auto"/>
              <w:bottom w:val="single" w:sz="4" w:space="0" w:color="auto"/>
              <w:right w:val="single" w:sz="4" w:space="0" w:color="auto"/>
            </w:tcBorders>
          </w:tcPr>
          <w:p w14:paraId="7F2C872E" w14:textId="05BBA32F" w:rsidR="00B36025" w:rsidRPr="00E643CB" w:rsidRDefault="00A55FBC" w:rsidP="00532E7E">
            <w:pPr>
              <w:spacing w:after="120" w:line="276" w:lineRule="auto"/>
              <w:rPr>
                <w:rFonts w:ascii="Calibri" w:hAnsi="Calibri" w:cs="Calibri"/>
                <w:b/>
                <w:lang w:bidi="en-US"/>
              </w:rPr>
            </w:pPr>
            <w:r w:rsidRPr="00E643CB">
              <w:rPr>
                <w:rFonts w:ascii="Calibri" w:hAnsi="Calibri" w:cs="Calibri"/>
                <w:b/>
                <w:lang w:bidi="en-US"/>
              </w:rPr>
              <w:t>Rationale</w:t>
            </w:r>
            <w:r w:rsidR="00412EB6" w:rsidRPr="00E643CB">
              <w:rPr>
                <w:rFonts w:ascii="Calibri" w:hAnsi="Calibri" w:cs="Calibri"/>
                <w:b/>
                <w:lang w:bidi="en-US"/>
              </w:rPr>
              <w:t xml:space="preserve"> and Recommendation </w:t>
            </w:r>
          </w:p>
          <w:p w14:paraId="06484F38" w14:textId="6303312B" w:rsidR="00A55FBC" w:rsidRPr="00E643CB" w:rsidRDefault="00737832" w:rsidP="00532E7E">
            <w:pPr>
              <w:numPr>
                <w:ilvl w:val="0"/>
                <w:numId w:val="3"/>
              </w:numPr>
              <w:spacing w:after="120" w:line="276" w:lineRule="auto"/>
              <w:rPr>
                <w:rFonts w:ascii="Calibri" w:hAnsi="Calibri" w:cs="Calibri"/>
                <w:b/>
                <w:lang w:bidi="en-US"/>
              </w:rPr>
            </w:pPr>
            <w:r w:rsidRPr="00E643CB">
              <w:rPr>
                <w:rFonts w:ascii="Calibri" w:eastAsia="Times New Roman" w:hAnsi="Calibri" w:cs="Calibri"/>
                <w:color w:val="000000"/>
                <w:kern w:val="0"/>
                <w:lang w:eastAsia="en-IN"/>
                <w14:ligatures w14:val="none"/>
              </w:rPr>
              <w:t>Considering</w:t>
            </w:r>
            <w:r w:rsidRPr="00E643CB">
              <w:rPr>
                <w:rFonts w:ascii="Calibri" w:hAnsi="Calibri" w:cs="Calibri"/>
              </w:rPr>
              <w:t xml:space="preserve"> penalty will form part of assessment order</w:t>
            </w:r>
            <w:r w:rsidR="00297C8F">
              <w:rPr>
                <w:rFonts w:ascii="Calibri" w:hAnsi="Calibri" w:cs="Calibri"/>
              </w:rPr>
              <w:t xml:space="preserve"> passed on or after 1 April 2027</w:t>
            </w:r>
            <w:r w:rsidR="00BB1D2B" w:rsidRPr="00E643CB">
              <w:rPr>
                <w:rFonts w:ascii="Calibri" w:hAnsi="Calibri" w:cs="Calibri"/>
              </w:rPr>
              <w:t>, issue arises as to</w:t>
            </w:r>
            <w:r w:rsidRPr="00E643CB">
              <w:rPr>
                <w:rFonts w:ascii="Calibri" w:hAnsi="Calibri" w:cs="Calibri"/>
              </w:rPr>
              <w:t xml:space="preserve"> (i) </w:t>
            </w:r>
            <w:r w:rsidR="00BB1D2B" w:rsidRPr="00E643CB">
              <w:rPr>
                <w:rFonts w:ascii="Calibri" w:hAnsi="Calibri" w:cs="Calibri"/>
              </w:rPr>
              <w:t>w</w:t>
            </w:r>
            <w:r w:rsidRPr="00E643CB">
              <w:rPr>
                <w:rFonts w:ascii="Calibri" w:hAnsi="Calibri" w:cs="Calibri"/>
              </w:rPr>
              <w:t xml:space="preserve">ill DRP have powers to adjudicate on the same as it is not variation to the income </w:t>
            </w:r>
            <w:r w:rsidR="008056F7" w:rsidRPr="00E643CB">
              <w:rPr>
                <w:rFonts w:ascii="Calibri" w:hAnsi="Calibri" w:cs="Calibri"/>
              </w:rPr>
              <w:t>(</w:t>
            </w:r>
            <w:r w:rsidRPr="00E643CB">
              <w:rPr>
                <w:rFonts w:ascii="Calibri" w:hAnsi="Calibri" w:cs="Calibri"/>
              </w:rPr>
              <w:t xml:space="preserve">ii) </w:t>
            </w:r>
            <w:r w:rsidR="00BB1D2B" w:rsidRPr="00E643CB">
              <w:rPr>
                <w:rFonts w:ascii="Calibri" w:hAnsi="Calibri" w:cs="Calibri"/>
              </w:rPr>
              <w:t>h</w:t>
            </w:r>
            <w:r w:rsidRPr="00E643CB">
              <w:rPr>
                <w:rFonts w:ascii="Calibri" w:hAnsi="Calibri" w:cs="Calibri"/>
              </w:rPr>
              <w:t>ow will penalty be addressed under MAP</w:t>
            </w:r>
            <w:r w:rsidR="009B72EF" w:rsidRPr="00E643CB">
              <w:rPr>
                <w:rFonts w:ascii="Calibri" w:hAnsi="Calibri" w:cs="Calibri"/>
              </w:rPr>
              <w:t>.</w:t>
            </w:r>
          </w:p>
          <w:p w14:paraId="6BEDF0AB" w14:textId="0D0FD1F1" w:rsidR="00BB1D2B" w:rsidRPr="00E643CB" w:rsidRDefault="00BB1D2B" w:rsidP="00532E7E">
            <w:pPr>
              <w:numPr>
                <w:ilvl w:val="0"/>
                <w:numId w:val="3"/>
              </w:numPr>
              <w:spacing w:after="120" w:line="276" w:lineRule="auto"/>
              <w:rPr>
                <w:rFonts w:ascii="Calibri" w:hAnsi="Calibri" w:cs="Calibri"/>
                <w:lang w:bidi="en-US"/>
              </w:rPr>
            </w:pPr>
            <w:r w:rsidRPr="00E643CB">
              <w:rPr>
                <w:rFonts w:ascii="Calibri" w:hAnsi="Calibri" w:cs="Calibri"/>
                <w:lang w:bidi="en-US"/>
              </w:rPr>
              <w:t>Clarifications may be issued in this regard.</w:t>
            </w:r>
          </w:p>
        </w:tc>
      </w:tr>
      <w:tr w:rsidR="00003ED2" w:rsidRPr="00E643CB" w14:paraId="7A3C4D0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74537F8" w14:textId="77777777" w:rsidR="00003ED2" w:rsidRPr="00E643CB" w:rsidRDefault="00003ED2" w:rsidP="00532E7E">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89F48AD" w14:textId="78E3DA96" w:rsidR="00003ED2" w:rsidRPr="0009782B" w:rsidRDefault="00003ED2" w:rsidP="00BD4879">
            <w:pPr>
              <w:spacing w:after="120" w:line="276" w:lineRule="auto"/>
              <w:jc w:val="both"/>
              <w:rPr>
                <w:rFonts w:ascii="Calibri" w:hAnsi="Calibri" w:cs="Calibri"/>
                <w:b/>
              </w:rPr>
            </w:pPr>
            <w:r w:rsidRPr="0009782B">
              <w:rPr>
                <w:rFonts w:ascii="Calibri" w:hAnsi="Calibri" w:cs="Calibri"/>
                <w:b/>
              </w:rPr>
              <w:t xml:space="preserve">Section 11(4) / 11(4A) </w:t>
            </w:r>
            <w:r w:rsidR="00BA4731" w:rsidRPr="0009782B">
              <w:rPr>
                <w:rFonts w:ascii="Calibri" w:hAnsi="Calibri" w:cs="Calibri"/>
                <w:b/>
              </w:rPr>
              <w:t xml:space="preserve">of </w:t>
            </w:r>
            <w:r w:rsidRPr="0009782B">
              <w:rPr>
                <w:rFonts w:ascii="Calibri" w:hAnsi="Calibri" w:cs="Calibri"/>
                <w:b/>
              </w:rPr>
              <w:t>ITA 1961</w:t>
            </w:r>
          </w:p>
          <w:p w14:paraId="01B3E433" w14:textId="77777777" w:rsidR="00003ED2" w:rsidRPr="0009782B" w:rsidRDefault="00003ED2" w:rsidP="00BD4879">
            <w:pPr>
              <w:spacing w:after="120" w:line="276" w:lineRule="auto"/>
              <w:jc w:val="both"/>
              <w:rPr>
                <w:rFonts w:ascii="Calibri" w:hAnsi="Calibri" w:cs="Calibri"/>
                <w:b/>
                <w:lang w:bidi="en-US"/>
              </w:rPr>
            </w:pPr>
          </w:p>
          <w:p w14:paraId="758100CE" w14:textId="6D4639B6" w:rsidR="00003ED2" w:rsidRPr="0009782B" w:rsidRDefault="00003ED2" w:rsidP="00BD4879">
            <w:pPr>
              <w:spacing w:after="120" w:line="276" w:lineRule="auto"/>
              <w:jc w:val="both"/>
              <w:rPr>
                <w:rFonts w:ascii="Calibri" w:hAnsi="Calibri" w:cs="Calibri"/>
                <w:b/>
                <w:lang w:bidi="en-US"/>
              </w:rPr>
            </w:pPr>
            <w:r w:rsidRPr="0009782B">
              <w:rPr>
                <w:rFonts w:ascii="Calibri" w:hAnsi="Calibri" w:cs="Calibri"/>
                <w:b/>
              </w:rPr>
              <w:t>Rule 182 (to be issued under section 335(e) read with sections 344, 345 and 346 of ITB 2025) – Draft proposes that “such commercial activity shall be treated as if it is an entity separate from the registered non</w:t>
            </w:r>
            <w:r w:rsidRPr="0009782B">
              <w:rPr>
                <w:rFonts w:ascii="Cambria Math" w:hAnsi="Cambria Math" w:cs="Cambria Math"/>
                <w:b/>
              </w:rPr>
              <w:t>‑</w:t>
            </w:r>
            <w:r w:rsidRPr="0009782B">
              <w:rPr>
                <w:rFonts w:ascii="Calibri" w:hAnsi="Calibri" w:cs="Calibri"/>
                <w:b/>
              </w:rPr>
              <w:t>profit organisation”, with gains computed under Part D of Chapter IV and separate books maintained.</w:t>
            </w:r>
          </w:p>
        </w:tc>
        <w:tc>
          <w:tcPr>
            <w:tcW w:w="10404" w:type="dxa"/>
            <w:tcBorders>
              <w:top w:val="single" w:sz="4" w:space="0" w:color="auto"/>
              <w:left w:val="single" w:sz="4" w:space="0" w:color="auto"/>
              <w:bottom w:val="single" w:sz="4" w:space="0" w:color="auto"/>
              <w:right w:val="single" w:sz="4" w:space="0" w:color="auto"/>
            </w:tcBorders>
          </w:tcPr>
          <w:p w14:paraId="3A20FC5F" w14:textId="77777777" w:rsidR="00003ED2" w:rsidRPr="00E643CB" w:rsidRDefault="00003ED2" w:rsidP="00532E7E">
            <w:pPr>
              <w:spacing w:after="120" w:line="276" w:lineRule="auto"/>
              <w:rPr>
                <w:rFonts w:ascii="Calibri" w:hAnsi="Calibri" w:cs="Calibri"/>
                <w:b/>
              </w:rPr>
            </w:pPr>
            <w:r w:rsidRPr="00E643CB">
              <w:rPr>
                <w:rFonts w:ascii="Calibri" w:hAnsi="Calibri" w:cs="Calibri"/>
                <w:b/>
              </w:rPr>
              <w:t xml:space="preserve">Rationale </w:t>
            </w:r>
          </w:p>
          <w:p w14:paraId="1E7E9FA8" w14:textId="77777777" w:rsidR="00003ED2" w:rsidRPr="00E643CB" w:rsidRDefault="00003ED2" w:rsidP="00532E7E">
            <w:pPr>
              <w:numPr>
                <w:ilvl w:val="0"/>
                <w:numId w:val="3"/>
              </w:numPr>
              <w:spacing w:after="120" w:line="276" w:lineRule="auto"/>
              <w:rPr>
                <w:rFonts w:ascii="Calibri" w:hAnsi="Calibri" w:cs="Calibri"/>
              </w:rPr>
            </w:pPr>
            <w:r w:rsidRPr="00E643CB">
              <w:rPr>
                <w:rFonts w:ascii="Calibri" w:hAnsi="Calibri" w:cs="Calibri"/>
              </w:rPr>
              <w:t>Under the Income</w:t>
            </w:r>
            <w:r w:rsidRPr="00E643CB">
              <w:rPr>
                <w:rFonts w:ascii="Cambria Math" w:hAnsi="Cambria Math" w:cs="Cambria Math"/>
              </w:rPr>
              <w:t>‑</w:t>
            </w:r>
            <w:r w:rsidRPr="00E643CB">
              <w:rPr>
                <w:rFonts w:ascii="Calibri" w:hAnsi="Calibri" w:cs="Calibri"/>
              </w:rPr>
              <w:t>tax (No. 2) Bill, 2025, gains from permissible commercial activities are expressly included in the regular income of a registered non</w:t>
            </w:r>
            <w:r w:rsidRPr="00E643CB">
              <w:rPr>
                <w:rFonts w:ascii="Cambria Math" w:hAnsi="Cambria Math" w:cs="Cambria Math"/>
              </w:rPr>
              <w:t>‑</w:t>
            </w:r>
            <w:r w:rsidRPr="00E643CB">
              <w:rPr>
                <w:rFonts w:ascii="Calibri" w:hAnsi="Calibri" w:cs="Calibri"/>
              </w:rPr>
              <w:t xml:space="preserve">profit organisation under section 335(e), and the taxability outcome continues to be determined at the NPO level through the 85% application/accumulation test prescribed under section 336. The introduction of language treating a commercial activity “as if it is an entity separate from the registered NPO” may give rise to challenges with respect to treatment of common costs and services and usage of common resources like real estate etc. It could also increase the compliance burden on NPOs with respect to accounting and compliance.      </w:t>
            </w:r>
          </w:p>
          <w:p w14:paraId="7ABFAD05" w14:textId="77777777" w:rsidR="00003ED2" w:rsidRPr="00E643CB" w:rsidRDefault="00003ED2" w:rsidP="00532E7E">
            <w:pPr>
              <w:numPr>
                <w:ilvl w:val="0"/>
                <w:numId w:val="3"/>
              </w:numPr>
              <w:spacing w:after="120" w:line="276" w:lineRule="auto"/>
              <w:rPr>
                <w:rFonts w:ascii="Calibri" w:hAnsi="Calibri" w:cs="Calibri"/>
              </w:rPr>
            </w:pPr>
            <w:r w:rsidRPr="00E643CB">
              <w:rPr>
                <w:rFonts w:ascii="Calibri" w:hAnsi="Calibri" w:cs="Calibri"/>
              </w:rPr>
              <w:t xml:space="preserve">The </w:t>
            </w:r>
            <w:r w:rsidRPr="00E643CB">
              <w:rPr>
                <w:rFonts w:ascii="Calibri" w:eastAsia="Times New Roman" w:hAnsi="Calibri" w:cs="Calibri"/>
                <w:color w:val="000000"/>
                <w:kern w:val="0"/>
                <w:lang w:eastAsia="en-IN"/>
                <w14:ligatures w14:val="none"/>
              </w:rPr>
              <w:t>proposed</w:t>
            </w:r>
            <w:r w:rsidRPr="00E643CB">
              <w:rPr>
                <w:rFonts w:ascii="Calibri" w:hAnsi="Calibri" w:cs="Calibri"/>
              </w:rPr>
              <w:t xml:space="preserve"> “separate entity” wording is new and was not present under the ITA 1961 regime. As the Bill already empowers tax authorities to compute business income on a stand</w:t>
            </w:r>
            <w:r w:rsidRPr="00E643CB">
              <w:rPr>
                <w:rFonts w:ascii="Cambria Math" w:hAnsi="Cambria Math" w:cs="Cambria Math"/>
              </w:rPr>
              <w:t>‑</w:t>
            </w:r>
            <w:r w:rsidRPr="00E643CB">
              <w:rPr>
                <w:rFonts w:ascii="Calibri" w:hAnsi="Calibri" w:cs="Calibri"/>
              </w:rPr>
              <w:t>alone basis under section 344 and requires maintenance of separate books of account, the assessment of income / compliance with the provisions of the Act, can be undertaken without introducing an entity</w:t>
            </w:r>
            <w:r w:rsidRPr="00E643CB">
              <w:rPr>
                <w:rFonts w:ascii="Cambria Math" w:hAnsi="Cambria Math" w:cs="Cambria Math"/>
              </w:rPr>
              <w:t>‑</w:t>
            </w:r>
            <w:r w:rsidRPr="00E643CB">
              <w:rPr>
                <w:rFonts w:ascii="Calibri" w:hAnsi="Calibri" w:cs="Calibri"/>
              </w:rPr>
              <w:t>level deeming fiction.</w:t>
            </w:r>
          </w:p>
          <w:p w14:paraId="6EEF7021" w14:textId="77777777" w:rsidR="00003ED2" w:rsidRPr="00E643CB" w:rsidRDefault="00003ED2" w:rsidP="00532E7E">
            <w:pPr>
              <w:spacing w:after="120" w:line="276" w:lineRule="auto"/>
              <w:rPr>
                <w:rFonts w:ascii="Calibri" w:hAnsi="Calibri" w:cs="Calibri"/>
                <w:b/>
              </w:rPr>
            </w:pPr>
            <w:r w:rsidRPr="00E643CB">
              <w:rPr>
                <w:rFonts w:ascii="Calibri" w:hAnsi="Calibri" w:cs="Calibri"/>
                <w:b/>
              </w:rPr>
              <w:t>Recommendation</w:t>
            </w:r>
          </w:p>
          <w:p w14:paraId="7108D0B9" w14:textId="7CCE027A" w:rsidR="00003ED2" w:rsidRPr="00E643CB" w:rsidRDefault="00003ED2" w:rsidP="00532E7E">
            <w:pPr>
              <w:numPr>
                <w:ilvl w:val="0"/>
                <w:numId w:val="3"/>
              </w:numPr>
              <w:spacing w:after="120" w:line="276" w:lineRule="auto"/>
              <w:rPr>
                <w:rFonts w:ascii="Calibri" w:hAnsi="Calibri" w:cs="Calibri"/>
                <w:b/>
                <w:lang w:bidi="en-US"/>
              </w:rPr>
            </w:pPr>
            <w:r w:rsidRPr="00E643CB">
              <w:rPr>
                <w:rFonts w:ascii="Calibri" w:hAnsi="Calibri" w:cs="Calibri"/>
              </w:rPr>
              <w:t>It is recommended that the reference to treating the commercial activity “as if it is a separate entity” be reconsidered and be omitted. Since the NPO, is required to maintain separate books of accounts with respect to its commercial activity, the ability to undertake assessment of a NPO is not in any way impeded in the hands of the Revenue.</w:t>
            </w:r>
          </w:p>
        </w:tc>
      </w:tr>
      <w:tr w:rsidR="00CC422C" w:rsidRPr="00E643CB" w14:paraId="41FC790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484932C"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370A063" w14:textId="77777777" w:rsidR="00CC422C" w:rsidRPr="00BB209E" w:rsidRDefault="00CC422C" w:rsidP="00CC422C">
            <w:pPr>
              <w:spacing w:after="120" w:line="276" w:lineRule="auto"/>
              <w:jc w:val="both"/>
              <w:rPr>
                <w:rFonts w:ascii="Calibri" w:hAnsi="Calibri" w:cs="Calibri"/>
                <w:b/>
              </w:rPr>
            </w:pPr>
            <w:r w:rsidRPr="00BB209E">
              <w:rPr>
                <w:rFonts w:ascii="Calibri" w:hAnsi="Calibri" w:cs="Calibri"/>
                <w:b/>
              </w:rPr>
              <w:t>Section 11(4) / 11(4A) of ITA 1961</w:t>
            </w:r>
          </w:p>
          <w:p w14:paraId="12C5B8BB" w14:textId="77777777" w:rsidR="00CC422C" w:rsidRPr="00BB209E" w:rsidRDefault="00CC422C" w:rsidP="00CC422C">
            <w:pPr>
              <w:spacing w:after="120" w:line="276" w:lineRule="auto"/>
              <w:jc w:val="both"/>
              <w:rPr>
                <w:rFonts w:ascii="Calibri" w:hAnsi="Calibri" w:cs="Calibri"/>
                <w:b/>
              </w:rPr>
            </w:pPr>
          </w:p>
          <w:p w14:paraId="4D0EF5F8" w14:textId="464C8B57" w:rsidR="00CC422C" w:rsidRPr="0009782B" w:rsidRDefault="00CC422C" w:rsidP="00CC422C">
            <w:pPr>
              <w:spacing w:after="120" w:line="276" w:lineRule="auto"/>
              <w:jc w:val="both"/>
              <w:rPr>
                <w:rFonts w:ascii="Calibri" w:hAnsi="Calibri" w:cs="Calibri"/>
                <w:b/>
              </w:rPr>
            </w:pPr>
            <w:r w:rsidRPr="00BB209E">
              <w:rPr>
                <w:rFonts w:ascii="Calibri" w:hAnsi="Calibri" w:cs="Calibri"/>
                <w:b/>
              </w:rPr>
              <w:t>Rule 182 (to be issued under section 335(e) read with sections 344, 345 and 346 of ITB 2025) – Draft proposes that such commercial activity shall be treated as if it is an entity separate from the registered non</w:t>
            </w:r>
            <w:r w:rsidRPr="00BB209E">
              <w:rPr>
                <w:rFonts w:ascii="Cambria Math" w:hAnsi="Cambria Math" w:cs="Cambria Math"/>
                <w:b/>
              </w:rPr>
              <w:t>‑</w:t>
            </w:r>
            <w:r w:rsidRPr="00BB209E">
              <w:rPr>
                <w:rFonts w:ascii="Calibri" w:hAnsi="Calibri" w:cs="Calibri"/>
                <w:b/>
              </w:rPr>
              <w:t>profit organisation, with “gains computed under Part D of Chapter IV and separate books maintained.”</w:t>
            </w:r>
          </w:p>
        </w:tc>
        <w:tc>
          <w:tcPr>
            <w:tcW w:w="10404" w:type="dxa"/>
            <w:tcBorders>
              <w:top w:val="single" w:sz="4" w:space="0" w:color="auto"/>
              <w:left w:val="single" w:sz="4" w:space="0" w:color="auto"/>
              <w:bottom w:val="single" w:sz="4" w:space="0" w:color="auto"/>
              <w:right w:val="single" w:sz="4" w:space="0" w:color="auto"/>
            </w:tcBorders>
          </w:tcPr>
          <w:p w14:paraId="018A654C" w14:textId="77777777" w:rsidR="00CC422C" w:rsidRPr="00C466EB" w:rsidRDefault="00CC422C" w:rsidP="00C466EB">
            <w:pPr>
              <w:spacing w:after="120" w:line="276" w:lineRule="auto"/>
              <w:rPr>
                <w:rFonts w:ascii="Calibri" w:hAnsi="Calibri" w:cs="Calibri"/>
                <w:b/>
                <w:bCs/>
              </w:rPr>
            </w:pPr>
            <w:r w:rsidRPr="00C466EB">
              <w:rPr>
                <w:rFonts w:ascii="Calibri" w:hAnsi="Calibri" w:cs="Calibri"/>
                <w:b/>
                <w:bCs/>
              </w:rPr>
              <w:t>Rationale</w:t>
            </w:r>
          </w:p>
          <w:p w14:paraId="355CBC2C" w14:textId="77777777" w:rsidR="00CC422C" w:rsidRPr="00C466EB" w:rsidRDefault="00CC422C" w:rsidP="00C466EB">
            <w:pPr>
              <w:numPr>
                <w:ilvl w:val="0"/>
                <w:numId w:val="3"/>
              </w:numPr>
              <w:spacing w:after="120" w:line="276" w:lineRule="auto"/>
              <w:rPr>
                <w:rFonts w:ascii="Calibri" w:hAnsi="Calibri" w:cs="Calibri"/>
              </w:rPr>
            </w:pPr>
            <w:r w:rsidRPr="00742E5E">
              <w:rPr>
                <w:rFonts w:ascii="Calibri" w:hAnsi="Calibri" w:cs="Calibri"/>
              </w:rPr>
              <w:t>Further</w:t>
            </w:r>
            <w:r w:rsidRPr="00C466EB">
              <w:rPr>
                <w:rFonts w:ascii="Calibri" w:hAnsi="Calibri" w:cs="Calibri"/>
              </w:rPr>
              <w:t xml:space="preserve">, Draft Rule 182 expressly requires that gains from such commercial activity be computed “as per Part D of Chapter IV”. Given that NPO taxation operates as a distinct code within the Act—built around concepts such as application of income, accumulation and specific conditions for exemption which all operate on commercial accounting principle—an explicit linkage to the business income computation provisions may create interpretational ambiguity and unintended consequences. </w:t>
            </w:r>
          </w:p>
          <w:p w14:paraId="43AC46E3" w14:textId="77777777" w:rsidR="00B32084" w:rsidRDefault="00CC422C" w:rsidP="00C466EB">
            <w:pPr>
              <w:numPr>
                <w:ilvl w:val="0"/>
                <w:numId w:val="3"/>
              </w:numPr>
              <w:spacing w:after="120" w:line="276" w:lineRule="auto"/>
              <w:rPr>
                <w:rFonts w:ascii="Calibri" w:hAnsi="Calibri" w:cs="Calibri"/>
              </w:rPr>
            </w:pPr>
            <w:r w:rsidRPr="00C466EB">
              <w:rPr>
                <w:rFonts w:ascii="Calibri" w:hAnsi="Calibri" w:cs="Calibri"/>
              </w:rPr>
              <w:t>In particular, it may be construed as importing the detailed PGBP framework (including business</w:t>
            </w:r>
            <w:r w:rsidRPr="00C466EB">
              <w:rPr>
                <w:rFonts w:ascii="Cambria Math" w:hAnsi="Cambria Math" w:cs="Cambria Math"/>
              </w:rPr>
              <w:t>‑</w:t>
            </w:r>
            <w:r w:rsidRPr="00C466EB">
              <w:rPr>
                <w:rFonts w:ascii="Calibri" w:hAnsi="Calibri" w:cs="Calibri"/>
              </w:rPr>
              <w:t xml:space="preserve">specific disallowance and computation provisions) into the NPO context, which may not be aligned to the manner in which NPO income is ordinarily evaluated. For instance, under the NPE regime, while capital expenditure is typically allowed as application where it is used for its objectives, such amounts may not be allowed as a deductible expenditure under the business income computation provisions. </w:t>
            </w:r>
          </w:p>
          <w:p w14:paraId="41ABBA3A" w14:textId="061DE379" w:rsidR="00CC422C" w:rsidRPr="00C466EB" w:rsidRDefault="00CC422C" w:rsidP="00C466EB">
            <w:pPr>
              <w:numPr>
                <w:ilvl w:val="0"/>
                <w:numId w:val="3"/>
              </w:numPr>
              <w:spacing w:after="120" w:line="276" w:lineRule="auto"/>
              <w:rPr>
                <w:rFonts w:ascii="Calibri" w:hAnsi="Calibri" w:cs="Calibri"/>
              </w:rPr>
            </w:pPr>
            <w:r w:rsidRPr="00C466EB">
              <w:rPr>
                <w:rFonts w:ascii="Calibri" w:hAnsi="Calibri" w:cs="Calibri"/>
              </w:rPr>
              <w:t>In addition, to the extent stakeholders interpret the PGBP linkage as importing business</w:t>
            </w:r>
            <w:r w:rsidRPr="00C466EB">
              <w:rPr>
                <w:rFonts w:ascii="Cambria Math" w:hAnsi="Cambria Math" w:cs="Cambria Math"/>
              </w:rPr>
              <w:t>‑</w:t>
            </w:r>
            <w:r w:rsidRPr="00C466EB">
              <w:rPr>
                <w:rFonts w:ascii="Calibri" w:hAnsi="Calibri" w:cs="Calibri"/>
              </w:rPr>
              <w:t>style compliance norms, it may be perceived as triggering additional reporting / audit requirements for the commercial stream (for example, tax</w:t>
            </w:r>
            <w:r w:rsidRPr="00C466EB">
              <w:rPr>
                <w:rFonts w:ascii="Cambria Math" w:hAnsi="Cambria Math" w:cs="Cambria Math"/>
              </w:rPr>
              <w:t>‑</w:t>
            </w:r>
            <w:r w:rsidRPr="00C466EB">
              <w:rPr>
                <w:rFonts w:ascii="Calibri" w:hAnsi="Calibri" w:cs="Calibri"/>
              </w:rPr>
              <w:t>audit certifications), thereby increasing compliance risk.</w:t>
            </w:r>
          </w:p>
          <w:p w14:paraId="74142B08" w14:textId="719B0D31" w:rsidR="00CC422C" w:rsidRPr="00C466EB" w:rsidRDefault="00CC422C" w:rsidP="00C466EB">
            <w:pPr>
              <w:spacing w:after="120" w:line="276" w:lineRule="auto"/>
              <w:rPr>
                <w:rFonts w:ascii="Calibri" w:hAnsi="Calibri" w:cs="Calibri"/>
                <w:b/>
                <w:bCs/>
              </w:rPr>
            </w:pPr>
            <w:r w:rsidRPr="00C466EB">
              <w:rPr>
                <w:rFonts w:ascii="Calibri" w:hAnsi="Calibri" w:cs="Calibri"/>
                <w:b/>
                <w:bCs/>
              </w:rPr>
              <w:t>Recomm</w:t>
            </w:r>
            <w:r w:rsidR="00C466EB">
              <w:rPr>
                <w:rFonts w:ascii="Calibri" w:hAnsi="Calibri" w:cs="Calibri"/>
                <w:b/>
                <w:bCs/>
              </w:rPr>
              <w:t>e</w:t>
            </w:r>
            <w:r w:rsidRPr="00C466EB">
              <w:rPr>
                <w:rFonts w:ascii="Calibri" w:hAnsi="Calibri" w:cs="Calibri"/>
                <w:b/>
                <w:bCs/>
              </w:rPr>
              <w:t>ndation</w:t>
            </w:r>
          </w:p>
          <w:p w14:paraId="51FF1604" w14:textId="44C3BFE7" w:rsidR="00CC422C" w:rsidRPr="00C466EB" w:rsidRDefault="00CC422C" w:rsidP="00C466EB">
            <w:pPr>
              <w:numPr>
                <w:ilvl w:val="0"/>
                <w:numId w:val="3"/>
              </w:numPr>
              <w:spacing w:after="120" w:line="276" w:lineRule="auto"/>
              <w:rPr>
                <w:rFonts w:ascii="Calibri" w:hAnsi="Calibri" w:cs="Calibri"/>
              </w:rPr>
            </w:pPr>
            <w:r w:rsidRPr="00C466EB">
              <w:rPr>
                <w:rFonts w:ascii="Calibri" w:hAnsi="Calibri" w:cs="Calibri"/>
              </w:rPr>
              <w:t>It is recommended that the reference to computation of gains “as per Part D of Chapter IV” be reconsidered. Instead, it is recommended that the Rule provide that income from permissible commercial activities be computed on the basis of recognised commercial principles as existed under ITA 1961, without importing the detailed provisions of Part D of Chapter IV.</w:t>
            </w:r>
          </w:p>
        </w:tc>
      </w:tr>
      <w:tr w:rsidR="00CC422C" w:rsidRPr="00E643CB" w14:paraId="5E15E0C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6737819"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25B39DB" w14:textId="6987C728" w:rsidR="00CC422C" w:rsidRPr="0009782B" w:rsidRDefault="00CC422C" w:rsidP="00CC422C">
            <w:pPr>
              <w:spacing w:after="120" w:line="276" w:lineRule="auto"/>
              <w:jc w:val="both"/>
              <w:rPr>
                <w:rFonts w:ascii="Calibri" w:hAnsi="Calibri" w:cs="Calibri"/>
                <w:b/>
              </w:rPr>
            </w:pPr>
            <w:r w:rsidRPr="0009782B">
              <w:rPr>
                <w:rFonts w:ascii="Calibri" w:hAnsi="Calibri" w:cs="Calibri"/>
                <w:b/>
              </w:rPr>
              <w:t>Manner of computation of any portion of income applied by a registered non-profit organisation, directly or indirectly, for the benefit of any related person</w:t>
            </w:r>
          </w:p>
          <w:p w14:paraId="4C65DD65" w14:textId="77777777" w:rsidR="00CC422C" w:rsidRPr="0009782B" w:rsidRDefault="00CC422C" w:rsidP="00CC422C">
            <w:pPr>
              <w:spacing w:after="120" w:line="276" w:lineRule="auto"/>
              <w:jc w:val="both"/>
              <w:rPr>
                <w:rFonts w:ascii="Calibri" w:hAnsi="Calibri" w:cs="Calibri"/>
                <w:b/>
              </w:rPr>
            </w:pPr>
          </w:p>
          <w:p w14:paraId="3D1C9D9D" w14:textId="36A06AC9" w:rsidR="00CC422C" w:rsidRPr="0009782B" w:rsidRDefault="00CC422C" w:rsidP="00CC422C">
            <w:pPr>
              <w:spacing w:after="120" w:line="276" w:lineRule="auto"/>
              <w:jc w:val="both"/>
              <w:rPr>
                <w:rFonts w:ascii="Calibri" w:hAnsi="Calibri" w:cs="Calibri"/>
                <w:b/>
              </w:rPr>
            </w:pPr>
            <w:r w:rsidRPr="0009782B">
              <w:rPr>
                <w:rFonts w:ascii="Calibri" w:hAnsi="Calibri" w:cs="Calibri"/>
                <w:b/>
              </w:rPr>
              <w:t>Section 13(2) of ITA 1961</w:t>
            </w:r>
          </w:p>
          <w:p w14:paraId="1AC8245E" w14:textId="244C75C2" w:rsidR="00CC422C" w:rsidRPr="0009782B" w:rsidRDefault="00CC422C" w:rsidP="00CC422C">
            <w:pPr>
              <w:spacing w:after="120" w:line="276" w:lineRule="auto"/>
              <w:jc w:val="both"/>
              <w:rPr>
                <w:rFonts w:ascii="Calibri" w:hAnsi="Calibri" w:cs="Calibri"/>
                <w:b/>
                <w:lang w:bidi="en-US"/>
              </w:rPr>
            </w:pPr>
            <w:r w:rsidRPr="0009782B">
              <w:rPr>
                <w:rFonts w:ascii="Calibri" w:hAnsi="Calibri" w:cs="Calibri"/>
                <w:b/>
              </w:rPr>
              <w:t>Rule 183 of Draft IT Rules 2026</w:t>
            </w:r>
          </w:p>
          <w:p w14:paraId="1884B066" w14:textId="77777777" w:rsidR="00CC422C" w:rsidRPr="0009782B" w:rsidRDefault="00CC422C" w:rsidP="00CC422C">
            <w:pPr>
              <w:spacing w:after="120" w:line="276" w:lineRule="auto"/>
              <w:jc w:val="both"/>
              <w:rPr>
                <w:rFonts w:ascii="Calibri" w:hAnsi="Calibri" w:cs="Calibri"/>
                <w:b/>
                <w:lang w:bidi="en-US"/>
              </w:rPr>
            </w:pPr>
          </w:p>
          <w:p w14:paraId="66D3242E" w14:textId="77777777" w:rsidR="00CC422C" w:rsidRPr="0009782B" w:rsidRDefault="00CC422C" w:rsidP="00CC422C">
            <w:pPr>
              <w:spacing w:after="120" w:line="276" w:lineRule="auto"/>
              <w:jc w:val="both"/>
              <w:rPr>
                <w:rFonts w:ascii="Calibri" w:hAnsi="Calibri" w:cs="Calibri"/>
                <w:b/>
                <w:lang w:bidi="en-US"/>
              </w:rPr>
            </w:pPr>
          </w:p>
        </w:tc>
        <w:tc>
          <w:tcPr>
            <w:tcW w:w="10404" w:type="dxa"/>
            <w:tcBorders>
              <w:top w:val="single" w:sz="4" w:space="0" w:color="auto"/>
              <w:left w:val="single" w:sz="4" w:space="0" w:color="auto"/>
              <w:bottom w:val="single" w:sz="4" w:space="0" w:color="auto"/>
              <w:right w:val="single" w:sz="4" w:space="0" w:color="auto"/>
            </w:tcBorders>
          </w:tcPr>
          <w:p w14:paraId="01851A23" w14:textId="77777777"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Rationale</w:t>
            </w:r>
          </w:p>
          <w:p w14:paraId="09A6B349" w14:textId="130F8E4D"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Under the current Income Tax Act, 1961 (ITA 1961), Section 13 prescribes that any income applied for the benefit of a related party of the Trust may be treated as specified income, taxable under section 115BBI of the ITA 1961. A similar provision is contained in the ITA 2025 [See section 337 [Table S.No 2].  </w:t>
            </w:r>
          </w:p>
          <w:p w14:paraId="5B38B496" w14:textId="56D2D22C"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Rule 183 contains the manner of computation of any portion of income applied by a resident NPO directly or indirectly, for the benefit of any related person. While the circumstances, in which income may be applied directly or indirectly for the benefit of related persons is contained in Rule 183(1), Rule 183(2) states that income shall be value of any benefit or facility granted or provided free of cost or at a concessional rate to the related person.  </w:t>
            </w:r>
          </w:p>
          <w:p w14:paraId="6B5F393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Rule 183(2) may be deficient to the extent, that (a) it may not be able to capture adequately a situation contained in 183(1)(d) – where amounts paid for services rendered by a related party are in excess of what may reasonably be paid for such services;  and b) a more rational / objective methodology for determining income (i.e. value of any benefit or facility granted), in situations contained in Rule 183(1) may be necessary.  </w:t>
            </w:r>
          </w:p>
          <w:p w14:paraId="094D4E8F" w14:textId="1EA41B07"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 xml:space="preserve">Recommendation </w:t>
            </w:r>
          </w:p>
          <w:p w14:paraId="796A244D" w14:textId="01A5903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Rule 183(2) be amended to include amount paid in excess of what is reasonably paid for services to related parties</w:t>
            </w:r>
          </w:p>
          <w:p w14:paraId="4D1FF564" w14:textId="335CA65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Rule contains additional guidance on the methodology for determination of reasonability of payments to related party and consequently value of benefit or facility granted or provided free of cost or at concessional rate to NPOs. Currently, the transfer pricing provisions contained in the ITA 1961 and 2025, have generally granted a more objective framework for cross border transactions, following the arm’s length principle. A similar approach may be considered in determining value of any benefit, and consequently income applied to the benefit of related persons under Rule 183(2). NPOs maintaining documentation along the methodologies prescribed in the transfer pricing provisions of the ITA 2025 and rules thereunder, for transactions between the NPO and related parties may provide more certainty in assessment of NPOs and also prevent misuse. </w:t>
            </w:r>
          </w:p>
        </w:tc>
      </w:tr>
      <w:tr w:rsidR="00CC422C" w:rsidRPr="00E643CB" w14:paraId="4F778F1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D06F50A"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820C6AC" w14:textId="1C94ABDC" w:rsidR="00CC422C" w:rsidRPr="0009782B" w:rsidRDefault="00CC422C" w:rsidP="00CC422C">
            <w:pPr>
              <w:spacing w:after="120" w:line="276" w:lineRule="auto"/>
              <w:jc w:val="both"/>
              <w:rPr>
                <w:rFonts w:ascii="Calibri" w:hAnsi="Calibri" w:cs="Calibri"/>
                <w:b/>
              </w:rPr>
            </w:pPr>
            <w:r w:rsidRPr="0009782B">
              <w:rPr>
                <w:rFonts w:ascii="Calibri" w:hAnsi="Calibri" w:cs="Calibri"/>
                <w:b/>
              </w:rPr>
              <w:t>Furnishing of statement by registered non-profit organisation u/s. 342(1) of ITA 2025 for accumulating or setting apart any part of its regular income and Application under section 342(5) for change of purpose for which income has been accumulated or set apart</w:t>
            </w:r>
          </w:p>
          <w:p w14:paraId="7E63DF02" w14:textId="77777777" w:rsidR="00CC422C" w:rsidRPr="0009782B" w:rsidRDefault="00CC422C" w:rsidP="00CC422C">
            <w:pPr>
              <w:spacing w:after="120" w:line="276" w:lineRule="auto"/>
              <w:jc w:val="both"/>
              <w:rPr>
                <w:rFonts w:ascii="Calibri" w:hAnsi="Calibri" w:cs="Calibri"/>
                <w:b/>
              </w:rPr>
            </w:pPr>
          </w:p>
          <w:p w14:paraId="496ABBC9"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Section 11(2), Section 11(3A) of ITA 1961</w:t>
            </w:r>
          </w:p>
          <w:p w14:paraId="5EF32FD6" w14:textId="78E2B06C" w:rsidR="00CC422C" w:rsidRPr="0009782B" w:rsidRDefault="00CC422C" w:rsidP="00CC422C">
            <w:pPr>
              <w:spacing w:after="120" w:line="276" w:lineRule="auto"/>
              <w:jc w:val="both"/>
              <w:rPr>
                <w:rFonts w:ascii="Calibri" w:hAnsi="Calibri" w:cs="Calibri"/>
                <w:b/>
                <w:lang w:bidi="en-US"/>
              </w:rPr>
            </w:pPr>
            <w:r w:rsidRPr="0009782B">
              <w:rPr>
                <w:rFonts w:ascii="Calibri" w:hAnsi="Calibri" w:cs="Calibri"/>
                <w:b/>
              </w:rPr>
              <w:t>Rule 185 and 186 of Draft IT Rules 2026</w:t>
            </w:r>
          </w:p>
        </w:tc>
        <w:tc>
          <w:tcPr>
            <w:tcW w:w="10404" w:type="dxa"/>
            <w:tcBorders>
              <w:top w:val="single" w:sz="4" w:space="0" w:color="auto"/>
              <w:left w:val="single" w:sz="4" w:space="0" w:color="auto"/>
              <w:bottom w:val="single" w:sz="4" w:space="0" w:color="auto"/>
              <w:right w:val="single" w:sz="4" w:space="0" w:color="auto"/>
            </w:tcBorders>
          </w:tcPr>
          <w:p w14:paraId="6B7B106E" w14:textId="59F40406"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Rationale</w:t>
            </w:r>
          </w:p>
          <w:p w14:paraId="2DF74652" w14:textId="6D315DBA"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 xml:space="preserve">The transition from the ITA 1961 framework to the new ITA 2025 regime introduces some procedural changes for non-profit organisations particularly in relation to modifying accumulated income under Section 11(2) [new section 342(1)]. </w:t>
            </w:r>
          </w:p>
          <w:p w14:paraId="7A8C8DC0" w14:textId="1F47F448"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hAnsi="Calibri" w:cs="Calibri"/>
              </w:rPr>
              <w:t>Under</w:t>
            </w:r>
            <w:r w:rsidRPr="00E643CB">
              <w:rPr>
                <w:rFonts w:ascii="Calibri" w:eastAsiaTheme="minorEastAsia" w:hAnsi="Calibri" w:cs="Calibri"/>
              </w:rPr>
              <w:t xml:space="preserve"> the ITA 1961, Section 11(2), provides exemption to charitable or religious trusts on income applied for their charitable purposes. As a general rule, trusts must apply at least 85% of their income during the year to claim exemption. In cases when they cannot apply the full 85%, Section 11(2) allows them to accumulate or set apart such unspent income for future use, without losing tax exemption—subject to compliance with specific conditions. One such condition is that the trust has to file Form 10 with the Assessing Officer specifying both the exact purpose of accumulation and the period of accumulation, which cannot exceed five years. Further, Section 11(3A) allows an entity to change the purpose of income accumulated under Section 11(2), with approval from Assessing Officer approval, in cases when the original purpose cannot be fulfilled due to circumstances beyond the entities control, provided the new purpose aligns with the entities charitable objects. </w:t>
            </w:r>
          </w:p>
          <w:p w14:paraId="5D5FF92E" w14:textId="5A5B5761"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Under ITA 1961, no separate form was prescribed for making such application for modifications under Section 11(3A). ITA 2025 is principally similar to ITA 1961. Section 342(1) of the ITA 2025 read with Draft Rule 185, an entity has to file form 109 to accumulate the income which could not be applied in a particular tax year. Further section 342(5) of ITA 2025, read with rule 186 of the Draft Income</w:t>
            </w:r>
            <w:r w:rsidRPr="00E643CB">
              <w:rPr>
                <w:rFonts w:ascii="Cambria Math" w:eastAsiaTheme="minorEastAsia" w:hAnsi="Cambria Math" w:cs="Cambria Math"/>
              </w:rPr>
              <w:t>‑</w:t>
            </w:r>
            <w:r w:rsidRPr="00E643CB">
              <w:rPr>
                <w:rFonts w:ascii="Calibri" w:eastAsiaTheme="minorEastAsia" w:hAnsi="Calibri" w:cs="Calibri"/>
              </w:rPr>
              <w:t>tax Rules, 2026 now mandates the use of Form 110 for applying for changes in the period or purpose of accumulation</w:t>
            </w:r>
            <w:r w:rsidRPr="00E643CB">
              <w:rPr>
                <w:rFonts w:ascii="Calibri" w:eastAsia="Segoe UI" w:hAnsi="Calibri" w:cs="Calibri"/>
              </w:rPr>
              <w:t xml:space="preserve"> d</w:t>
            </w:r>
            <w:r w:rsidRPr="00E643CB">
              <w:rPr>
                <w:rFonts w:ascii="Calibri" w:eastAsiaTheme="minorEastAsia" w:hAnsi="Calibri" w:cs="Calibri"/>
              </w:rPr>
              <w:t xml:space="preserve">eclared under Section 11(2). Accordingly, the assessing officer shall accept or reject such application by either filling Part C or Part D of Form 111 in reference to the application filed in form 110. </w:t>
            </w:r>
          </w:p>
          <w:p w14:paraId="10A029C0" w14:textId="03F0CAF2"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While the revised law seeks to streamline processes through the introduction of Form 109 and 110 and the corresponding mechanism under Rule 185 and 186, some practical gaps remain that may hinder compliance for entities with ongoing accumulations.</w:t>
            </w:r>
          </w:p>
          <w:p w14:paraId="35921127" w14:textId="47F156EA"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 xml:space="preserve">Form </w:t>
            </w:r>
            <w:r w:rsidRPr="00E643CB">
              <w:rPr>
                <w:rFonts w:ascii="Calibri" w:hAnsi="Calibri" w:cs="Calibri"/>
              </w:rPr>
              <w:t>109</w:t>
            </w:r>
            <w:r w:rsidRPr="00E643CB">
              <w:rPr>
                <w:rFonts w:ascii="Calibri" w:eastAsiaTheme="minorEastAsia" w:hAnsi="Calibri" w:cs="Calibri"/>
              </w:rPr>
              <w:t>, as prescribed under Rule 185, under Sl.8 ‘Status of Accumulation for preceding tax years’ - captures only those accumulations reported through the new Form 109 (Date of filing Form No. 109) framework and does not extend recognition to accumulations previously reported</w:t>
            </w:r>
            <w:r w:rsidRPr="00E643CB">
              <w:rPr>
                <w:rFonts w:ascii="Calibri" w:eastAsia="Segoe UI" w:hAnsi="Calibri" w:cs="Calibri"/>
              </w:rPr>
              <w:t xml:space="preserve"> </w:t>
            </w:r>
            <w:r w:rsidRPr="00E643CB">
              <w:rPr>
                <w:rFonts w:ascii="Calibri" w:eastAsiaTheme="minorEastAsia" w:hAnsi="Calibri" w:cs="Calibri"/>
              </w:rPr>
              <w:t xml:space="preserve">in Form 10 under the erstwhile regime. This omission creates a transitional compliance gap for entities that had validly filed Form 10 under the Income-tax Act, 1961. </w:t>
            </w:r>
          </w:p>
          <w:p w14:paraId="4B60AE55" w14:textId="77777777"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 xml:space="preserve">Similarly, Form 110 under Rule 186—now required for seeking modifications to the purpose or period of such earlier </w:t>
            </w:r>
            <w:r w:rsidRPr="00E643CB">
              <w:rPr>
                <w:rFonts w:ascii="Calibri" w:hAnsi="Calibri" w:cs="Calibri"/>
              </w:rPr>
              <w:t>accumulations</w:t>
            </w:r>
            <w:r w:rsidRPr="00E643CB">
              <w:rPr>
                <w:rFonts w:ascii="Calibri" w:eastAsiaTheme="minorEastAsia" w:hAnsi="Calibri" w:cs="Calibri"/>
              </w:rPr>
              <w:t xml:space="preserve">—mirrors the same limitation under Sl.6 ‘Details of amount accumulated or set apart and proposed change in purpose’ column C, resulting in an absence of a clear mechanism to transition or regularise legacy Form 10 accumulations within the new reporting architecture. </w:t>
            </w:r>
          </w:p>
          <w:p w14:paraId="344ABD57" w14:textId="77777777"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As many trusts continue to hold valid accumulations initiated in accordance with ITA 1961, the absence of such recognition may prevent them from modifying their purpose or period of accumulation under the new framework, creating avoidable compliance and operational difficulties.</w:t>
            </w:r>
          </w:p>
          <w:p w14:paraId="1E4ED413" w14:textId="77777777"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Secondly, no timelines have been prescribed for the Assessing Officer to accept or reject the application filed in form 110 in form 111. The absence of defined timelines may lead to administrative delays and uncertainty for NPOs that require timely approvals for modifying accumulated income. Without clear timelines, organisations may face administrative delays that could affect their ability to apply accumulated income within the permitted timeframe, potentially jeopardising the tax</w:t>
            </w:r>
            <w:r w:rsidRPr="00E643CB">
              <w:rPr>
                <w:rFonts w:ascii="Cambria Math" w:eastAsiaTheme="minorEastAsia" w:hAnsi="Cambria Math" w:cs="Cambria Math"/>
              </w:rPr>
              <w:t>‑</w:t>
            </w:r>
            <w:r w:rsidRPr="00E643CB">
              <w:rPr>
                <w:rFonts w:ascii="Calibri" w:eastAsiaTheme="minorEastAsia" w:hAnsi="Calibri" w:cs="Calibri"/>
              </w:rPr>
              <w:t>exempt status for such Income.</w:t>
            </w:r>
          </w:p>
          <w:p w14:paraId="5DE87299" w14:textId="784EC73E"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On perusal of Form 110 we note that the form requires disclosure of the date of the resolution passed by the trustees/governing body/</w:t>
            </w:r>
            <w:r w:rsidRPr="00E643CB">
              <w:rPr>
                <w:rFonts w:ascii="Calibri" w:hAnsi="Calibri" w:cs="Calibri"/>
              </w:rPr>
              <w:t>management</w:t>
            </w:r>
            <w:r w:rsidRPr="00E643CB">
              <w:rPr>
                <w:rFonts w:ascii="Calibri" w:eastAsiaTheme="minorEastAsia" w:hAnsi="Calibri" w:cs="Calibri"/>
              </w:rPr>
              <w:t xml:space="preserve"> committee under Sl.6 ‘Details of amount accumulated or set apart and proposed change in purpose’ column K.  However, there is no clarity on the timeframe within which Form 110 must be filed after passing such a resolution, creating ambiguity around what constitutes timely compliance. This lack of clarity may lead to uncertainty for taxpayers attempting to comply with the provisions as well as the Department.</w:t>
            </w:r>
          </w:p>
          <w:p w14:paraId="1F43119E" w14:textId="4578B84C" w:rsidR="00CC422C" w:rsidRPr="00E643CB" w:rsidRDefault="00CC422C" w:rsidP="00CC422C">
            <w:pPr>
              <w:spacing w:after="120" w:line="276" w:lineRule="auto"/>
              <w:rPr>
                <w:rFonts w:ascii="Calibri" w:eastAsiaTheme="minorEastAsia" w:hAnsi="Calibri" w:cs="Calibri"/>
                <w:b/>
                <w:lang w:bidi="en-US"/>
              </w:rPr>
            </w:pPr>
            <w:r w:rsidRPr="00E643CB">
              <w:rPr>
                <w:rFonts w:ascii="Calibri" w:eastAsiaTheme="minorEastAsia" w:hAnsi="Calibri" w:cs="Calibri"/>
                <w:b/>
                <w:lang w:bidi="en-US"/>
              </w:rPr>
              <w:t xml:space="preserve">Recommendation </w:t>
            </w:r>
          </w:p>
          <w:p w14:paraId="1B3CD7AD" w14:textId="53DAC582" w:rsidR="00CC422C" w:rsidRPr="00E643CB" w:rsidRDefault="00CC422C" w:rsidP="00CC422C">
            <w:pPr>
              <w:numPr>
                <w:ilvl w:val="0"/>
                <w:numId w:val="3"/>
              </w:numPr>
              <w:spacing w:after="120" w:line="276" w:lineRule="auto"/>
              <w:rPr>
                <w:rFonts w:ascii="Calibri" w:eastAsiaTheme="minorEastAsia" w:hAnsi="Calibri" w:cs="Calibri"/>
                <w:b/>
                <w:u w:val="single"/>
              </w:rPr>
            </w:pPr>
            <w:r w:rsidRPr="00E643CB">
              <w:rPr>
                <w:rFonts w:ascii="Calibri" w:eastAsiaTheme="minorEastAsia" w:hAnsi="Calibri" w:cs="Calibri"/>
              </w:rPr>
              <w:t>To ensure a smooth transition and avoid unintended compliance challenges, it is recommended that the new regime explicitly recognise accumulations validly made through Form 10, prescribe definitive timelines for Assessing Officer decisions on modification requests, and clearly set out the filing window for submitting Form</w:t>
            </w:r>
            <w:r w:rsidRPr="00E643CB">
              <w:rPr>
                <w:rFonts w:ascii="Calibri" w:eastAsia="Segoe UI" w:hAnsi="Calibri" w:cs="Calibri"/>
              </w:rPr>
              <w:t xml:space="preserve"> </w:t>
            </w:r>
            <w:r w:rsidRPr="00E643CB">
              <w:rPr>
                <w:rFonts w:ascii="Calibri" w:eastAsiaTheme="minorEastAsia" w:hAnsi="Calibri" w:cs="Calibri"/>
              </w:rPr>
              <w:t>110 following an internal approval by the trustees or governing body. In this regard, following measures may be adopted -</w:t>
            </w:r>
          </w:p>
          <w:p w14:paraId="6B079C68" w14:textId="241380B1" w:rsidR="00CC422C" w:rsidRPr="00E643CB" w:rsidRDefault="00CC422C" w:rsidP="00CC422C">
            <w:pPr>
              <w:numPr>
                <w:ilvl w:val="0"/>
                <w:numId w:val="3"/>
              </w:numPr>
              <w:spacing w:after="120" w:line="276" w:lineRule="auto"/>
              <w:rPr>
                <w:rFonts w:ascii="Calibri" w:eastAsiaTheme="minorEastAsia" w:hAnsi="Calibri" w:cs="Calibri"/>
                <w:b/>
                <w:u w:val="single"/>
              </w:rPr>
            </w:pPr>
            <w:r w:rsidRPr="00E643CB">
              <w:rPr>
                <w:rFonts w:ascii="Calibri" w:eastAsiaTheme="minorEastAsia" w:hAnsi="Calibri" w:cs="Calibri"/>
                <w:b/>
                <w:u w:val="single"/>
              </w:rPr>
              <w:t>Reflect earlier Form 10 filings in new forms</w:t>
            </w:r>
          </w:p>
          <w:p w14:paraId="3DFD908A" w14:textId="77777777" w:rsidR="00CC422C" w:rsidRPr="00E643CB" w:rsidRDefault="00CC422C" w:rsidP="00CC422C">
            <w:pPr>
              <w:spacing w:after="120" w:line="276" w:lineRule="auto"/>
              <w:ind w:left="720"/>
              <w:rPr>
                <w:rFonts w:ascii="Calibri" w:eastAsiaTheme="minorEastAsia" w:hAnsi="Calibri" w:cs="Calibri"/>
              </w:rPr>
            </w:pPr>
            <w:r w:rsidRPr="00E643CB">
              <w:rPr>
                <w:rFonts w:ascii="Calibri" w:eastAsia="Segoe UI" w:hAnsi="Calibri" w:cs="Calibri"/>
              </w:rPr>
              <w:t>F</w:t>
            </w:r>
            <w:r w:rsidRPr="00E643CB">
              <w:rPr>
                <w:rFonts w:ascii="Calibri" w:eastAsiaTheme="minorEastAsia" w:hAnsi="Calibri" w:cs="Calibri"/>
              </w:rPr>
              <w:t>orm 109 and 110 should be updated to also recognise past filings made in Form 10, so that entities which previously accumulated income under the old law can smoothly modify their purpose or period without facing compliance gaps.</w:t>
            </w:r>
          </w:p>
          <w:p w14:paraId="3D777829" w14:textId="77777777" w:rsidR="00CC422C" w:rsidRPr="00E643CB" w:rsidRDefault="00CC422C" w:rsidP="00CC422C">
            <w:pPr>
              <w:numPr>
                <w:ilvl w:val="0"/>
                <w:numId w:val="3"/>
              </w:numPr>
              <w:spacing w:after="120" w:line="276" w:lineRule="auto"/>
              <w:rPr>
                <w:rFonts w:ascii="Calibri" w:eastAsia="Aptos" w:hAnsi="Calibri" w:cs="Calibri"/>
                <w:b/>
                <w:u w:val="single"/>
              </w:rPr>
            </w:pPr>
            <w:r w:rsidRPr="00E643CB">
              <w:rPr>
                <w:rFonts w:ascii="Calibri" w:eastAsia="Aptos" w:hAnsi="Calibri" w:cs="Calibri"/>
                <w:b/>
                <w:u w:val="single"/>
              </w:rPr>
              <w:t>Timeline for disposal of modification applications</w:t>
            </w:r>
          </w:p>
          <w:p w14:paraId="3DEF8116" w14:textId="77777777" w:rsidR="00CC422C" w:rsidRPr="00E643CB" w:rsidRDefault="00CC422C" w:rsidP="00CC422C">
            <w:pPr>
              <w:spacing w:after="120" w:line="276" w:lineRule="auto"/>
              <w:ind w:left="720"/>
              <w:rPr>
                <w:rFonts w:ascii="Calibri" w:eastAsiaTheme="minorEastAsia" w:hAnsi="Calibri" w:cs="Calibri"/>
              </w:rPr>
            </w:pPr>
            <w:r w:rsidRPr="00E643CB">
              <w:rPr>
                <w:rFonts w:ascii="Calibri" w:eastAsiaTheme="minorEastAsia" w:hAnsi="Calibri" w:cs="Calibri"/>
              </w:rPr>
              <w:t>To achieve compliance certainty, a clear statutory timeframe should be prescribed for the Assessing Officer to accept or reject modification applications filed under Rule 186 in form 111. A specific timeline would prevent undue lapse of period within which the organisations have to apply the accumulated income.</w:t>
            </w:r>
          </w:p>
          <w:p w14:paraId="06C62315" w14:textId="77777777" w:rsidR="00CC422C" w:rsidRPr="00E643CB" w:rsidRDefault="00CC422C" w:rsidP="00CC422C">
            <w:pPr>
              <w:numPr>
                <w:ilvl w:val="0"/>
                <w:numId w:val="3"/>
              </w:numPr>
              <w:spacing w:after="120" w:line="276" w:lineRule="auto"/>
              <w:rPr>
                <w:rFonts w:ascii="Calibri" w:eastAsiaTheme="minorEastAsia" w:hAnsi="Calibri" w:cs="Calibri"/>
                <w:b/>
                <w:u w:val="single"/>
              </w:rPr>
            </w:pPr>
            <w:r w:rsidRPr="00E643CB">
              <w:rPr>
                <w:rFonts w:ascii="Calibri" w:eastAsiaTheme="minorEastAsia" w:hAnsi="Calibri" w:cs="Calibri"/>
                <w:b/>
                <w:u w:val="single"/>
              </w:rPr>
              <w:t>Defined deadline for filing form 110</w:t>
            </w:r>
          </w:p>
          <w:p w14:paraId="327F0F37" w14:textId="25EAB91E" w:rsidR="00CC422C" w:rsidRPr="00E643CB" w:rsidRDefault="00CC422C" w:rsidP="00CC422C">
            <w:pPr>
              <w:spacing w:after="120" w:line="276" w:lineRule="auto"/>
              <w:ind w:left="720"/>
              <w:rPr>
                <w:rFonts w:ascii="Calibri" w:eastAsiaTheme="minorEastAsia" w:hAnsi="Calibri" w:cs="Calibri"/>
              </w:rPr>
            </w:pPr>
            <w:r w:rsidRPr="00E643CB">
              <w:rPr>
                <w:rFonts w:ascii="Calibri" w:eastAsiaTheme="minorEastAsia" w:hAnsi="Calibri" w:cs="Calibri"/>
              </w:rPr>
              <w:t xml:space="preserve">It </w:t>
            </w:r>
            <w:r w:rsidRPr="00E643CB">
              <w:rPr>
                <w:rFonts w:ascii="Calibri" w:hAnsi="Calibri" w:cs="Calibri"/>
              </w:rPr>
              <w:t>is</w:t>
            </w:r>
            <w:r w:rsidRPr="00E643CB">
              <w:rPr>
                <w:rFonts w:ascii="Calibri" w:eastAsiaTheme="minorEastAsia" w:hAnsi="Calibri" w:cs="Calibri"/>
              </w:rPr>
              <w:t xml:space="preserve"> recommended that a clear deadline for filing form 110 be prescribed to ensure procedural discipline and avoid uncertainty for the taxpayers.</w:t>
            </w:r>
          </w:p>
        </w:tc>
      </w:tr>
      <w:tr w:rsidR="00CC422C" w:rsidRPr="00E643CB" w14:paraId="0412DF4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6D7162E"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92D7B6D" w14:textId="02F0B472" w:rsidR="00CC422C" w:rsidRPr="0009782B" w:rsidRDefault="00CC422C" w:rsidP="00CC422C">
            <w:pPr>
              <w:spacing w:after="120" w:line="276" w:lineRule="auto"/>
              <w:jc w:val="both"/>
              <w:rPr>
                <w:rFonts w:ascii="Calibri" w:hAnsi="Calibri" w:cs="Calibri"/>
                <w:b/>
              </w:rPr>
            </w:pPr>
            <w:r w:rsidRPr="0009782B">
              <w:rPr>
                <w:rFonts w:ascii="Calibri" w:hAnsi="Calibri" w:cs="Calibri"/>
                <w:b/>
              </w:rPr>
              <w:t>Furnishing of statement of particulars in respect of donation and certificate to the donor under section 354(1) of ITA 2025</w:t>
            </w:r>
          </w:p>
          <w:p w14:paraId="774D3F52" w14:textId="77777777" w:rsidR="00CC422C" w:rsidRPr="0009782B" w:rsidRDefault="00CC422C" w:rsidP="00CC422C">
            <w:pPr>
              <w:spacing w:after="120" w:line="276" w:lineRule="auto"/>
              <w:jc w:val="both"/>
              <w:rPr>
                <w:rFonts w:ascii="Calibri" w:hAnsi="Calibri" w:cs="Calibri"/>
                <w:b/>
              </w:rPr>
            </w:pPr>
          </w:p>
          <w:p w14:paraId="33C4F05D" w14:textId="41FF8E79"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18AB of IT Rules 1962 r.w.s 80G(5) and 35(1A) of ITA 1961</w:t>
            </w:r>
          </w:p>
          <w:p w14:paraId="05288453" w14:textId="3A7E3726" w:rsidR="00CC422C" w:rsidRPr="0009782B" w:rsidRDefault="00CC422C" w:rsidP="00CC422C">
            <w:pPr>
              <w:spacing w:after="120" w:line="276" w:lineRule="auto"/>
              <w:jc w:val="both"/>
              <w:rPr>
                <w:rFonts w:ascii="Calibri" w:hAnsi="Calibri" w:cs="Calibri"/>
                <w:b/>
              </w:rPr>
            </w:pPr>
            <w:r w:rsidRPr="0009782B">
              <w:rPr>
                <w:rFonts w:ascii="Calibri" w:hAnsi="Calibri" w:cs="Calibri"/>
                <w:b/>
              </w:rPr>
              <w:t xml:space="preserve">Rule 190 of Draft IT Rules 2026 r.w.s. 354 of ITA 2025 </w:t>
            </w:r>
          </w:p>
          <w:p w14:paraId="2F6D0A15" w14:textId="77777777" w:rsidR="00CC422C" w:rsidRPr="0009782B" w:rsidRDefault="00CC422C" w:rsidP="00CC422C">
            <w:pPr>
              <w:spacing w:after="120" w:line="276" w:lineRule="auto"/>
              <w:jc w:val="both"/>
              <w:rPr>
                <w:rFonts w:ascii="Calibri" w:hAnsi="Calibri" w:cs="Calibri"/>
                <w:b/>
              </w:rPr>
            </w:pPr>
          </w:p>
          <w:p w14:paraId="0458F0E9" w14:textId="77777777" w:rsidR="00CC422C" w:rsidRPr="0009782B" w:rsidRDefault="00CC422C" w:rsidP="00CC422C">
            <w:pPr>
              <w:spacing w:after="120" w:line="276" w:lineRule="auto"/>
              <w:jc w:val="both"/>
              <w:rPr>
                <w:rFonts w:ascii="Calibri" w:hAnsi="Calibri" w:cs="Calibri"/>
                <w:b/>
                <w:lang w:bidi="en-US"/>
              </w:rPr>
            </w:pPr>
          </w:p>
          <w:p w14:paraId="047A9717" w14:textId="77777777" w:rsidR="00CC422C" w:rsidRPr="0009782B" w:rsidRDefault="00CC422C" w:rsidP="00CC422C">
            <w:pPr>
              <w:spacing w:after="120" w:line="276" w:lineRule="auto"/>
              <w:jc w:val="both"/>
              <w:rPr>
                <w:rFonts w:ascii="Calibri" w:hAnsi="Calibri" w:cs="Calibri"/>
                <w:b/>
                <w:lang w:bidi="en-US"/>
              </w:rPr>
            </w:pPr>
          </w:p>
        </w:tc>
        <w:tc>
          <w:tcPr>
            <w:tcW w:w="10404" w:type="dxa"/>
            <w:tcBorders>
              <w:top w:val="single" w:sz="4" w:space="0" w:color="auto"/>
              <w:left w:val="single" w:sz="4" w:space="0" w:color="auto"/>
              <w:bottom w:val="single" w:sz="4" w:space="0" w:color="auto"/>
              <w:right w:val="single" w:sz="4" w:space="0" w:color="auto"/>
            </w:tcBorders>
          </w:tcPr>
          <w:p w14:paraId="2D9FCC01" w14:textId="05C7CEC6"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Rationale</w:t>
            </w:r>
          </w:p>
          <w:p w14:paraId="7322A8A0" w14:textId="77777777"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Rule 18AB of the ITR, 1962 required institutions approved under section 80G(2)(a)(iv) and satisfying the conditions of section 80G(5) of the Income</w:t>
            </w:r>
            <w:r w:rsidRPr="00E643CB">
              <w:rPr>
                <w:rFonts w:ascii="Cambria Math" w:eastAsiaTheme="minorEastAsia" w:hAnsi="Cambria Math" w:cs="Cambria Math"/>
              </w:rPr>
              <w:t>‑</w:t>
            </w:r>
            <w:r w:rsidRPr="00E643CB">
              <w:rPr>
                <w:rFonts w:ascii="Calibri" w:eastAsiaTheme="minorEastAsia" w:hAnsi="Calibri" w:cs="Calibri"/>
              </w:rPr>
              <w:t xml:space="preserve">tax Act, 1961 to file Form 10BD (statement or correction statement of donation) and Form 10BE (certificate of donation to donor). </w:t>
            </w:r>
          </w:p>
          <w:p w14:paraId="6661FD68" w14:textId="3824B438"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Rule 18AB also clearly included within its ambit research associations, universities, colleges, and other institutions approved for scientific or social science research under section 35(1A). Consequently, these research</w:t>
            </w:r>
            <w:r w:rsidRPr="00E643CB">
              <w:rPr>
                <w:rFonts w:ascii="Cambria Math" w:eastAsiaTheme="minorEastAsia" w:hAnsi="Cambria Math" w:cs="Cambria Math"/>
              </w:rPr>
              <w:t>‑</w:t>
            </w:r>
            <w:r w:rsidRPr="00E643CB">
              <w:rPr>
                <w:rFonts w:ascii="Calibri" w:eastAsiaTheme="minorEastAsia" w:hAnsi="Calibri" w:cs="Calibri"/>
              </w:rPr>
              <w:t>oriented bodies were recognised as eligible ‘donees’ and brought under the donation reporting regime.</w:t>
            </w:r>
          </w:p>
          <w:p w14:paraId="58435DB7" w14:textId="77777777"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Under Rule 190 r.w.s 354 of ITA 2025 the term “donee” now covers registered NPOs and additionally includes regimental funds or non</w:t>
            </w:r>
            <w:r w:rsidRPr="00E643CB">
              <w:rPr>
                <w:rFonts w:ascii="Cambria Math" w:eastAsiaTheme="minorEastAsia" w:hAnsi="Cambria Math" w:cs="Cambria Math"/>
              </w:rPr>
              <w:t>‑</w:t>
            </w:r>
            <w:r w:rsidRPr="00E643CB">
              <w:rPr>
                <w:rFonts w:ascii="Calibri" w:eastAsiaTheme="minorEastAsia" w:hAnsi="Calibri" w:cs="Calibri"/>
              </w:rPr>
              <w:t>public funds established by the Armed Forces of the Union. Donees under this provision must file Form 113 (statement/correction statement of donations) and issue Form 114 (donation certificates), which replace the earlier Forms 10BD and 10BE.</w:t>
            </w:r>
          </w:p>
          <w:p w14:paraId="2B6F14A4" w14:textId="15ED6EFC" w:rsidR="00CC422C" w:rsidRPr="00E643CB" w:rsidRDefault="00CC422C" w:rsidP="00CC422C">
            <w:pPr>
              <w:numPr>
                <w:ilvl w:val="0"/>
                <w:numId w:val="3"/>
              </w:numPr>
              <w:spacing w:after="120" w:line="276" w:lineRule="auto"/>
              <w:rPr>
                <w:rFonts w:ascii="Calibri" w:eastAsiaTheme="minorEastAsia" w:hAnsi="Calibri" w:cs="Calibri"/>
              </w:rPr>
            </w:pPr>
            <w:r w:rsidRPr="00E643CB">
              <w:rPr>
                <w:rFonts w:ascii="Calibri" w:eastAsiaTheme="minorEastAsia" w:hAnsi="Calibri" w:cs="Calibri"/>
              </w:rPr>
              <w:t xml:space="preserve">However, a key change from the earlier regime is that Rule 190 does not include the research associations, universities, colleges, and research institutions that were previously covered under section 35(1A) r.w. rule 18AB in the 1962 Rules. </w:t>
            </w:r>
          </w:p>
          <w:p w14:paraId="0FECD9E7" w14:textId="1FA32A48"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Recommendation</w:t>
            </w:r>
          </w:p>
          <w:p w14:paraId="6E02FF8E" w14:textId="218895F0" w:rsidR="00CC422C" w:rsidRPr="00E643CB" w:rsidRDefault="00CC422C" w:rsidP="00CC422C">
            <w:pPr>
              <w:numPr>
                <w:ilvl w:val="0"/>
                <w:numId w:val="3"/>
              </w:numPr>
              <w:spacing w:after="120" w:line="276" w:lineRule="auto"/>
              <w:rPr>
                <w:rFonts w:ascii="Calibri" w:hAnsi="Calibri" w:cs="Calibri"/>
                <w:b/>
                <w:lang w:bidi="en-US"/>
              </w:rPr>
            </w:pPr>
            <w:r w:rsidRPr="00E643CB">
              <w:rPr>
                <w:rFonts w:ascii="Calibri" w:eastAsiaTheme="minorEastAsia" w:hAnsi="Calibri" w:cs="Calibri"/>
              </w:rPr>
              <w:t>It is therefore recommended that the definition of ‘donee’ under section 354 be expanded to include the institutions covered under section 35(1A) of the ITA 1961. This would ensure alignment with the earlier Rule 18AB, maintain continuity in regulatory coverage, and prevent inadvertent exclusion of research and academic bodies from compliance obligations.</w:t>
            </w:r>
          </w:p>
        </w:tc>
      </w:tr>
      <w:tr w:rsidR="00CC422C" w:rsidRPr="00E643CB" w14:paraId="18987FF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50804F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620BE56" w14:textId="115D1AB2" w:rsidR="00CC422C" w:rsidRPr="0009782B" w:rsidRDefault="00CC422C" w:rsidP="00CC422C">
            <w:pPr>
              <w:spacing w:after="120" w:line="276" w:lineRule="auto"/>
              <w:jc w:val="both"/>
              <w:rPr>
                <w:rFonts w:ascii="Calibri" w:hAnsi="Calibri" w:cs="Calibri"/>
                <w:b/>
              </w:rPr>
            </w:pPr>
            <w:r w:rsidRPr="0009782B">
              <w:rPr>
                <w:rFonts w:ascii="Calibri" w:hAnsi="Calibri" w:cs="Calibri"/>
                <w:b/>
              </w:rPr>
              <w:t>Constitution of Dispute Resolution Committee under section 379 of the Act</w:t>
            </w:r>
          </w:p>
          <w:p w14:paraId="314DC701" w14:textId="77777777" w:rsidR="00CC422C" w:rsidRPr="0009782B" w:rsidRDefault="00CC422C" w:rsidP="00CC422C">
            <w:pPr>
              <w:spacing w:after="120" w:line="276" w:lineRule="auto"/>
              <w:jc w:val="both"/>
              <w:rPr>
                <w:rFonts w:ascii="Calibri" w:hAnsi="Calibri" w:cs="Calibri"/>
                <w:b/>
              </w:rPr>
            </w:pPr>
          </w:p>
          <w:p w14:paraId="15BF141F" w14:textId="64DBB53D"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44DAA of IT Rules 1962</w:t>
            </w:r>
          </w:p>
          <w:p w14:paraId="5FB441CA" w14:textId="23175B98" w:rsidR="00CC422C" w:rsidRPr="0009782B" w:rsidRDefault="00CC422C" w:rsidP="00CC422C">
            <w:pPr>
              <w:spacing w:after="120" w:line="276" w:lineRule="auto"/>
              <w:jc w:val="both"/>
              <w:rPr>
                <w:rFonts w:ascii="Calibri" w:hAnsi="Calibri" w:cs="Calibri"/>
                <w:b/>
                <w:lang w:bidi="en-US"/>
              </w:rPr>
            </w:pPr>
            <w:r w:rsidRPr="0009782B">
              <w:rPr>
                <w:rFonts w:ascii="Calibri" w:hAnsi="Calibri" w:cs="Calibri"/>
                <w:b/>
              </w:rPr>
              <w:t>Rule 196 of Draft IT Rules 2026</w:t>
            </w:r>
          </w:p>
        </w:tc>
        <w:tc>
          <w:tcPr>
            <w:tcW w:w="10404" w:type="dxa"/>
            <w:tcBorders>
              <w:top w:val="single" w:sz="4" w:space="0" w:color="auto"/>
              <w:left w:val="single" w:sz="4" w:space="0" w:color="auto"/>
              <w:bottom w:val="single" w:sz="4" w:space="0" w:color="auto"/>
              <w:right w:val="single" w:sz="4" w:space="0" w:color="auto"/>
            </w:tcBorders>
          </w:tcPr>
          <w:p w14:paraId="2410D9CA" w14:textId="77777777" w:rsidR="00CC422C" w:rsidRPr="00E643CB" w:rsidRDefault="00CC422C" w:rsidP="00CC422C">
            <w:pPr>
              <w:spacing w:after="120" w:line="276" w:lineRule="auto"/>
              <w:rPr>
                <w:rFonts w:ascii="Calibri" w:eastAsiaTheme="minorEastAsia" w:hAnsi="Calibri" w:cs="Calibri"/>
                <w:b/>
                <w:bCs/>
              </w:rPr>
            </w:pPr>
            <w:r w:rsidRPr="00E643CB">
              <w:rPr>
                <w:rFonts w:ascii="Calibri" w:eastAsiaTheme="minorEastAsia" w:hAnsi="Calibri" w:cs="Calibri"/>
                <w:b/>
                <w:bCs/>
              </w:rPr>
              <w:t>Rationale</w:t>
            </w:r>
          </w:p>
          <w:p w14:paraId="464CD8E5" w14:textId="77777777"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Currently, the DRC comprises one serving officer not below the rank of Principal Commissioner or Commissioner of Income-tax, along with two retired officers of the Indian Revenue Service (Income-tax) who have held the rank of Commissioner or higher for at least five years.</w:t>
            </w:r>
          </w:p>
          <w:p w14:paraId="1265CFD0" w14:textId="1853707D"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 xml:space="preserve">While the existing structure ensures administrative experience, the inclusion of a serving officer may create a perception of bias </w:t>
            </w:r>
            <w:r w:rsidRPr="00E643CB">
              <w:rPr>
                <w:rFonts w:ascii="Calibri" w:hAnsi="Calibri" w:cs="Calibri"/>
              </w:rPr>
              <w:t>and may adversely affect the independence and impartiality expected of such a quasi-judicial body</w:t>
            </w:r>
            <w:r w:rsidRPr="00E643CB">
              <w:rPr>
                <w:rFonts w:ascii="Calibri" w:eastAsiaTheme="minorEastAsia" w:hAnsi="Calibri" w:cs="Calibri"/>
              </w:rPr>
              <w:t xml:space="preserve">, as such officer continues to be part of the departmental hierarchy. </w:t>
            </w:r>
          </w:p>
          <w:p w14:paraId="0B142D36" w14:textId="77777777"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Even if no actual bias exists, the apprehension of partiality may undermine taxpayer confidence and dilute the effectiveness of the Committee as a neutral forum.</w:t>
            </w:r>
          </w:p>
          <w:p w14:paraId="767C9007" w14:textId="31B3AFD3" w:rsidR="00CC422C" w:rsidRPr="00E643CB" w:rsidRDefault="00CC422C" w:rsidP="00CC422C">
            <w:pPr>
              <w:spacing w:after="120" w:line="276" w:lineRule="auto"/>
              <w:rPr>
                <w:rFonts w:ascii="Calibri" w:eastAsiaTheme="minorEastAsia" w:hAnsi="Calibri" w:cs="Calibri"/>
                <w:b/>
                <w:bCs/>
              </w:rPr>
            </w:pPr>
            <w:r w:rsidRPr="00E643CB">
              <w:rPr>
                <w:rFonts w:ascii="Calibri" w:eastAsiaTheme="minorEastAsia" w:hAnsi="Calibri" w:cs="Calibri"/>
                <w:b/>
                <w:bCs/>
              </w:rPr>
              <w:t>Recommendation</w:t>
            </w:r>
          </w:p>
          <w:p w14:paraId="4687794D" w14:textId="31E0BE52"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 xml:space="preserve">It is suggested that the composition of the Dispute Resolution Committee (DRC) under section 379 of the Act be revised to better reflect the legislative intent of establishing an independent and impartial dispute resolution mechanism. </w:t>
            </w:r>
          </w:p>
          <w:p w14:paraId="1E8CF01B" w14:textId="77777777"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To enhance institutional independence and credibility, it is proposed that the Committee be reconstituted to include retired Members of the Income-tax Appellate Tribunal and a retired Chief Commissioner of Income-tax. Retired judicial members would bring adjudicatory expertise and an independent perspective, while a retired Chief Commissioner would contribute valuable administrative insight without ongoing departmental influence.</w:t>
            </w:r>
          </w:p>
          <w:p w14:paraId="214CC118" w14:textId="5AF196CC" w:rsidR="00CC422C" w:rsidRPr="00E643CB" w:rsidRDefault="00CC422C" w:rsidP="00CC422C">
            <w:pPr>
              <w:pStyle w:val="ListParagraph"/>
              <w:numPr>
                <w:ilvl w:val="0"/>
                <w:numId w:val="3"/>
              </w:numPr>
              <w:spacing w:after="120" w:line="276" w:lineRule="auto"/>
              <w:contextualSpacing w:val="0"/>
              <w:rPr>
                <w:rFonts w:ascii="Calibri" w:eastAsiaTheme="minorEastAsia" w:hAnsi="Calibri" w:cs="Calibri"/>
              </w:rPr>
            </w:pPr>
            <w:r w:rsidRPr="00E643CB">
              <w:rPr>
                <w:rFonts w:ascii="Calibri" w:eastAsiaTheme="minorEastAsia" w:hAnsi="Calibri" w:cs="Calibri"/>
              </w:rPr>
              <w:t xml:space="preserve">Such a revised composition would strengthen </w:t>
            </w:r>
            <w:r w:rsidRPr="00E643CB">
              <w:rPr>
                <w:rFonts w:ascii="Calibri" w:hAnsi="Calibri" w:cs="Calibri"/>
              </w:rPr>
              <w:t xml:space="preserve">institutional </w:t>
            </w:r>
            <w:r w:rsidRPr="00E643CB">
              <w:rPr>
                <w:rFonts w:ascii="Calibri" w:eastAsiaTheme="minorEastAsia" w:hAnsi="Calibri" w:cs="Calibri"/>
              </w:rPr>
              <w:t xml:space="preserve">neutrality, </w:t>
            </w:r>
            <w:r w:rsidRPr="00E643CB">
              <w:rPr>
                <w:rFonts w:ascii="Calibri" w:hAnsi="Calibri" w:cs="Calibri"/>
              </w:rPr>
              <w:t xml:space="preserve">credibility, </w:t>
            </w:r>
            <w:r w:rsidRPr="00E643CB">
              <w:rPr>
                <w:rFonts w:ascii="Calibri" w:eastAsiaTheme="minorEastAsia" w:hAnsi="Calibri" w:cs="Calibri"/>
              </w:rPr>
              <w:t>improve transparency, and reinforce public trust in the dispute resolution framework, thereby better serving the objective of providing a fair, efficient, and non-adversarial mechanism for resolving tax disputes.</w:t>
            </w:r>
          </w:p>
        </w:tc>
      </w:tr>
      <w:tr w:rsidR="00CC422C" w:rsidRPr="00E643CB" w14:paraId="560BFD2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20FDC3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11F31A9" w14:textId="407CF711" w:rsidR="00CC422C" w:rsidRPr="0009782B" w:rsidRDefault="00CC422C" w:rsidP="00CC422C">
            <w:pPr>
              <w:spacing w:after="120" w:line="276" w:lineRule="auto"/>
              <w:jc w:val="both"/>
              <w:rPr>
                <w:rFonts w:ascii="Calibri" w:hAnsi="Calibri" w:cs="Calibri"/>
                <w:b/>
              </w:rPr>
            </w:pPr>
            <w:r w:rsidRPr="0009782B">
              <w:rPr>
                <w:rFonts w:ascii="Calibri" w:hAnsi="Calibri" w:cs="Calibri"/>
                <w:b/>
              </w:rPr>
              <w:t>Furnishing of evidence of claims by employee u/s. 392(5)(b) for deduction of tax from income under the head “Salaries”</w:t>
            </w:r>
          </w:p>
          <w:p w14:paraId="2A39179A" w14:textId="77777777" w:rsidR="00CC422C" w:rsidRPr="0009782B" w:rsidRDefault="00CC422C" w:rsidP="00CC422C">
            <w:pPr>
              <w:spacing w:after="120" w:line="276" w:lineRule="auto"/>
              <w:jc w:val="both"/>
              <w:rPr>
                <w:rFonts w:ascii="Calibri" w:hAnsi="Calibri" w:cs="Calibri"/>
                <w:b/>
              </w:rPr>
            </w:pPr>
          </w:p>
          <w:p w14:paraId="6DD7E920" w14:textId="6976C123"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26C of IT Rules 1962 (Section 192 of ITA 1961)</w:t>
            </w:r>
          </w:p>
          <w:p w14:paraId="55800A6A" w14:textId="0FCFFA07" w:rsidR="00CC422C" w:rsidRPr="0009782B" w:rsidRDefault="00CC422C" w:rsidP="00CC422C">
            <w:pPr>
              <w:spacing w:after="120" w:line="276" w:lineRule="auto"/>
              <w:jc w:val="both"/>
              <w:rPr>
                <w:rFonts w:ascii="Calibri" w:hAnsi="Calibri" w:cs="Calibri"/>
                <w:b/>
                <w:lang w:bidi="en-US"/>
              </w:rPr>
            </w:pPr>
            <w:r w:rsidRPr="0009782B">
              <w:rPr>
                <w:rFonts w:ascii="Calibri" w:hAnsi="Calibri" w:cs="Calibri"/>
                <w:b/>
              </w:rPr>
              <w:t>Rule 205 of Draft IT Rules 2026 (Section 392 of ITA 2025)</w:t>
            </w:r>
          </w:p>
        </w:tc>
        <w:tc>
          <w:tcPr>
            <w:tcW w:w="10404" w:type="dxa"/>
            <w:tcBorders>
              <w:top w:val="single" w:sz="4" w:space="0" w:color="auto"/>
              <w:left w:val="single" w:sz="4" w:space="0" w:color="auto"/>
              <w:bottom w:val="single" w:sz="4" w:space="0" w:color="auto"/>
              <w:right w:val="single" w:sz="4" w:space="0" w:color="auto"/>
            </w:tcBorders>
          </w:tcPr>
          <w:p w14:paraId="7B2BB9A6" w14:textId="77777777" w:rsidR="00CC422C" w:rsidRPr="00E643CB" w:rsidRDefault="00CC422C" w:rsidP="00CC422C">
            <w:pPr>
              <w:spacing w:after="120" w:line="276" w:lineRule="auto"/>
              <w:rPr>
                <w:rFonts w:ascii="Calibri" w:hAnsi="Calibri" w:cs="Calibri"/>
                <w:lang w:bidi="en-US"/>
              </w:rPr>
            </w:pPr>
            <w:r w:rsidRPr="00E643CB">
              <w:rPr>
                <w:rFonts w:ascii="Calibri" w:hAnsi="Calibri" w:cs="Calibri"/>
                <w:b/>
                <w:lang w:bidi="en-US"/>
              </w:rPr>
              <w:t>Rationale</w:t>
            </w:r>
            <w:r w:rsidRPr="00E643CB">
              <w:rPr>
                <w:rFonts w:ascii="Calibri" w:hAnsi="Calibri" w:cs="Calibri"/>
                <w:lang w:bidi="en-US"/>
              </w:rPr>
              <w:t>:</w:t>
            </w:r>
          </w:p>
          <w:p w14:paraId="77A1163A"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lang w:bidi="en-US"/>
              </w:rPr>
              <w:t>Rule</w:t>
            </w:r>
            <w:r w:rsidRPr="00E643CB">
              <w:rPr>
                <w:rFonts w:ascii="Calibri" w:hAnsi="Calibri" w:cs="Calibri"/>
              </w:rPr>
              <w:t xml:space="preserve"> 26C required employees to submit the evidence in Form 12BB for HRA, LTA, interest on housing loan, and Chapter VI</w:t>
            </w:r>
            <w:r w:rsidRPr="00E643CB">
              <w:rPr>
                <w:rFonts w:ascii="Calibri" w:hAnsi="Calibri" w:cs="Calibri"/>
              </w:rPr>
              <w:noBreakHyphen/>
              <w:t xml:space="preserve">A deductions. </w:t>
            </w:r>
          </w:p>
          <w:p w14:paraId="25B5A380"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lang w:bidi="en-US"/>
              </w:rPr>
              <w:t>Under</w:t>
            </w:r>
            <w:r w:rsidRPr="00E643CB">
              <w:rPr>
                <w:rFonts w:ascii="Calibri" w:hAnsi="Calibri" w:cs="Calibri"/>
              </w:rPr>
              <w:t xml:space="preserve"> the new Rule 205, Form 12BB is replaced by Form 124, which serves the same purpose in a more standardized format. The requirements remain largely unchanged, but the employees would now be required to additionally disclose whether they have any relationship with the landlord for HRA claims.</w:t>
            </w:r>
          </w:p>
          <w:p w14:paraId="7BE34C8F" w14:textId="77777777" w:rsidR="00CC422C" w:rsidRPr="00E643CB" w:rsidRDefault="00CC422C" w:rsidP="00CC422C">
            <w:pPr>
              <w:spacing w:after="120" w:line="276" w:lineRule="auto"/>
              <w:rPr>
                <w:rFonts w:ascii="Calibri" w:hAnsi="Calibri" w:cs="Calibri"/>
                <w:lang w:bidi="en-US"/>
              </w:rPr>
            </w:pPr>
            <w:r w:rsidRPr="00E643CB">
              <w:rPr>
                <w:rFonts w:ascii="Calibri" w:hAnsi="Calibri" w:cs="Calibri"/>
                <w:b/>
                <w:lang w:bidi="en-US"/>
              </w:rPr>
              <w:t>Recommendation</w:t>
            </w:r>
            <w:r w:rsidRPr="00E643CB">
              <w:rPr>
                <w:rFonts w:ascii="Calibri" w:hAnsi="Calibri" w:cs="Calibri"/>
                <w:lang w:bidi="en-US"/>
              </w:rPr>
              <w:t>:</w:t>
            </w:r>
          </w:p>
          <w:p w14:paraId="2C1C5595" w14:textId="26B98293" w:rsidR="00CC422C" w:rsidRPr="00E643CB" w:rsidRDefault="00CC422C" w:rsidP="00CC422C">
            <w:pPr>
              <w:numPr>
                <w:ilvl w:val="0"/>
                <w:numId w:val="3"/>
              </w:numPr>
              <w:spacing w:after="120" w:line="276" w:lineRule="auto"/>
              <w:rPr>
                <w:rFonts w:ascii="Calibri" w:hAnsi="Calibri" w:cs="Calibri"/>
                <w:b/>
                <w:lang w:bidi="en-US"/>
              </w:rPr>
            </w:pPr>
            <w:r w:rsidRPr="00E643CB">
              <w:rPr>
                <w:rFonts w:ascii="Calibri" w:eastAsia="Times New Roman" w:hAnsi="Calibri" w:cs="Calibri"/>
                <w:color w:val="000000"/>
                <w:kern w:val="0"/>
                <w:lang w:eastAsia="en-IN"/>
                <w14:ligatures w14:val="none"/>
              </w:rPr>
              <w:t xml:space="preserve">The additional information for “relationship with the landlord, if any” may be deleted as there is no specific restriction where rent paid to a </w:t>
            </w:r>
            <w:r w:rsidRPr="00E643CB">
              <w:rPr>
                <w:rFonts w:ascii="Calibri" w:hAnsi="Calibri" w:cs="Calibri"/>
                <w:lang w:bidi="en-US"/>
              </w:rPr>
              <w:t>landlord</w:t>
            </w:r>
            <w:r w:rsidRPr="00E643CB">
              <w:rPr>
                <w:rFonts w:ascii="Calibri" w:eastAsia="Times New Roman" w:hAnsi="Calibri" w:cs="Calibri"/>
                <w:color w:val="000000"/>
                <w:kern w:val="0"/>
                <w:lang w:eastAsia="en-IN"/>
                <w14:ligatures w14:val="none"/>
              </w:rPr>
              <w:t xml:space="preserve"> who is a “relative” of the tenant may not be allowed.</w:t>
            </w:r>
          </w:p>
        </w:tc>
      </w:tr>
      <w:tr w:rsidR="00CC422C" w:rsidRPr="00E643CB" w14:paraId="0CF92C0E"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BAA1559"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4407C60" w14:textId="44F97A04"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Rate of exchange for the purpose of deduction of tax at source on income payable in foreign currency</w:t>
            </w:r>
            <w:r w:rsidRPr="0009782B">
              <w:rPr>
                <w:rFonts w:ascii="Calibri" w:eastAsia="Times New Roman" w:hAnsi="Calibri" w:cs="Calibri"/>
                <w:b/>
                <w:color w:val="000000"/>
                <w:kern w:val="0"/>
                <w:lang w:eastAsia="en-IN"/>
                <w14:ligatures w14:val="none"/>
              </w:rPr>
              <w:br/>
            </w:r>
            <w:r w:rsidRPr="0009782B">
              <w:rPr>
                <w:rFonts w:ascii="Calibri" w:eastAsia="Times New Roman" w:hAnsi="Calibri" w:cs="Calibri"/>
                <w:b/>
                <w:color w:val="000000"/>
                <w:kern w:val="0"/>
                <w:lang w:eastAsia="en-IN"/>
                <w14:ligatures w14:val="none"/>
              </w:rPr>
              <w:br/>
              <w:t>Rule 26 of IT Rules 1962</w:t>
            </w:r>
          </w:p>
          <w:p w14:paraId="7801317A" w14:textId="79C541F5"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207 of Draft IT Rules 2026</w:t>
            </w:r>
          </w:p>
          <w:p w14:paraId="258421C2"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p w14:paraId="219EB580" w14:textId="77777777" w:rsidR="00CC422C" w:rsidRPr="0009782B" w:rsidRDefault="00CC422C" w:rsidP="00CC422C">
            <w:pPr>
              <w:spacing w:after="120" w:line="276" w:lineRule="auto"/>
              <w:jc w:val="both"/>
              <w:rPr>
                <w:rFonts w:ascii="Calibri" w:hAnsi="Calibri" w:cs="Calibri"/>
                <w:b/>
                <w:lang w:bidi="en-US"/>
              </w:rPr>
            </w:pPr>
          </w:p>
          <w:p w14:paraId="52244C0C" w14:textId="77777777" w:rsidR="00CC422C" w:rsidRPr="0009782B" w:rsidRDefault="00CC422C" w:rsidP="00CC422C">
            <w:pPr>
              <w:spacing w:after="120" w:line="276" w:lineRule="auto"/>
              <w:jc w:val="both"/>
              <w:rPr>
                <w:rFonts w:ascii="Calibri" w:hAnsi="Calibri" w:cs="Calibri"/>
                <w:b/>
                <w:lang w:bidi="en-US"/>
              </w:rPr>
            </w:pPr>
          </w:p>
          <w:p w14:paraId="3701BCDE" w14:textId="77777777" w:rsidR="00CC422C" w:rsidRPr="0009782B" w:rsidRDefault="00CC422C" w:rsidP="00CC422C">
            <w:pPr>
              <w:spacing w:after="120" w:line="276" w:lineRule="auto"/>
              <w:jc w:val="both"/>
              <w:rPr>
                <w:rFonts w:ascii="Calibri" w:hAnsi="Calibri" w:cs="Calibri"/>
                <w:b/>
                <w:lang w:bidi="en-US"/>
              </w:rPr>
            </w:pPr>
          </w:p>
        </w:tc>
        <w:tc>
          <w:tcPr>
            <w:tcW w:w="10404" w:type="dxa"/>
            <w:tcBorders>
              <w:top w:val="single" w:sz="4" w:space="0" w:color="auto"/>
              <w:left w:val="single" w:sz="4" w:space="0" w:color="auto"/>
              <w:bottom w:val="single" w:sz="4" w:space="0" w:color="auto"/>
              <w:right w:val="single" w:sz="4" w:space="0" w:color="auto"/>
            </w:tcBorders>
          </w:tcPr>
          <w:p w14:paraId="3ECECEEF" w14:textId="77777777" w:rsidR="00CC422C" w:rsidRPr="00E643CB" w:rsidRDefault="00CC422C" w:rsidP="00CC422C">
            <w:pPr>
              <w:spacing w:after="120" w:line="276" w:lineRule="auto"/>
              <w:rPr>
                <w:rFonts w:ascii="Calibri" w:hAnsi="Calibri" w:cs="Calibri"/>
                <w:lang w:bidi="en-US"/>
              </w:rPr>
            </w:pPr>
            <w:r w:rsidRPr="00E643CB">
              <w:rPr>
                <w:rFonts w:ascii="Calibri" w:hAnsi="Calibri" w:cs="Calibri"/>
                <w:b/>
                <w:lang w:bidi="en-US"/>
              </w:rPr>
              <w:t>Rationale</w:t>
            </w:r>
            <w:r w:rsidRPr="00E643CB">
              <w:rPr>
                <w:rFonts w:ascii="Calibri" w:hAnsi="Calibri" w:cs="Calibri"/>
                <w:lang w:bidi="en-US"/>
              </w:rPr>
              <w:t>:</w:t>
            </w:r>
          </w:p>
          <w:p w14:paraId="57D1A710"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As per Rule 26 of the Income</w:t>
            </w:r>
            <w:r w:rsidRPr="00E643CB">
              <w:rPr>
                <w:rFonts w:ascii="Calibri" w:eastAsia="Times New Roman" w:hAnsi="Calibri" w:cs="Calibri"/>
                <w:color w:val="000000"/>
                <w:kern w:val="0"/>
                <w:lang w:eastAsia="en-IN"/>
                <w14:ligatures w14:val="none"/>
              </w:rPr>
              <w:noBreakHyphen/>
              <w:t xml:space="preserve">tax Rules, 1962, where income is payable in foreign currency and tax is required to be </w:t>
            </w:r>
            <w:r w:rsidRPr="00E643CB">
              <w:rPr>
                <w:rFonts w:ascii="Calibri" w:hAnsi="Calibri" w:cs="Calibri"/>
                <w:lang w:bidi="en-US"/>
              </w:rPr>
              <w:t>deducted</w:t>
            </w:r>
            <w:r w:rsidRPr="00E643CB">
              <w:rPr>
                <w:rFonts w:ascii="Calibri" w:eastAsia="Times New Roman" w:hAnsi="Calibri" w:cs="Calibri"/>
                <w:color w:val="000000"/>
                <w:kern w:val="0"/>
                <w:lang w:eastAsia="en-IN"/>
                <w14:ligatures w14:val="none"/>
              </w:rPr>
              <w:t xml:space="preserve"> at source, such foreign currency amount shall be converted into Indian Rupees by applying the telegraphic transfer buying rate (TTBR) of the State Bank of India as on the date on which tax is required to be deducted</w:t>
            </w:r>
          </w:p>
          <w:p w14:paraId="3132CF02"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Similar provisions have been mentioned in Rule 207 of draft Income Tax Rules, 2026. There is no change from the old rule. </w:t>
            </w:r>
          </w:p>
          <w:p w14:paraId="3E00600F" w14:textId="40E19D74" w:rsidR="00CC422C" w:rsidRPr="00E643CB" w:rsidRDefault="00CC422C" w:rsidP="00CC422C">
            <w:pPr>
              <w:numPr>
                <w:ilvl w:val="0"/>
                <w:numId w:val="3"/>
              </w:numPr>
              <w:spacing w:after="120" w:line="276" w:lineRule="auto"/>
              <w:rPr>
                <w:rFonts w:ascii="Calibri" w:eastAsia="Times New Roman" w:hAnsi="Calibri" w:cs="Calibri"/>
                <w:b/>
                <w:color w:val="000000"/>
                <w:kern w:val="0"/>
                <w:lang w:eastAsia="en-IN"/>
                <w14:ligatures w14:val="none"/>
              </w:rPr>
            </w:pPr>
            <w:r w:rsidRPr="00E643CB">
              <w:rPr>
                <w:rFonts w:ascii="Calibri" w:hAnsi="Calibri" w:cs="Calibri"/>
                <w:lang w:bidi="en-US"/>
              </w:rPr>
              <w:t>Following</w:t>
            </w:r>
            <w:r w:rsidRPr="00E643CB">
              <w:rPr>
                <w:rFonts w:ascii="Calibri" w:eastAsia="Times New Roman" w:hAnsi="Calibri" w:cs="Calibri"/>
                <w:color w:val="000000"/>
                <w:kern w:val="0"/>
                <w:lang w:eastAsia="en-IN"/>
                <w14:ligatures w14:val="none"/>
              </w:rPr>
              <w:t xml:space="preserve"> issues were there in old rule:</w:t>
            </w:r>
          </w:p>
          <w:p w14:paraId="71AC3DD7" w14:textId="77777777" w:rsidR="00CC422C" w:rsidRPr="00E643CB" w:rsidRDefault="00CC422C" w:rsidP="00CC422C">
            <w:pPr>
              <w:numPr>
                <w:ilvl w:val="0"/>
                <w:numId w:val="9"/>
              </w:numPr>
              <w:spacing w:after="120" w:line="276" w:lineRule="auto"/>
              <w:ind w:left="1079"/>
              <w:rPr>
                <w:rFonts w:ascii="Calibri" w:eastAsia="Times New Roman" w:hAnsi="Calibri" w:cs="Calibri"/>
                <w:b/>
                <w:color w:val="000000"/>
                <w:kern w:val="0"/>
                <w:lang w:eastAsia="en-IN"/>
                <w14:ligatures w14:val="none"/>
              </w:rPr>
            </w:pPr>
            <w:r w:rsidRPr="00E643CB">
              <w:rPr>
                <w:rFonts w:ascii="Calibri" w:eastAsia="Times New Roman" w:hAnsi="Calibri" w:cs="Calibri"/>
                <w:color w:val="000000"/>
                <w:kern w:val="0"/>
                <w:lang w:eastAsia="en-IN"/>
                <w14:ligatures w14:val="none"/>
              </w:rPr>
              <w:t>The Rule does not provide any guidance or alternate mechanism in cases where SBI does not publish TTBR for certain currencies (such as Chinese Yuan). In the absence of a notified rate, the Rule remains silent on the appropriate exchange rate to be applied for the purpose of deduction of tax at source.</w:t>
            </w:r>
          </w:p>
          <w:p w14:paraId="72C7C2D8" w14:textId="0349940B" w:rsidR="00CC422C" w:rsidRPr="00E643CB" w:rsidRDefault="00CC422C" w:rsidP="00CC422C">
            <w:pPr>
              <w:numPr>
                <w:ilvl w:val="0"/>
                <w:numId w:val="9"/>
              </w:numPr>
              <w:spacing w:after="120" w:line="276" w:lineRule="auto"/>
              <w:ind w:left="1079"/>
              <w:rPr>
                <w:rFonts w:ascii="Calibri" w:eastAsia="Times New Roman" w:hAnsi="Calibri" w:cs="Calibri"/>
                <w:b/>
                <w:color w:val="000000"/>
                <w:kern w:val="0"/>
                <w:lang w:eastAsia="en-IN"/>
                <w14:ligatures w14:val="none"/>
              </w:rPr>
            </w:pPr>
            <w:r w:rsidRPr="00E643CB">
              <w:rPr>
                <w:rFonts w:ascii="Calibri" w:eastAsia="Times New Roman" w:hAnsi="Calibri" w:cs="Calibri"/>
                <w:color w:val="000000"/>
                <w:kern w:val="0"/>
                <w:lang w:eastAsia="en-IN"/>
                <w14:ligatures w14:val="none"/>
              </w:rPr>
              <w:t>The Rule does not clarify the applicable rate in situations where the SBI TTBR is not published or available on such date (for example, due to holidays or non</w:t>
            </w:r>
            <w:r w:rsidRPr="00E643CB">
              <w:rPr>
                <w:rFonts w:ascii="Calibri" w:eastAsia="Times New Roman" w:hAnsi="Calibri" w:cs="Calibri"/>
                <w:color w:val="000000"/>
                <w:kern w:val="0"/>
                <w:lang w:eastAsia="en-IN"/>
                <w14:ligatures w14:val="none"/>
              </w:rPr>
              <w:noBreakHyphen/>
              <w:t>publication for the relevant currency). No alternative date of conversion has been prescribed under the Rules.</w:t>
            </w:r>
          </w:p>
          <w:p w14:paraId="14588BD0" w14:textId="77777777" w:rsidR="00CC422C" w:rsidRPr="00E643CB" w:rsidRDefault="00CC422C" w:rsidP="00CC422C">
            <w:pPr>
              <w:spacing w:after="120" w:line="276" w:lineRule="auto"/>
              <w:rPr>
                <w:rFonts w:ascii="Calibri" w:hAnsi="Calibri" w:cs="Calibri"/>
                <w:lang w:bidi="en-US"/>
              </w:rPr>
            </w:pPr>
            <w:r w:rsidRPr="00E643CB">
              <w:rPr>
                <w:rFonts w:ascii="Calibri" w:hAnsi="Calibri" w:cs="Calibri"/>
                <w:b/>
                <w:lang w:bidi="en-US"/>
              </w:rPr>
              <w:t>Recommendation</w:t>
            </w:r>
            <w:r w:rsidRPr="00E643CB">
              <w:rPr>
                <w:rFonts w:ascii="Calibri" w:hAnsi="Calibri" w:cs="Calibri"/>
                <w:lang w:bidi="en-US"/>
              </w:rPr>
              <w:t>:</w:t>
            </w:r>
          </w:p>
          <w:p w14:paraId="7180C60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An alternate exchange rate mechanism should be prescribed for currencies for which the SBI does not publish the TTBR, such as the Chinese Yuan.</w:t>
            </w:r>
          </w:p>
          <w:p w14:paraId="58B759B4" w14:textId="2DC38594"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 xml:space="preserve">Further, </w:t>
            </w:r>
            <w:r w:rsidRPr="00E643CB">
              <w:rPr>
                <w:rFonts w:ascii="Calibri" w:hAnsi="Calibri" w:cs="Calibri"/>
                <w:lang w:bidi="en-US"/>
              </w:rPr>
              <w:t>explicit</w:t>
            </w:r>
            <w:r w:rsidRPr="00E643CB">
              <w:rPr>
                <w:rFonts w:ascii="Calibri" w:eastAsia="Times New Roman" w:hAnsi="Calibri" w:cs="Calibri"/>
                <w:color w:val="000000"/>
                <w:kern w:val="0"/>
                <w:lang w:eastAsia="en-IN"/>
                <w14:ligatures w14:val="none"/>
              </w:rPr>
              <w:t xml:space="preserve"> clarification should be provided for determining the applicable exchange rate on days when SBI TTBR is not published, such as weekends and bank holidays, to avoid ambiguity and inconsistent application.</w:t>
            </w:r>
          </w:p>
        </w:tc>
      </w:tr>
      <w:tr w:rsidR="00CC422C" w:rsidRPr="00E643CB" w14:paraId="45BBF656"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6323A11"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77CEEFA" w14:textId="60AB14EF"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for furnishing certificate of accountant under Section 398(2) of ITA 2025</w:t>
            </w:r>
          </w:p>
          <w:p w14:paraId="1E34CB74" w14:textId="77777777" w:rsidR="00CC422C" w:rsidRPr="0009782B" w:rsidRDefault="00CC422C" w:rsidP="00CC422C">
            <w:pPr>
              <w:spacing w:after="120" w:line="276" w:lineRule="auto"/>
              <w:jc w:val="both"/>
              <w:rPr>
                <w:rFonts w:ascii="Calibri" w:hAnsi="Calibri" w:cs="Calibri"/>
                <w:b/>
              </w:rPr>
            </w:pPr>
          </w:p>
          <w:p w14:paraId="077C6A2A"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31ACB/37J, Form 26A/ 27BA, Section 201, Section 206C of ITA 1961</w:t>
            </w:r>
          </w:p>
          <w:p w14:paraId="4FEA4D4E" w14:textId="085C8940"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221, Form 149, Section 398, Section 394 of ITA 2025</w:t>
            </w:r>
          </w:p>
        </w:tc>
        <w:tc>
          <w:tcPr>
            <w:tcW w:w="10404" w:type="dxa"/>
            <w:tcBorders>
              <w:top w:val="single" w:sz="4" w:space="0" w:color="auto"/>
              <w:left w:val="single" w:sz="4" w:space="0" w:color="auto"/>
              <w:bottom w:val="single" w:sz="4" w:space="0" w:color="auto"/>
              <w:right w:val="single" w:sz="4" w:space="0" w:color="auto"/>
            </w:tcBorders>
          </w:tcPr>
          <w:p w14:paraId="2A293D91" w14:textId="77777777"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Rationale</w:t>
            </w:r>
          </w:p>
          <w:p w14:paraId="441888DF"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Instead of separate rules, the draft Rule 221 unifies accountant-certificate requirements (previously in Rules 31ACB &amp; 37J) into one and there is omission of procedural authority, verification standards and DGIT(Systems)’ administrative mandate, thereby making it simplified. </w:t>
            </w:r>
          </w:p>
          <w:p w14:paraId="6600EA61"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draft </w:t>
            </w:r>
            <w:r w:rsidRPr="00E643CB">
              <w:rPr>
                <w:rFonts w:ascii="Calibri" w:eastAsia="Times New Roman" w:hAnsi="Calibri" w:cs="Calibri"/>
                <w:color w:val="000000"/>
                <w:kern w:val="0"/>
                <w:lang w:eastAsia="en-IN"/>
                <w14:ligatures w14:val="none"/>
              </w:rPr>
              <w:t>Rule</w:t>
            </w:r>
            <w:r w:rsidRPr="00E643CB">
              <w:rPr>
                <w:rFonts w:ascii="Calibri" w:hAnsi="Calibri" w:cs="Calibri"/>
              </w:rPr>
              <w:t xml:space="preserve"> 221 reads and concludes in one statement. The same has been reproduced below – </w:t>
            </w:r>
          </w:p>
          <w:p w14:paraId="63B4C24F" w14:textId="77777777" w:rsidR="00CC422C" w:rsidRPr="00E643CB" w:rsidRDefault="00CC422C" w:rsidP="00CC422C">
            <w:pPr>
              <w:spacing w:after="120" w:line="276" w:lineRule="auto"/>
              <w:ind w:left="937" w:right="57"/>
              <w:rPr>
                <w:rFonts w:ascii="Calibri" w:hAnsi="Calibri" w:cs="Calibri"/>
              </w:rPr>
            </w:pPr>
            <w:r w:rsidRPr="00E643CB">
              <w:rPr>
                <w:rFonts w:ascii="Calibri" w:hAnsi="Calibri" w:cs="Calibri"/>
                <w:i/>
              </w:rPr>
              <w:t>“The certificate from an accountant under section 398(2) shall be furnished in Form No. 149”.</w:t>
            </w:r>
          </w:p>
          <w:p w14:paraId="1828F8C1"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essential procedural and administrative provisions shall be critical for effective functioning of the mechanism of obtaining a certificate from an accountant which are missing in the draft Rule 221. </w:t>
            </w:r>
          </w:p>
          <w:p w14:paraId="320E7C8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w:t>
            </w:r>
            <w:r w:rsidRPr="00E643CB">
              <w:rPr>
                <w:rFonts w:ascii="Calibri" w:eastAsia="Times New Roman" w:hAnsi="Calibri" w:cs="Calibri"/>
                <w:color w:val="000000"/>
                <w:kern w:val="0"/>
                <w:lang w:eastAsia="en-IN"/>
                <w14:ligatures w14:val="none"/>
              </w:rPr>
              <w:t>erstwhile</w:t>
            </w:r>
            <w:r w:rsidRPr="00E643CB">
              <w:rPr>
                <w:rFonts w:ascii="Calibri" w:hAnsi="Calibri" w:cs="Calibri"/>
              </w:rPr>
              <w:t xml:space="preserve"> Rules 31ACB and 37J explicitly stated that the respective forms had to be furnished to the DGIT (Systems). However, the draft Rule 221 does not specify the authority to whom Form 149 must be furnished.</w:t>
            </w:r>
          </w:p>
          <w:p w14:paraId="33E3D94C" w14:textId="03155F8B" w:rsidR="00CC422C" w:rsidRPr="00E643CB" w:rsidRDefault="00CC422C" w:rsidP="00CC422C">
            <w:pPr>
              <w:spacing w:after="120" w:line="276" w:lineRule="auto"/>
              <w:rPr>
                <w:rFonts w:ascii="Calibri" w:hAnsi="Calibri" w:cs="Calibri"/>
                <w:b/>
              </w:rPr>
            </w:pPr>
            <w:r w:rsidRPr="00E643CB">
              <w:rPr>
                <w:rFonts w:ascii="Calibri" w:hAnsi="Calibri" w:cs="Calibri"/>
                <w:b/>
              </w:rPr>
              <w:t>Recommendation</w:t>
            </w:r>
          </w:p>
          <w:p w14:paraId="5626AEAA"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w:t>
            </w:r>
            <w:r w:rsidRPr="00E643CB">
              <w:rPr>
                <w:rFonts w:ascii="Calibri" w:eastAsia="Times New Roman" w:hAnsi="Calibri" w:cs="Calibri"/>
                <w:color w:val="000000"/>
                <w:kern w:val="0"/>
                <w:lang w:eastAsia="en-IN"/>
                <w14:ligatures w14:val="none"/>
              </w:rPr>
              <w:t>recommendation</w:t>
            </w:r>
            <w:r w:rsidRPr="00E643CB">
              <w:rPr>
                <w:rFonts w:ascii="Calibri" w:hAnsi="Calibri" w:cs="Calibri"/>
              </w:rPr>
              <w:t xml:space="preserve"> to the CBDT is to re-introduce procedural sub-rules similar to those in the erstwhile Rules 31ACB and 37J, as it will help support the Government’s digitisation objectives and is essential for timely updates and troubleshooting.</w:t>
            </w:r>
          </w:p>
          <w:p w14:paraId="2D8700A2" w14:textId="77777777" w:rsidR="00CC422C" w:rsidRPr="00E643CB" w:rsidRDefault="00CC422C" w:rsidP="00CC422C">
            <w:pPr>
              <w:numPr>
                <w:ilvl w:val="0"/>
                <w:numId w:val="3"/>
              </w:numPr>
              <w:spacing w:after="120" w:line="276" w:lineRule="auto"/>
              <w:rPr>
                <w:rFonts w:ascii="Calibri" w:hAnsi="Calibri" w:cs="Calibri"/>
                <w:i/>
              </w:rPr>
            </w:pPr>
            <w:r w:rsidRPr="00E643CB">
              <w:rPr>
                <w:rFonts w:ascii="Calibri" w:hAnsi="Calibri" w:cs="Calibri"/>
                <w:i/>
                <w:u w:val="single"/>
              </w:rPr>
              <w:t xml:space="preserve">Proposed text to be added to draft Rule 221 </w:t>
            </w:r>
            <w:r w:rsidRPr="00E643CB">
              <w:rPr>
                <w:rFonts w:ascii="Calibri" w:hAnsi="Calibri" w:cs="Calibri"/>
                <w:i/>
              </w:rPr>
              <w:t xml:space="preserve">– </w:t>
            </w:r>
          </w:p>
          <w:p w14:paraId="64463944" w14:textId="77777777" w:rsidR="00CC422C" w:rsidRPr="00E643CB" w:rsidRDefault="00CC422C" w:rsidP="00CC422C">
            <w:pPr>
              <w:spacing w:after="120" w:line="276" w:lineRule="auto"/>
              <w:ind w:left="1079" w:right="57"/>
              <w:rPr>
                <w:rFonts w:ascii="Calibri" w:hAnsi="Calibri" w:cs="Calibri"/>
                <w:i/>
              </w:rPr>
            </w:pPr>
            <w:r w:rsidRPr="00E643CB">
              <w:rPr>
                <w:rFonts w:ascii="Calibri" w:hAnsi="Calibri" w:cs="Calibri"/>
                <w:i/>
              </w:rPr>
              <w:t>“The Director General of Income-tax (Systems) shall specify the procedures, formats and standards for the purposes of furnishing and verification of Form 149 and be responsible for the day-to-day administration in relation to furnishing and verification of Form 149 in the manner so specified.”</w:t>
            </w:r>
          </w:p>
          <w:p w14:paraId="481DCCA9" w14:textId="4313173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procedural guidance will help mitigate potential disputes and ensure smooth compliance for both the taxpayers as well as the tax </w:t>
            </w:r>
            <w:r w:rsidRPr="00E643CB">
              <w:rPr>
                <w:rFonts w:ascii="Calibri" w:eastAsia="Times New Roman" w:hAnsi="Calibri" w:cs="Calibri"/>
                <w:color w:val="000000"/>
                <w:kern w:val="0"/>
                <w:lang w:eastAsia="en-IN"/>
                <w14:ligatures w14:val="none"/>
              </w:rPr>
              <w:t>authorities</w:t>
            </w:r>
            <w:r w:rsidRPr="00E643CB">
              <w:rPr>
                <w:rFonts w:ascii="Calibri" w:hAnsi="Calibri" w:cs="Calibri"/>
              </w:rPr>
              <w:t>.</w:t>
            </w:r>
            <w:r w:rsidRPr="00E643CB">
              <w:rPr>
                <w:rFonts w:ascii="Calibri" w:hAnsi="Calibri" w:cs="Calibri"/>
              </w:rPr>
              <w:br/>
              <w:t xml:space="preserve">Further, for the purpose of clarity, the CBDT may prescribe the authority to whom Form 149 has to be furnished by the </w:t>
            </w:r>
            <w:r w:rsidRPr="00E643CB">
              <w:rPr>
                <w:rFonts w:ascii="Calibri" w:eastAsia="Times New Roman" w:hAnsi="Calibri" w:cs="Calibri"/>
                <w:color w:val="000000"/>
                <w:kern w:val="0"/>
                <w:lang w:eastAsia="en-IN"/>
                <w14:ligatures w14:val="none"/>
              </w:rPr>
              <w:t>taxpayers</w:t>
            </w:r>
            <w:r w:rsidRPr="00E643CB">
              <w:rPr>
                <w:rFonts w:ascii="Calibri" w:hAnsi="Calibri" w:cs="Calibri"/>
              </w:rPr>
              <w:t>.</w:t>
            </w:r>
          </w:p>
          <w:p w14:paraId="4500C47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recommendation is with a view to reduce ambiguities and ensure streamlining of the entire reporting process by having an </w:t>
            </w:r>
            <w:r w:rsidRPr="00E643CB">
              <w:rPr>
                <w:rFonts w:ascii="Calibri" w:eastAsia="Times New Roman" w:hAnsi="Calibri" w:cs="Calibri"/>
                <w:color w:val="000000"/>
                <w:kern w:val="0"/>
                <w:lang w:eastAsia="en-IN"/>
                <w14:ligatures w14:val="none"/>
              </w:rPr>
              <w:t>administrative</w:t>
            </w:r>
            <w:r w:rsidRPr="00E643CB">
              <w:rPr>
                <w:rFonts w:ascii="Calibri" w:hAnsi="Calibri" w:cs="Calibri"/>
              </w:rPr>
              <w:t xml:space="preserve"> authority working for its effective functioning. </w:t>
            </w:r>
          </w:p>
          <w:p w14:paraId="6AA48CD7" w14:textId="69AC4167" w:rsidR="00CC422C" w:rsidRPr="00E643CB" w:rsidRDefault="00CC422C" w:rsidP="00CC422C">
            <w:pPr>
              <w:numPr>
                <w:ilvl w:val="0"/>
                <w:numId w:val="3"/>
              </w:numPr>
              <w:spacing w:after="120" w:line="276" w:lineRule="auto"/>
              <w:rPr>
                <w:rFonts w:ascii="Calibri" w:hAnsi="Calibri" w:cs="Calibri"/>
                <w:b/>
                <w:lang w:bidi="en-US"/>
              </w:rPr>
            </w:pPr>
            <w:r w:rsidRPr="00E643CB">
              <w:rPr>
                <w:rFonts w:ascii="Calibri" w:hAnsi="Calibri" w:cs="Calibri"/>
              </w:rPr>
              <w:t xml:space="preserve">The introduction of sub-rules and clear procedural guidance shall provide the requisite clarifications to the taxpayers resulting in better </w:t>
            </w:r>
            <w:r w:rsidRPr="00E643CB">
              <w:rPr>
                <w:rFonts w:ascii="Calibri" w:eastAsia="Times New Roman" w:hAnsi="Calibri" w:cs="Calibri"/>
                <w:color w:val="000000"/>
                <w:kern w:val="0"/>
                <w:lang w:eastAsia="en-IN"/>
                <w14:ligatures w14:val="none"/>
              </w:rPr>
              <w:t>compliance</w:t>
            </w:r>
            <w:r w:rsidRPr="00E643CB">
              <w:rPr>
                <w:rFonts w:ascii="Calibri" w:hAnsi="Calibri" w:cs="Calibri"/>
              </w:rPr>
              <w:t>.</w:t>
            </w:r>
          </w:p>
        </w:tc>
      </w:tr>
      <w:tr w:rsidR="00CC422C" w:rsidRPr="00E643CB" w14:paraId="1BB018DC"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56B7D4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8F1D438" w14:textId="3BD733E0" w:rsidR="00CC422C" w:rsidRPr="0009782B" w:rsidRDefault="00CC422C" w:rsidP="00CC422C">
            <w:pPr>
              <w:spacing w:after="120" w:line="276" w:lineRule="auto"/>
              <w:ind w:right="279"/>
              <w:jc w:val="both"/>
              <w:rPr>
                <w:rFonts w:ascii="Calibri" w:hAnsi="Calibri" w:cs="Calibri"/>
                <w:b/>
              </w:rPr>
            </w:pPr>
            <w:r w:rsidRPr="0009782B">
              <w:rPr>
                <w:rFonts w:ascii="Calibri" w:hAnsi="Calibri" w:cs="Calibri"/>
                <w:b/>
              </w:rPr>
              <w:t>Existing ambiguity regarding whether all persons domiciled in India are required to obtain an Income-tax Clearance Certificate (ITCC) before leaving the country</w:t>
            </w:r>
          </w:p>
          <w:p w14:paraId="1767D048" w14:textId="4D61097B"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Rule 42 of IT Rules 1962 (S.230 of ITA 1961 - Tax clearance certificate)</w:t>
            </w:r>
          </w:p>
          <w:p w14:paraId="2547E646"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p w14:paraId="47B0E04F" w14:textId="6DF0E69E" w:rsidR="00CC422C" w:rsidRPr="0009782B" w:rsidRDefault="00CC422C" w:rsidP="00CC422C">
            <w:pPr>
              <w:spacing w:after="120" w:line="276" w:lineRule="auto"/>
              <w:ind w:left="65"/>
              <w:jc w:val="both"/>
              <w:rPr>
                <w:rFonts w:ascii="Calibri" w:eastAsia="Times New Roman" w:hAnsi="Calibri" w:cs="Calibri"/>
                <w:b/>
                <w:color w:val="000000"/>
                <w:kern w:val="0"/>
                <w:lang w:eastAsia="en-IN"/>
                <w14:ligatures w14:val="none"/>
              </w:rPr>
            </w:pPr>
            <w:r w:rsidRPr="0009782B">
              <w:rPr>
                <w:rFonts w:ascii="Calibri" w:hAnsi="Calibri" w:cs="Calibri"/>
                <w:b/>
              </w:rPr>
              <w:t>Rule 227 of Draft IT Rules 2026 (S. 420 of ITA 2025 - Tax clearance certificate)</w:t>
            </w:r>
          </w:p>
        </w:tc>
        <w:tc>
          <w:tcPr>
            <w:tcW w:w="10404" w:type="dxa"/>
            <w:tcBorders>
              <w:top w:val="single" w:sz="4" w:space="0" w:color="auto"/>
              <w:left w:val="single" w:sz="4" w:space="0" w:color="auto"/>
              <w:bottom w:val="single" w:sz="4" w:space="0" w:color="auto"/>
              <w:right w:val="single" w:sz="4" w:space="0" w:color="auto"/>
            </w:tcBorders>
          </w:tcPr>
          <w:p w14:paraId="72177B42" w14:textId="77777777"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 xml:space="preserve">Rationale </w:t>
            </w:r>
          </w:p>
          <w:p w14:paraId="4D83AB9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CBDT Instruction </w:t>
            </w:r>
            <w:r w:rsidRPr="00E643CB">
              <w:rPr>
                <w:rFonts w:ascii="Calibri" w:hAnsi="Calibri" w:cs="Calibri"/>
                <w:i/>
              </w:rPr>
              <w:t>No. 1/2004, dated 5 February 2004</w:t>
            </w:r>
            <w:r w:rsidRPr="00E643CB">
              <w:rPr>
                <w:rFonts w:ascii="Calibri" w:hAnsi="Calibri" w:cs="Calibri"/>
              </w:rPr>
              <w:t>, clarified that the requirement to obtain an ITCC is not applicable to every person domiciled in India. Instead, it applies only in specific situations, such as:</w:t>
            </w:r>
            <w:r w:rsidRPr="00E643CB">
              <w:rPr>
                <w:rFonts w:ascii="Calibri" w:hAnsi="Calibri" w:cs="Calibri"/>
              </w:rPr>
              <w:br/>
              <w:t>(a) cases involving serious financial irregularities, or</w:t>
            </w:r>
            <w:r w:rsidRPr="00E643CB">
              <w:rPr>
                <w:rFonts w:ascii="Calibri" w:hAnsi="Calibri" w:cs="Calibri"/>
              </w:rPr>
              <w:br/>
              <w:t>(b) situations where a tax demand exceeding ₹10 lakh is pending and has not been stayed by any authority.</w:t>
            </w:r>
          </w:p>
          <w:p w14:paraId="0BA49351" w14:textId="275FB6CB" w:rsidR="00CC422C" w:rsidRPr="00E643CB" w:rsidRDefault="00CC422C" w:rsidP="00CC422C">
            <w:pPr>
              <w:spacing w:after="120" w:line="276" w:lineRule="auto"/>
              <w:ind w:right="279"/>
              <w:rPr>
                <w:rFonts w:ascii="Calibri" w:hAnsi="Calibri" w:cs="Calibri"/>
                <w:b/>
              </w:rPr>
            </w:pPr>
            <w:r w:rsidRPr="00E643CB">
              <w:rPr>
                <w:rFonts w:ascii="Calibri" w:hAnsi="Calibri" w:cs="Calibri"/>
                <w:b/>
              </w:rPr>
              <w:t xml:space="preserve">Recommendation </w:t>
            </w:r>
          </w:p>
          <w:p w14:paraId="4875A341" w14:textId="76829BEC"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Redraft the rule to incorporate the substance of Instruction No. 1/2004 dated 5 February 2004, as this clarification has been consistently followed and has helped avoid procedural hardship for ordinary taxpayers.</w:t>
            </w:r>
          </w:p>
          <w:p w14:paraId="6404DB6A" w14:textId="77777777" w:rsidR="00CC422C" w:rsidRPr="00E643CB" w:rsidRDefault="00CC422C" w:rsidP="00CC422C">
            <w:pPr>
              <w:numPr>
                <w:ilvl w:val="0"/>
                <w:numId w:val="3"/>
              </w:numPr>
              <w:spacing w:after="120" w:line="276" w:lineRule="auto"/>
              <w:rPr>
                <w:rFonts w:ascii="Calibri" w:hAnsi="Calibri" w:cs="Calibri"/>
                <w:b/>
                <w:i/>
              </w:rPr>
            </w:pPr>
            <w:r w:rsidRPr="00E643CB">
              <w:rPr>
                <w:rFonts w:ascii="Calibri" w:hAnsi="Calibri" w:cs="Calibri"/>
                <w:b/>
              </w:rPr>
              <w:t>Proposed</w:t>
            </w:r>
            <w:r w:rsidRPr="00E643CB">
              <w:rPr>
                <w:rFonts w:ascii="Calibri" w:hAnsi="Calibri" w:cs="Calibri"/>
                <w:b/>
                <w:i/>
              </w:rPr>
              <w:t xml:space="preserve"> text:</w:t>
            </w:r>
          </w:p>
          <w:p w14:paraId="679A0B4B" w14:textId="29625371" w:rsidR="00CC422C" w:rsidRPr="00E643CB" w:rsidRDefault="00CC422C" w:rsidP="00CC422C">
            <w:pPr>
              <w:spacing w:after="120" w:line="276" w:lineRule="auto"/>
              <w:ind w:left="1221"/>
              <w:rPr>
                <w:rFonts w:ascii="Calibri" w:hAnsi="Calibri" w:cs="Calibri"/>
                <w:b/>
                <w:lang w:bidi="en-US"/>
              </w:rPr>
            </w:pPr>
            <w:r w:rsidRPr="00E643CB">
              <w:rPr>
                <w:rFonts w:ascii="Calibri" w:hAnsi="Calibri" w:cs="Calibri"/>
                <w:i/>
              </w:rPr>
              <w:t>“Persons domiciled in India are required to obtain an ITCC only in specific situations, such as:</w:t>
            </w:r>
            <w:r w:rsidRPr="00E643CB">
              <w:rPr>
                <w:rFonts w:ascii="Calibri" w:hAnsi="Calibri" w:cs="Calibri"/>
                <w:i/>
              </w:rPr>
              <w:br/>
              <w:t>(a) cases involving serious financial irregularities; or</w:t>
            </w:r>
            <w:r w:rsidRPr="00E643CB">
              <w:rPr>
                <w:rFonts w:ascii="Calibri" w:hAnsi="Calibri" w:cs="Calibri"/>
                <w:i/>
              </w:rPr>
              <w:br/>
              <w:t>(b) situations where a tax demand exceeding ₹10 lakh is pending and has not been stayed by any authority.”</w:t>
            </w:r>
          </w:p>
        </w:tc>
      </w:tr>
      <w:tr w:rsidR="00CC422C" w:rsidRPr="00E643CB" w14:paraId="63C3159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6F85162"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83097F8" w14:textId="668AE1A6" w:rsidR="00CC422C" w:rsidRPr="0009782B" w:rsidRDefault="00CC422C" w:rsidP="00CC422C">
            <w:pPr>
              <w:spacing w:after="120" w:line="276" w:lineRule="auto"/>
              <w:jc w:val="both"/>
              <w:rPr>
                <w:rFonts w:ascii="Calibri" w:hAnsi="Calibri" w:cs="Calibri"/>
                <w:b/>
              </w:rPr>
            </w:pPr>
            <w:r w:rsidRPr="0009782B">
              <w:rPr>
                <w:rFonts w:ascii="Calibri" w:hAnsi="Calibri" w:cs="Calibri"/>
                <w:b/>
              </w:rPr>
              <w:t>Furnishing of annual statement by a non-resident having a liaison office in India</w:t>
            </w:r>
          </w:p>
          <w:p w14:paraId="220D0A5E" w14:textId="77777777" w:rsidR="00CC422C" w:rsidRPr="0009782B" w:rsidRDefault="00CC422C" w:rsidP="00CC422C">
            <w:pPr>
              <w:spacing w:after="120" w:line="276" w:lineRule="auto"/>
              <w:ind w:left="61"/>
              <w:jc w:val="both"/>
              <w:rPr>
                <w:rFonts w:ascii="Calibri" w:hAnsi="Calibri" w:cs="Calibri"/>
                <w:b/>
              </w:rPr>
            </w:pPr>
          </w:p>
          <w:p w14:paraId="13D4CCE5" w14:textId="09DDF8BB"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114DA of IT Rules 1962, Form 49C, Section 285 of ITA 1961</w:t>
            </w:r>
          </w:p>
          <w:p w14:paraId="5F571AC7" w14:textId="270DC58C"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234 of Draft IT Rules 2026, Form 162, Section 505 of ITA 2025</w:t>
            </w:r>
          </w:p>
        </w:tc>
        <w:tc>
          <w:tcPr>
            <w:tcW w:w="10404" w:type="dxa"/>
            <w:tcBorders>
              <w:top w:val="single" w:sz="4" w:space="0" w:color="auto"/>
              <w:left w:val="single" w:sz="4" w:space="0" w:color="auto"/>
              <w:bottom w:val="single" w:sz="4" w:space="0" w:color="auto"/>
              <w:right w:val="single" w:sz="4" w:space="0" w:color="auto"/>
            </w:tcBorders>
          </w:tcPr>
          <w:p w14:paraId="6CD21EB0" w14:textId="0749F029"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Rationale</w:t>
            </w:r>
          </w:p>
          <w:p w14:paraId="0F163C6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Under the old Rule 114DA, the below mentioned verbatim existed – </w:t>
            </w:r>
          </w:p>
          <w:p w14:paraId="03D63B5A" w14:textId="77777777" w:rsidR="00CC422C" w:rsidRPr="00E643CB" w:rsidRDefault="00CC422C" w:rsidP="00CC422C">
            <w:pPr>
              <w:spacing w:after="120" w:line="276" w:lineRule="auto"/>
              <w:ind w:left="720"/>
              <w:rPr>
                <w:rFonts w:ascii="Calibri" w:hAnsi="Calibri" w:cs="Calibri"/>
              </w:rPr>
            </w:pPr>
            <w:r w:rsidRPr="00E643CB">
              <w:rPr>
                <w:rFonts w:ascii="Calibri" w:hAnsi="Calibri" w:cs="Calibri"/>
                <w:i/>
              </w:rPr>
              <w:t>“(</w:t>
            </w:r>
            <w:r w:rsidRPr="00E643CB">
              <w:rPr>
                <w:rFonts w:ascii="Calibri" w:hAnsi="Calibri" w:cs="Calibri"/>
              </w:rPr>
              <w:t xml:space="preserve">4) </w:t>
            </w:r>
            <w:r w:rsidRPr="00E643CB">
              <w:rPr>
                <w:rFonts w:ascii="Calibri" w:eastAsia="Times New Roman" w:hAnsi="Calibri" w:cs="Calibri"/>
                <w:i/>
                <w:color w:val="000000" w:themeColor="text1"/>
              </w:rPr>
              <w:t>The Director General of Income-tax (Systems) shall specify the procedure for filing of annual statement referred to in sub-rule (1) and shall also be responsible for formulating and implementing appropriate security, archival and retrieval policies in relation to statements so furnished.”</w:t>
            </w:r>
            <w:r w:rsidRPr="00E643CB">
              <w:rPr>
                <w:rFonts w:ascii="Calibri" w:eastAsia="EYInterstate Light" w:hAnsi="Calibri" w:cs="Calibri"/>
              </w:rPr>
              <w:t xml:space="preserve"> </w:t>
            </w:r>
          </w:p>
          <w:p w14:paraId="3B883DF0" w14:textId="4CCA3168"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omission of explicit delegation to DGIT (Systems), as mentioned above, to specify filing procedures and manage digital processes under the new draft Rule 234 may create operational uncertainty.  </w:t>
            </w:r>
          </w:p>
          <w:p w14:paraId="2A850F59" w14:textId="5445AB9C" w:rsidR="00CC422C" w:rsidRPr="00E643CB" w:rsidRDefault="00CC422C" w:rsidP="00CC422C">
            <w:pPr>
              <w:spacing w:after="120" w:line="276" w:lineRule="auto"/>
              <w:rPr>
                <w:rFonts w:ascii="Calibri" w:hAnsi="Calibri" w:cs="Calibri"/>
                <w:b/>
                <w:bCs/>
                <w:lang w:bidi="en-US"/>
              </w:rPr>
            </w:pPr>
            <w:r w:rsidRPr="00E643CB">
              <w:rPr>
                <w:rFonts w:ascii="Calibri" w:hAnsi="Calibri" w:cs="Calibri"/>
                <w:b/>
                <w:bCs/>
                <w:lang w:bidi="en-US"/>
              </w:rPr>
              <w:t>Recommendation</w:t>
            </w:r>
          </w:p>
          <w:p w14:paraId="6C2E47E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recommendation to the CBDT is to re-introduce procedural sub-rules similar to those in the erstwhile Rule 114DA, as it will help support the Government’s digitisation objectives and is essential for timely updates and troubleshooting.</w:t>
            </w:r>
          </w:p>
          <w:p w14:paraId="40A14ADC" w14:textId="77777777" w:rsidR="00CC422C" w:rsidRPr="00E643CB" w:rsidRDefault="00CC422C" w:rsidP="00CC422C">
            <w:pPr>
              <w:numPr>
                <w:ilvl w:val="0"/>
                <w:numId w:val="3"/>
              </w:numPr>
              <w:spacing w:after="120" w:line="276" w:lineRule="auto"/>
              <w:rPr>
                <w:rFonts w:ascii="Calibri" w:hAnsi="Calibri" w:cs="Calibri"/>
                <w:u w:val="single"/>
              </w:rPr>
            </w:pPr>
            <w:r w:rsidRPr="00E643CB">
              <w:rPr>
                <w:rFonts w:ascii="Calibri" w:hAnsi="Calibri" w:cs="Calibri"/>
                <w:i/>
                <w:u w:val="single"/>
              </w:rPr>
              <w:t xml:space="preserve">Proposed text to be added to draft Rule 234 – </w:t>
            </w:r>
          </w:p>
          <w:p w14:paraId="4E28C7E2" w14:textId="77777777" w:rsidR="00CC422C" w:rsidRPr="00E643CB" w:rsidRDefault="00CC422C" w:rsidP="00CC422C">
            <w:pPr>
              <w:spacing w:after="120" w:line="276" w:lineRule="auto"/>
              <w:ind w:left="1363" w:right="57"/>
              <w:rPr>
                <w:rFonts w:ascii="Calibri" w:eastAsia="Times New Roman" w:hAnsi="Calibri" w:cs="Calibri"/>
                <w:b/>
                <w:i/>
                <w:color w:val="000000" w:themeColor="text1"/>
              </w:rPr>
            </w:pPr>
            <w:r w:rsidRPr="00E643CB">
              <w:rPr>
                <w:rFonts w:ascii="Calibri" w:eastAsia="Times New Roman" w:hAnsi="Calibri" w:cs="Calibri"/>
                <w:i/>
                <w:color w:val="000000" w:themeColor="text1"/>
              </w:rPr>
              <w:t>“The Director General of Income-tax (Systems) shall specify the procedure for filing of annual statement referred to in Form 162 and shall also be responsible for formulating and implementing appropriate security, archival and retrieval policies in relation to the statements so furnished.”</w:t>
            </w:r>
          </w:p>
          <w:p w14:paraId="354E7F5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procedural guidance will help mitigate potential disputes and ensure smooth compliance for both the taxpayers as well as the tax authorities.</w:t>
            </w:r>
          </w:p>
          <w:p w14:paraId="32B2CF2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recommendation is with a view to reduce ambiguities and ensure streamlining of the entire reporting process by having an administrative authority working for its effective functioning. </w:t>
            </w:r>
          </w:p>
          <w:p w14:paraId="2BAB4000" w14:textId="5E997F8D" w:rsidR="00CC422C" w:rsidRPr="00E643CB" w:rsidRDefault="00CC422C" w:rsidP="00CC422C">
            <w:pPr>
              <w:numPr>
                <w:ilvl w:val="0"/>
                <w:numId w:val="3"/>
              </w:numPr>
              <w:spacing w:after="120" w:line="276" w:lineRule="auto"/>
              <w:rPr>
                <w:rFonts w:ascii="Calibri" w:hAnsi="Calibri" w:cs="Calibri"/>
                <w:lang w:bidi="en-US"/>
              </w:rPr>
            </w:pPr>
            <w:r w:rsidRPr="00E643CB">
              <w:rPr>
                <w:rFonts w:ascii="Calibri" w:hAnsi="Calibri" w:cs="Calibri"/>
              </w:rPr>
              <w:t>The introduction of sub-rules and clear procedural guidance shall provide the requisite clarifications to the taxpayers resulting in better compliance.</w:t>
            </w:r>
          </w:p>
        </w:tc>
      </w:tr>
      <w:tr w:rsidR="00CC422C" w:rsidRPr="00E643CB" w14:paraId="446CFC0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69020F2"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A481056"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Strengthen CRS Due Diligence by Mandating Enhanced Verification for High-Risk Citizenship and Residence by Investment Schemes</w:t>
            </w:r>
          </w:p>
          <w:p w14:paraId="07196724"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p w14:paraId="749671B8" w14:textId="4B3575D5"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 xml:space="preserve">Rule </w:t>
            </w:r>
            <w:r w:rsidRPr="0009782B">
              <w:rPr>
                <w:rFonts w:ascii="Calibri" w:hAnsi="Calibri" w:cs="Calibri"/>
                <w:b/>
              </w:rPr>
              <w:t>114H</w:t>
            </w:r>
            <w:r w:rsidRPr="0009782B">
              <w:rPr>
                <w:rFonts w:ascii="Calibri" w:eastAsia="Times New Roman" w:hAnsi="Calibri" w:cs="Calibri"/>
                <w:b/>
                <w:color w:val="000000"/>
                <w:kern w:val="0"/>
                <w:lang w:eastAsia="en-IN"/>
                <w14:ligatures w14:val="none"/>
              </w:rPr>
              <w:t xml:space="preserve"> of IT Rules 1962</w:t>
            </w:r>
          </w:p>
          <w:p w14:paraId="4A958F09"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p w14:paraId="669D3B63" w14:textId="37E825AA"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r w:rsidRPr="0009782B">
              <w:rPr>
                <w:rFonts w:ascii="Calibri" w:hAnsi="Calibri" w:cs="Calibri"/>
                <w:b/>
              </w:rPr>
              <w:t>Rule 240</w:t>
            </w:r>
            <w:r w:rsidRPr="0009782B">
              <w:rPr>
                <w:rFonts w:ascii="Calibri" w:eastAsia="Times New Roman" w:hAnsi="Calibri" w:cs="Calibri"/>
                <w:b/>
                <w:color w:val="000000"/>
                <w:kern w:val="0"/>
                <w:lang w:eastAsia="en-IN"/>
                <w14:ligatures w14:val="none"/>
              </w:rPr>
              <w:t xml:space="preserve"> of Draft IT Rules 2026</w:t>
            </w:r>
          </w:p>
          <w:p w14:paraId="024C9FDC" w14:textId="61AB4BE1"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36979025" w14:textId="3EC375BD"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E7D3F95" w14:textId="79BFF348" w:rsidR="00CC422C" w:rsidRPr="00E643CB" w:rsidRDefault="00CC422C" w:rsidP="00CC422C">
            <w:pPr>
              <w:numPr>
                <w:ilvl w:val="0"/>
                <w:numId w:val="3"/>
              </w:numPr>
              <w:spacing w:after="120" w:line="276" w:lineRule="auto"/>
              <w:rPr>
                <w:rFonts w:ascii="Calibri" w:hAnsi="Calibri" w:cs="Calibri"/>
                <w:lang w:bidi="en-US"/>
              </w:rPr>
            </w:pPr>
            <w:r w:rsidRPr="00E643CB">
              <w:rPr>
                <w:rFonts w:ascii="Calibri" w:hAnsi="Calibri" w:cs="Calibri"/>
              </w:rPr>
              <w:t>The Rule should also include a specific clause that requires enhanced due</w:t>
            </w:r>
            <w:r w:rsidRPr="00E643CB">
              <w:rPr>
                <w:rFonts w:ascii="Calibri" w:hAnsi="Calibri" w:cs="Calibri"/>
              </w:rPr>
              <w:noBreakHyphen/>
              <w:t>diligence checks for individuals who obtain citizenship or residency through investment schemes. This aligns with the OECD CRS Consolidated Text, which flags such programmes as higher</w:t>
            </w:r>
            <w:r w:rsidRPr="00E643CB">
              <w:rPr>
                <w:rFonts w:ascii="Calibri" w:hAnsi="Calibri" w:cs="Calibri"/>
              </w:rPr>
              <w:noBreakHyphen/>
              <w:t>risk for tax evasion. Including this provision ensures that financial institutions take additional steps to verify the true tax residency of such individuals and prevents misuse of investment</w:t>
            </w:r>
            <w:r w:rsidRPr="00E643CB">
              <w:rPr>
                <w:rFonts w:ascii="Calibri" w:hAnsi="Calibri" w:cs="Calibri"/>
              </w:rPr>
              <w:noBreakHyphen/>
              <w:t>based citizenship or residency routes.</w:t>
            </w:r>
          </w:p>
          <w:p w14:paraId="7E62D52B" w14:textId="77777777" w:rsidR="00CC422C" w:rsidRPr="00E643CB" w:rsidRDefault="00CC422C" w:rsidP="00CC422C">
            <w:pPr>
              <w:spacing w:after="120" w:line="276" w:lineRule="auto"/>
              <w:rPr>
                <w:rFonts w:ascii="Calibri" w:hAnsi="Calibri" w:cs="Calibri"/>
                <w:b/>
                <w:lang w:bidi="en-US"/>
              </w:rPr>
            </w:pPr>
            <w:r w:rsidRPr="00E643CB">
              <w:rPr>
                <w:rFonts w:ascii="Calibri" w:hAnsi="Calibri" w:cs="Calibri"/>
                <w:b/>
                <w:lang w:bidi="en-US"/>
              </w:rPr>
              <w:t>Recommendations:</w:t>
            </w:r>
          </w:p>
          <w:p w14:paraId="509D7A63" w14:textId="3ACFDF9D" w:rsidR="00CC422C" w:rsidRPr="00E643CB" w:rsidRDefault="00CC422C" w:rsidP="00CC422C">
            <w:pPr>
              <w:numPr>
                <w:ilvl w:val="0"/>
                <w:numId w:val="3"/>
              </w:numPr>
              <w:spacing w:after="120" w:line="276" w:lineRule="auto"/>
              <w:rPr>
                <w:rFonts w:ascii="Calibri" w:hAnsi="Calibri" w:cs="Calibri"/>
                <w:b/>
                <w:lang w:bidi="en-US"/>
              </w:rPr>
            </w:pPr>
            <w:r w:rsidRPr="00E643CB">
              <w:rPr>
                <w:rFonts w:ascii="Calibri" w:hAnsi="Calibri" w:cs="Calibri"/>
              </w:rPr>
              <w:t>This clause clarifies that when a Reporting Financial Institution encounters a self</w:t>
            </w:r>
            <w:r w:rsidRPr="00E643CB">
              <w:rPr>
                <w:rFonts w:ascii="Calibri" w:hAnsi="Calibri" w:cs="Calibri"/>
              </w:rPr>
              <w:noBreakHyphen/>
              <w:t>certification supported by documentation from a citizenship or residence by investment (CBI/RBI) scheme, it must apply enhanced reasonableness checks. If the individual claims tax residence in a jurisdiction offering a potentially high</w:t>
            </w:r>
            <w:r w:rsidRPr="00E643CB">
              <w:rPr>
                <w:rFonts w:ascii="Calibri" w:hAnsi="Calibri" w:cs="Calibri"/>
              </w:rPr>
              <w:noBreakHyphen/>
              <w:t>risk CBI/RBI scheme, the financial institution should not rely on the self</w:t>
            </w:r>
            <w:r w:rsidRPr="00E643CB">
              <w:rPr>
                <w:rFonts w:ascii="Calibri" w:hAnsi="Calibri" w:cs="Calibri"/>
              </w:rPr>
              <w:noBreakHyphen/>
              <w:t>certification until additional verification is undertaken. This includes raising targeted questions on the individual’s residence rights, time spent in other jurisdictions, and tax return filings. The information obtained, supported by relevant documentation, enables the institution to determine whether the self</w:t>
            </w:r>
            <w:r w:rsidRPr="00E643CB">
              <w:rPr>
                <w:rFonts w:ascii="Calibri" w:hAnsi="Calibri" w:cs="Calibri"/>
              </w:rPr>
              <w:noBreakHyphen/>
              <w:t>certification satisfies the CRS reasonableness test. This is in line with the OECD CRS and aligns with global enhanced due diligence requirements.</w:t>
            </w:r>
          </w:p>
        </w:tc>
      </w:tr>
      <w:tr w:rsidR="00CC422C" w:rsidRPr="00E643CB" w14:paraId="292AD7AB"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4AA8F6B"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905E7A1"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Mandate enhanced due</w:t>
            </w:r>
            <w:r w:rsidRPr="0009782B">
              <w:rPr>
                <w:rFonts w:ascii="Cambria Math" w:eastAsia="Times New Roman" w:hAnsi="Cambria Math" w:cs="Cambria Math"/>
                <w:b/>
                <w:color w:val="000000"/>
                <w:kern w:val="0"/>
                <w:lang w:eastAsia="en-IN"/>
                <w14:ligatures w14:val="none"/>
              </w:rPr>
              <w:t>‑</w:t>
            </w:r>
            <w:r w:rsidRPr="0009782B">
              <w:rPr>
                <w:rFonts w:ascii="Calibri" w:eastAsia="Times New Roman" w:hAnsi="Calibri" w:cs="Calibri"/>
                <w:b/>
                <w:color w:val="000000"/>
                <w:kern w:val="0"/>
                <w:lang w:eastAsia="en-IN"/>
                <w14:ligatures w14:val="none"/>
              </w:rPr>
              <w:t>diligence for CBI/RBI</w:t>
            </w:r>
            <w:r w:rsidRPr="0009782B">
              <w:rPr>
                <w:rFonts w:ascii="Cambria Math" w:eastAsia="Times New Roman" w:hAnsi="Cambria Math" w:cs="Cambria Math"/>
                <w:b/>
                <w:color w:val="000000"/>
                <w:kern w:val="0"/>
                <w:lang w:eastAsia="en-IN"/>
                <w14:ligatures w14:val="none"/>
              </w:rPr>
              <w:t>‑</w:t>
            </w:r>
            <w:r w:rsidRPr="0009782B">
              <w:rPr>
                <w:rFonts w:ascii="Calibri" w:eastAsia="Times New Roman" w:hAnsi="Calibri" w:cs="Calibri"/>
                <w:b/>
                <w:color w:val="000000"/>
                <w:kern w:val="0"/>
                <w:lang w:eastAsia="en-IN"/>
                <w14:ligatures w14:val="none"/>
              </w:rPr>
              <w:t>based tax</w:t>
            </w:r>
            <w:r w:rsidRPr="0009782B">
              <w:rPr>
                <w:rFonts w:ascii="Cambria Math" w:eastAsia="Times New Roman" w:hAnsi="Cambria Math" w:cs="Cambria Math"/>
                <w:b/>
                <w:color w:val="000000"/>
                <w:kern w:val="0"/>
                <w:lang w:eastAsia="en-IN"/>
                <w14:ligatures w14:val="none"/>
              </w:rPr>
              <w:t>‑</w:t>
            </w:r>
            <w:r w:rsidRPr="0009782B">
              <w:rPr>
                <w:rFonts w:ascii="Calibri" w:eastAsia="Times New Roman" w:hAnsi="Calibri" w:cs="Calibri"/>
                <w:b/>
                <w:color w:val="000000"/>
                <w:kern w:val="0"/>
                <w:lang w:eastAsia="en-IN"/>
                <w14:ligatures w14:val="none"/>
              </w:rPr>
              <w:t>residency claims under Rule 114H / Draft Rule 240</w:t>
            </w:r>
          </w:p>
          <w:p w14:paraId="6E30A06D"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5A8775F3" w14:textId="3A7A6D6C"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r w:rsidRPr="0009782B">
              <w:rPr>
                <w:rFonts w:ascii="Calibri" w:hAnsi="Calibri" w:cs="Calibri"/>
                <w:b/>
              </w:rPr>
              <w:t>Clause (a) and (b) of Rule 114H(5)</w:t>
            </w:r>
            <w:r w:rsidRPr="0009782B">
              <w:rPr>
                <w:rFonts w:ascii="Calibri" w:eastAsia="Times New Roman" w:hAnsi="Calibri" w:cs="Calibri"/>
                <w:b/>
                <w:color w:val="000000"/>
                <w:kern w:val="0"/>
                <w:lang w:eastAsia="en-IN"/>
                <w14:ligatures w14:val="none"/>
              </w:rPr>
              <w:t xml:space="preserve"> of IT Rules 1962</w:t>
            </w:r>
          </w:p>
          <w:p w14:paraId="19C4CAF7" w14:textId="77777777"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p>
          <w:p w14:paraId="2DAB177C" w14:textId="24AEE1FD" w:rsidR="00CC422C" w:rsidRPr="0009782B" w:rsidRDefault="00CC422C" w:rsidP="00CC422C">
            <w:pPr>
              <w:spacing w:after="120" w:line="276" w:lineRule="auto"/>
              <w:ind w:left="61"/>
              <w:jc w:val="both"/>
              <w:rPr>
                <w:rFonts w:ascii="Calibri" w:eastAsia="Times New Roman" w:hAnsi="Calibri" w:cs="Calibri"/>
                <w:b/>
                <w:color w:val="000000"/>
                <w:kern w:val="0"/>
                <w:lang w:eastAsia="en-IN"/>
                <w14:ligatures w14:val="none"/>
              </w:rPr>
            </w:pPr>
            <w:r w:rsidRPr="0009782B">
              <w:rPr>
                <w:rFonts w:ascii="Calibri" w:hAnsi="Calibri" w:cs="Calibri"/>
                <w:b/>
              </w:rPr>
              <w:t>Clause (a) and (b) of Rule 240(5)</w:t>
            </w:r>
            <w:r w:rsidRPr="0009782B">
              <w:rPr>
                <w:rFonts w:ascii="Calibri" w:eastAsia="Times New Roman" w:hAnsi="Calibri" w:cs="Calibri"/>
                <w:b/>
                <w:color w:val="000000"/>
                <w:kern w:val="0"/>
                <w:lang w:eastAsia="en-IN"/>
                <w14:ligatures w14:val="none"/>
              </w:rPr>
              <w:t xml:space="preserve"> of Draft IT Rules 2026</w:t>
            </w:r>
          </w:p>
          <w:p w14:paraId="4E4D00DE" w14:textId="590EE7A9"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524C933A" w14:textId="75639949"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2F1A1E90" w14:textId="5EB8EAB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Rule should also include a specific clause that requires enhanced due</w:t>
            </w:r>
            <w:r w:rsidRPr="00E643CB">
              <w:rPr>
                <w:rFonts w:ascii="Calibri" w:hAnsi="Calibri" w:cs="Calibri"/>
              </w:rPr>
              <w:noBreakHyphen/>
              <w:t>diligence checks for individuals who obtain citizenship or residency through investment schemes. This aligns with the OECD CRS Consolidated Text, which flags such programmes as higher</w:t>
            </w:r>
            <w:r w:rsidRPr="00E643CB">
              <w:rPr>
                <w:rFonts w:ascii="Calibri" w:hAnsi="Calibri" w:cs="Calibri"/>
              </w:rPr>
              <w:noBreakHyphen/>
              <w:t>risk for tax evasion. Including this provision ensures that financial institutions take additional steps to verify the true tax residency of such individuals and prevents misuse of investment</w:t>
            </w:r>
            <w:r w:rsidRPr="00E643CB">
              <w:rPr>
                <w:rFonts w:ascii="Calibri" w:hAnsi="Calibri" w:cs="Calibri"/>
              </w:rPr>
              <w:noBreakHyphen/>
              <w:t>based citizenship or residency routes.</w:t>
            </w:r>
          </w:p>
          <w:p w14:paraId="69B57B3D" w14:textId="7C9DB5F6" w:rsidR="00CC422C" w:rsidRPr="00E643CB" w:rsidRDefault="00CC422C" w:rsidP="00CC422C">
            <w:pPr>
              <w:spacing w:after="120" w:line="276" w:lineRule="auto"/>
              <w:rPr>
                <w:rFonts w:ascii="Calibri" w:hAnsi="Calibri" w:cs="Calibri"/>
                <w:b/>
              </w:rPr>
            </w:pPr>
            <w:r w:rsidRPr="00E643CB">
              <w:rPr>
                <w:rFonts w:ascii="Calibri" w:hAnsi="Calibri" w:cs="Calibri"/>
                <w:b/>
              </w:rPr>
              <w:t>Recommendation:</w:t>
            </w:r>
          </w:p>
          <w:p w14:paraId="7B272E5E" w14:textId="4B006F44"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proposed redrafting of clauses (a) and (b) seeks to align the due diligence rules for pre existing entity accounts with the India–U.S. Intergovernmental Agreement (IGA) requirements. It clarifies that pre existing entity accounts with balances not exceeding USD 250,000 as of the specified date (30 June 2014) for U.S. reportable accounts are not required to be reviewed, identified, or reported unless their balances subsequently exceed the higher thresholds of USD 1,000,000 for U.S. reportable accounts (higher threshold as per IGA) instead of current threshold of USD 250,000. Further, any account that is above the initial USD 250,000 threshold on the relevant dates, or any account that later crosses the higher thresholds in subsequent year end reviews which is also now proposed to be USD 1,000,000 for US reportable accounts instead of current threshold of USD 250,000, must be subjected to the review procedures prescribed under clause (d) of the sub rule. Overall, the redrafted language provides clarity on threshold limits, review timelines, and applicable procedures to ensure consistency with the FATCA IGA framework.</w:t>
            </w:r>
          </w:p>
        </w:tc>
      </w:tr>
      <w:tr w:rsidR="00CC422C" w:rsidRPr="00E643CB" w14:paraId="3C408F1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600E23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266BBA8"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Align India’s de</w:t>
            </w:r>
            <w:r w:rsidRPr="0009782B">
              <w:rPr>
                <w:rFonts w:ascii="Calibri" w:eastAsia="Times New Roman" w:hAnsi="Calibri" w:cs="Calibri"/>
                <w:b/>
                <w:color w:val="000000"/>
                <w:kern w:val="0"/>
                <w:lang w:val="en-GB" w:eastAsia="en-IN"/>
                <w14:ligatures w14:val="none"/>
              </w:rPr>
              <w:noBreakHyphen/>
              <w:t>minimis thresholds with the FATCA IGA in Rule 114H(5)/Rule 240(5)</w:t>
            </w:r>
          </w:p>
          <w:p w14:paraId="1C8EBE34"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10FC3911" w14:textId="46B5B3DE"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hAnsi="Calibri" w:cs="Calibri"/>
                <w:b/>
              </w:rPr>
              <w:t>Rule 241(6)(b)</w:t>
            </w:r>
            <w:r w:rsidRPr="0009782B">
              <w:rPr>
                <w:rFonts w:ascii="Calibri" w:eastAsia="Times New Roman" w:hAnsi="Calibri" w:cs="Calibri"/>
                <w:b/>
                <w:color w:val="000000"/>
                <w:kern w:val="0"/>
                <w:lang w:eastAsia="en-IN"/>
                <w14:ligatures w14:val="none"/>
              </w:rPr>
              <w:t xml:space="preserve"> of Draft IT Rules 2026</w:t>
            </w:r>
          </w:p>
          <w:p w14:paraId="1AF250D0" w14:textId="02933A2C"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389051E4" w14:textId="3F5377B1" w:rsidR="00CC422C" w:rsidRPr="00E643CB" w:rsidRDefault="00CC422C" w:rsidP="00CC422C">
            <w:pPr>
              <w:spacing w:after="120" w:line="276" w:lineRule="auto"/>
              <w:rPr>
                <w:rFonts w:ascii="Calibri" w:hAnsi="Calibri" w:cs="Calibri"/>
                <w:b/>
              </w:rPr>
            </w:pPr>
            <w:r w:rsidRPr="00E643CB">
              <w:rPr>
                <w:rFonts w:ascii="Calibri" w:hAnsi="Calibri" w:cs="Calibri"/>
                <w:b/>
              </w:rPr>
              <w:t xml:space="preserve">Rationale: </w:t>
            </w:r>
          </w:p>
          <w:p w14:paraId="517E0130"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drafting of clauses (a) and (b) does not fully match what India and the U.S. agreed upon in their FATCA Intergovernmental Agreement (IGA). Because the Indian rules use different de</w:t>
            </w:r>
            <w:r w:rsidRPr="00E643CB">
              <w:rPr>
                <w:rFonts w:ascii="Calibri" w:hAnsi="Calibri" w:cs="Calibri"/>
              </w:rPr>
              <w:noBreakHyphen/>
              <w:t>minimis limits than those agreed in the IGA, there is a clear mismatch between the two. To remove this inconsistency and ensure India’s rules reflect the commitments made under the IGA, these clauses need to be revised accordingly.</w:t>
            </w:r>
          </w:p>
          <w:p w14:paraId="33344AB1" w14:textId="18B1372A" w:rsidR="00CC422C" w:rsidRPr="00E643CB" w:rsidRDefault="00CC422C" w:rsidP="00CC422C">
            <w:pPr>
              <w:spacing w:after="120" w:line="276" w:lineRule="auto"/>
              <w:ind w:right="117"/>
              <w:rPr>
                <w:rFonts w:ascii="Calibri" w:hAnsi="Calibri" w:cs="Calibri"/>
                <w:b/>
              </w:rPr>
            </w:pPr>
            <w:r w:rsidRPr="00E643CB">
              <w:rPr>
                <w:rFonts w:ascii="Calibri" w:hAnsi="Calibri" w:cs="Calibri"/>
                <w:b/>
              </w:rPr>
              <w:t>Recommendations:</w:t>
            </w:r>
          </w:p>
          <w:p w14:paraId="5D12FB53" w14:textId="3C410E19"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proposed addition expands the explanation clause to expressly define the term “custodial institution” in line with the OECD CRS consolidated text. It clarifies the financial threshold for determining when an entity is considered to hold financial assets as a substantial portion of its business and specifies the categories of income that qualify as “income attributable to holding financial assets and related financial services.” The addition also updates the scope of related financial services to include commissions and fees arising from the holding, transfer, and exchange of Relevant Crypto Assets held in custody. This ensures that the definition remains comprehensive, contemporary, and consistent with OECD CRS, particularly in relation to OECD’s Crypto Asset Reporting Framework.</w:t>
            </w:r>
          </w:p>
        </w:tc>
      </w:tr>
      <w:tr w:rsidR="00CC422C" w:rsidRPr="00E643CB" w14:paraId="4B46A28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8A2958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B1EE0A7" w14:textId="11599CC1"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Annual information statement</w:t>
            </w:r>
          </w:p>
          <w:p w14:paraId="227D9666"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65131E74"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114-I of the IT Rules, 1962</w:t>
            </w:r>
          </w:p>
          <w:p w14:paraId="604E00A7" w14:textId="71526E08"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245 of the Draft IT Rules, 2026</w:t>
            </w:r>
          </w:p>
        </w:tc>
        <w:tc>
          <w:tcPr>
            <w:tcW w:w="10404" w:type="dxa"/>
            <w:tcBorders>
              <w:top w:val="single" w:sz="4" w:space="0" w:color="auto"/>
              <w:left w:val="single" w:sz="4" w:space="0" w:color="auto"/>
              <w:bottom w:val="single" w:sz="4" w:space="0" w:color="auto"/>
              <w:right w:val="single" w:sz="4" w:space="0" w:color="auto"/>
            </w:tcBorders>
          </w:tcPr>
          <w:p w14:paraId="455EF478"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28B43113" w14:textId="36B7CAE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Under the Draft Income</w:t>
            </w:r>
            <w:r w:rsidRPr="00E643CB">
              <w:rPr>
                <w:rFonts w:ascii="Cambria Math" w:hAnsi="Cambria Math" w:cs="Cambria Math"/>
              </w:rPr>
              <w:t>‑</w:t>
            </w:r>
            <w:r w:rsidRPr="00E643CB">
              <w:rPr>
                <w:rFonts w:ascii="Calibri" w:hAnsi="Calibri" w:cs="Calibri"/>
              </w:rPr>
              <w:t>tax Rules, 2026, Rule 245 read with section 510 prescribes Form No. 168 as the “Annual Information Statement (AIS)”, which consolidates the taxpayer’s information (including TDS/TCS, SFT, tax payments, demand/refund, and proceedings) in a single statement, and that no standalone Form 26AS (separate from AIS) continues under the new framework. The draft Form No. 168 is titled “Annual Information Statement” and its structure mirrors the AIS construct—capturing identification particulars and information such as pending and completed proceedings with a catch</w:t>
            </w:r>
            <w:r w:rsidRPr="00E643CB">
              <w:rPr>
                <w:rFonts w:ascii="Cambria Math" w:hAnsi="Cambria Math" w:cs="Cambria Math"/>
              </w:rPr>
              <w:t>‑</w:t>
            </w:r>
            <w:r w:rsidRPr="00E643CB">
              <w:rPr>
                <w:rFonts w:ascii="Calibri" w:hAnsi="Calibri" w:cs="Calibri"/>
              </w:rPr>
              <w:t>all entry for other items notified under sub</w:t>
            </w:r>
            <w:r w:rsidRPr="00E643CB">
              <w:rPr>
                <w:rFonts w:ascii="Cambria Math" w:hAnsi="Cambria Math" w:cs="Cambria Math"/>
              </w:rPr>
              <w:t>‑</w:t>
            </w:r>
            <w:r w:rsidRPr="00E643CB">
              <w:rPr>
                <w:rFonts w:ascii="Calibri" w:hAnsi="Calibri" w:cs="Calibri"/>
              </w:rPr>
              <w:t>rule (2) of Rule 245.</w:t>
            </w:r>
          </w:p>
          <w:p w14:paraId="61DD008A" w14:textId="50B45DD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Under the current rules, Rule 114</w:t>
            </w:r>
            <w:r w:rsidRPr="00E643CB">
              <w:rPr>
                <w:rFonts w:ascii="Cambria Math" w:hAnsi="Cambria Math" w:cs="Cambria Math"/>
              </w:rPr>
              <w:t>‑</w:t>
            </w:r>
            <w:r w:rsidRPr="00E643CB">
              <w:rPr>
                <w:rFonts w:ascii="Calibri" w:hAnsi="Calibri" w:cs="Calibri"/>
              </w:rPr>
              <w:t>I r.w.s. 285BB defines AIS and authorises the Systems Directorate to upload a consolidated Form 26AS (AIS) containing TDS/TCS, specified financial transactions (SFTs), tax payments, demand/refund, and proceedings; this position was introduced via Notification No. 30/2020 (effective 1 June 2020), which replaced the earlier Form 26AS and expressly described it as an Annual Information Statement.</w:t>
            </w:r>
          </w:p>
          <w:p w14:paraId="4B940320" w14:textId="77531277" w:rsidR="00CC422C" w:rsidRPr="00E643CB" w:rsidRDefault="00CC422C" w:rsidP="00CC422C">
            <w:pPr>
              <w:numPr>
                <w:ilvl w:val="0"/>
                <w:numId w:val="3"/>
              </w:numPr>
              <w:spacing w:after="120" w:line="276" w:lineRule="auto"/>
              <w:rPr>
                <w:rFonts w:ascii="Calibri" w:hAnsi="Calibri" w:cs="Calibri"/>
                <w:lang w:val="en-GB"/>
              </w:rPr>
            </w:pPr>
            <w:r w:rsidRPr="00E643CB">
              <w:rPr>
                <w:rFonts w:ascii="Calibri" w:hAnsi="Calibri" w:cs="Calibri"/>
                <w:lang w:val="en-GB"/>
              </w:rPr>
              <w:t>In practice today, taxpayers can still access Form 26AS (largely showing TDS/TCS credits) via the e</w:t>
            </w:r>
            <w:r w:rsidRPr="00E643CB">
              <w:rPr>
                <w:rFonts w:ascii="Calibri" w:hAnsi="Calibri" w:cs="Calibri"/>
                <w:lang w:val="en-GB"/>
              </w:rPr>
              <w:noBreakHyphen/>
              <w:t>filing/TRACES route, while the AIS/TIS on the AIS page hosts a wider data canvas. The Draft Rules, 2026 (forms renumbered in a 1–190 series) release a draft Form 168 for AIS and do not, in the draft pack, separately prescribe a form labelled “26AS.” Hence, our understanding is that AIS (Form 168) will function as the single consolidated statement going forward, subsuming the information historically housed in Form 26AS. We request explicit confirmation of this understanding.</w:t>
            </w:r>
          </w:p>
          <w:p w14:paraId="6919D6E9" w14:textId="59CA8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2B7BE681" w14:textId="6B89F88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CBDT may clarify that Form 168 (AIS) is the sole consolidated taxpayer information statement under Rule 245 r.w.s. 510, and that no separate Form 26AS will persist as a distinct reporting artifact under the new regime. This would align the draft Form 168 label (“Annual Information Statement”) with the statutory AIS construct introduced by Rule 114</w:t>
            </w:r>
            <w:r w:rsidRPr="00E643CB">
              <w:rPr>
                <w:rFonts w:ascii="Cambria Math" w:hAnsi="Cambria Math" w:cs="Cambria Math"/>
              </w:rPr>
              <w:t>‑</w:t>
            </w:r>
            <w:r w:rsidRPr="00E643CB">
              <w:rPr>
                <w:rFonts w:ascii="Calibri" w:hAnsi="Calibri" w:cs="Calibri"/>
              </w:rPr>
              <w:t>I r.w.s. 285BB, and remove ambiguity for taxpayers and intermediaries.</w:t>
            </w:r>
          </w:p>
        </w:tc>
      </w:tr>
      <w:tr w:rsidR="00CC422C" w:rsidRPr="00E643CB" w14:paraId="0C97765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AFD3842"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CDF683C" w14:textId="2E3599CA"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Form of report of valuation by registered valuer under section 514(3) of ITA 2025</w:t>
            </w:r>
          </w:p>
          <w:p w14:paraId="4E3E3ACA"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56FA865C"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49 of the IT Rules, 1962</w:t>
            </w:r>
          </w:p>
          <w:p w14:paraId="1F6405C9" w14:textId="2EB1A85B"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250 of the Draft IT Rules, 2026</w:t>
            </w:r>
          </w:p>
        </w:tc>
        <w:tc>
          <w:tcPr>
            <w:tcW w:w="10404" w:type="dxa"/>
            <w:tcBorders>
              <w:top w:val="single" w:sz="4" w:space="0" w:color="auto"/>
              <w:left w:val="single" w:sz="4" w:space="0" w:color="auto"/>
              <w:bottom w:val="single" w:sz="4" w:space="0" w:color="auto"/>
              <w:right w:val="single" w:sz="4" w:space="0" w:color="auto"/>
            </w:tcBorders>
          </w:tcPr>
          <w:p w14:paraId="4D2C3513"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7D0B69A" w14:textId="4EAA6D12"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Rule 250 lays down definitions applicable to Rules 251 to 268 relating to Income-tax Practitioners, including eligibility, </w:t>
            </w:r>
            <w:r w:rsidRPr="00E643CB">
              <w:rPr>
                <w:rFonts w:ascii="Calibri" w:hAnsi="Calibri" w:cs="Calibri"/>
              </w:rPr>
              <w:t>authorities</w:t>
            </w:r>
            <w:r w:rsidRPr="00E643CB">
              <w:rPr>
                <w:rFonts w:ascii="Calibri" w:eastAsia="Times New Roman" w:hAnsi="Calibri" w:cs="Calibri"/>
                <w:color w:val="000000"/>
                <w:kern w:val="0"/>
                <w:lang w:eastAsia="en-IN"/>
                <w14:ligatures w14:val="none"/>
              </w:rPr>
              <w:t xml:space="preserve">, and maintenance of registers. </w:t>
            </w:r>
            <w:r w:rsidRPr="00E643CB">
              <w:rPr>
                <w:rFonts w:ascii="Calibri" w:eastAsia="Times New Roman" w:hAnsi="Calibri" w:cs="Calibri"/>
                <w:color w:val="000000"/>
                <w:kern w:val="0"/>
                <w:lang w:eastAsia="en-IN"/>
                <w14:ligatures w14:val="none"/>
              </w:rPr>
              <w:br/>
              <w:t xml:space="preserve">While Rule 251(1) defines “authorised income-tax practitioner” by reference to section 515(3)(v) (accounting examination) and section 515(3)(vi) (educational qualification), it missed certain categories </w:t>
            </w:r>
            <w:r w:rsidRPr="00E643CB">
              <w:rPr>
                <w:rFonts w:ascii="Calibri" w:hAnsi="Calibri" w:cs="Calibri"/>
              </w:rPr>
              <w:t>recognised</w:t>
            </w:r>
            <w:r w:rsidRPr="00E643CB">
              <w:rPr>
                <w:rFonts w:ascii="Calibri" w:eastAsia="Times New Roman" w:hAnsi="Calibri" w:cs="Calibri"/>
                <w:color w:val="000000"/>
                <w:kern w:val="0"/>
                <w:lang w:eastAsia="en-IN"/>
                <w14:ligatures w14:val="none"/>
              </w:rPr>
              <w:t xml:space="preserve"> under the Act, namely section 515(3)(vii) (practitioners enrolled in Dadra and Nagar Haveli) and section 515(3)(viii) (practitioners authorised under the Income-tax Act, 1922). </w:t>
            </w:r>
            <w:r w:rsidRPr="00E643CB">
              <w:rPr>
                <w:rFonts w:ascii="Calibri" w:eastAsia="Times New Roman" w:hAnsi="Calibri" w:cs="Calibri"/>
                <w:color w:val="000000"/>
                <w:kern w:val="0"/>
                <w:lang w:eastAsia="en-IN"/>
                <w14:ligatures w14:val="none"/>
              </w:rPr>
              <w:br/>
            </w:r>
            <w:r w:rsidRPr="00E643CB">
              <w:rPr>
                <w:rFonts w:ascii="Calibri" w:eastAsia="Times New Roman" w:hAnsi="Calibri" w:cs="Calibri"/>
                <w:color w:val="000000"/>
                <w:kern w:val="0"/>
                <w:lang w:eastAsia="en-IN"/>
                <w14:ligatures w14:val="none"/>
              </w:rPr>
              <w:br/>
              <w:t>Further, the scope of authorities has been expanded to include PCCIT/CCIT/PCIT/CIT, whereas under the existing rules, the specified authority was limited to PCIT/CIT and the prescribed authority to CCIT/CIT.</w:t>
            </w:r>
          </w:p>
          <w:p w14:paraId="1F3F2908" w14:textId="77777777" w:rsidR="00CC422C" w:rsidRPr="00E643CB" w:rsidRDefault="00CC422C" w:rsidP="00CC422C">
            <w:pPr>
              <w:spacing w:after="120" w:line="276" w:lineRule="auto"/>
              <w:rPr>
                <w:rFonts w:ascii="Calibri" w:eastAsia="Times New Roman" w:hAnsi="Calibri" w:cs="Calibri"/>
                <w:b/>
                <w:color w:val="000000"/>
                <w:kern w:val="0"/>
                <w:lang w:eastAsia="en-IN"/>
                <w14:ligatures w14:val="none"/>
              </w:rPr>
            </w:pPr>
            <w:r w:rsidRPr="00E643CB">
              <w:rPr>
                <w:rFonts w:ascii="Calibri" w:eastAsia="Times New Roman" w:hAnsi="Calibri" w:cs="Calibri"/>
                <w:b/>
                <w:color w:val="000000"/>
                <w:kern w:val="0"/>
                <w:lang w:eastAsia="en-IN"/>
                <w14:ligatures w14:val="none"/>
              </w:rPr>
              <w:t>Recommendations:</w:t>
            </w:r>
          </w:p>
          <w:p w14:paraId="5B3EA046" w14:textId="735ED1DF"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Recommend</w:t>
            </w:r>
            <w:r w:rsidRPr="00E643CB">
              <w:rPr>
                <w:rFonts w:ascii="Calibri" w:eastAsia="Times New Roman" w:hAnsi="Calibri" w:cs="Calibri"/>
                <w:color w:val="000000"/>
                <w:kern w:val="0"/>
                <w:lang w:eastAsia="en-IN"/>
                <w14:ligatures w14:val="none"/>
              </w:rPr>
              <w:t xml:space="preserve"> inclusion of the practitioner categories under section 515(3)(vii) and section 515(3)(viii) to ensure continuity of recognition and avoid unintended exclusion.</w:t>
            </w:r>
          </w:p>
        </w:tc>
      </w:tr>
      <w:tr w:rsidR="00CC422C" w:rsidRPr="00E643CB" w14:paraId="6C44466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CE1C574"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A1F504F"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51 of the IT Rules, 1962 r.w Section 288(2)(vi) of ITA 1961) - Appearance by authorised representative</w:t>
            </w:r>
          </w:p>
          <w:p w14:paraId="7A8F45F4"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02ECC46A" w14:textId="78F3A296"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254 of the Draft IT Rules, 2026</w:t>
            </w:r>
          </w:p>
          <w:p w14:paraId="7C60E75A" w14:textId="6CC53424"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hAnsi="Calibri" w:cs="Calibri"/>
                <w:b/>
              </w:rPr>
              <w:t>Section 515(3)(vi) of ITA 2025 - Appearance by authorised representative</w:t>
            </w:r>
          </w:p>
        </w:tc>
        <w:tc>
          <w:tcPr>
            <w:tcW w:w="10404" w:type="dxa"/>
            <w:tcBorders>
              <w:top w:val="single" w:sz="4" w:space="0" w:color="auto"/>
              <w:left w:val="single" w:sz="4" w:space="0" w:color="auto"/>
              <w:bottom w:val="single" w:sz="4" w:space="0" w:color="auto"/>
              <w:right w:val="single" w:sz="4" w:space="0" w:color="auto"/>
            </w:tcBorders>
          </w:tcPr>
          <w:p w14:paraId="19E554C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313E36A"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Ambiguity regarding individuals already acting as authorised representatives who may not possess a degree equivalent to those recognised by the Association of Indian Universities (AIU). In the draft Rule, there is no transitional provision for individuals who are currently acting as authorised representatives based on their foreign qualifications, which may or may not be considered equivalent to an AIU</w:t>
            </w:r>
            <w:r w:rsidRPr="00E643CB">
              <w:rPr>
                <w:rFonts w:ascii="Cambria Math" w:hAnsi="Cambria Math" w:cs="Cambria Math"/>
              </w:rPr>
              <w:t>‑</w:t>
            </w:r>
            <w:r w:rsidRPr="00E643CB">
              <w:rPr>
                <w:rFonts w:ascii="Calibri" w:hAnsi="Calibri" w:cs="Calibri"/>
              </w:rPr>
              <w:t>recognised degree.</w:t>
            </w:r>
          </w:p>
          <w:p w14:paraId="3DB4A676"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2C985D69" w14:textId="38E7ED1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It is recommended that the draft rules incorporate explicit transitional provisions to safeguard the rights of individuals who are already acting as authorised representatives on the basis of their foreign degrees.</w:t>
            </w:r>
          </w:p>
        </w:tc>
      </w:tr>
      <w:tr w:rsidR="00CC422C" w:rsidRPr="00E643CB" w14:paraId="2D70F78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9525E3B"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0C15C1F" w14:textId="06EA911F"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hAnsi="Calibri" w:cs="Calibri"/>
                <w:b/>
              </w:rPr>
              <w:t>Appearance by authorised representative in certain cases</w:t>
            </w:r>
          </w:p>
          <w:p w14:paraId="351760B9"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68B36F29" w14:textId="73A4310F"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51B of the IT Rules, 1962</w:t>
            </w:r>
          </w:p>
          <w:p w14:paraId="45665CE5" w14:textId="2272F9FC"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S. 288(2)(viii) of ITA 1961</w:t>
            </w:r>
          </w:p>
          <w:p w14:paraId="30CB4956"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47F5DC4B" w14:textId="48B37BE8"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hAnsi="Calibri" w:cs="Calibri"/>
                <w:b/>
              </w:rPr>
              <w:t>Rule 254 of the Draft IT Rules, 2026, S.</w:t>
            </w:r>
            <w:r w:rsidRPr="0009782B">
              <w:rPr>
                <w:rFonts w:ascii="Calibri" w:hAnsi="Calibri" w:cs="Calibri"/>
                <w:b/>
                <w:color w:val="333333"/>
                <w:shd w:val="clear" w:color="auto" w:fill="F9F9F9"/>
              </w:rPr>
              <w:t xml:space="preserve"> </w:t>
            </w:r>
            <w:r w:rsidRPr="0009782B">
              <w:rPr>
                <w:rFonts w:ascii="Calibri" w:hAnsi="Calibri" w:cs="Calibri"/>
                <w:b/>
              </w:rPr>
              <w:t>515(3)(ix) of ITA 2025</w:t>
            </w:r>
          </w:p>
        </w:tc>
        <w:tc>
          <w:tcPr>
            <w:tcW w:w="10404" w:type="dxa"/>
            <w:tcBorders>
              <w:top w:val="single" w:sz="4" w:space="0" w:color="auto"/>
              <w:left w:val="single" w:sz="4" w:space="0" w:color="auto"/>
              <w:bottom w:val="single" w:sz="4" w:space="0" w:color="auto"/>
              <w:right w:val="single" w:sz="4" w:space="0" w:color="auto"/>
            </w:tcBorders>
          </w:tcPr>
          <w:p w14:paraId="4AD4031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55FAC10" w14:textId="18F27052" w:rsidR="00CC422C" w:rsidRPr="00E643CB" w:rsidRDefault="00CC422C" w:rsidP="00CC422C">
            <w:pPr>
              <w:spacing w:after="120" w:line="276" w:lineRule="auto"/>
              <w:ind w:right="137"/>
              <w:rPr>
                <w:rFonts w:ascii="Calibri" w:hAnsi="Calibri" w:cs="Calibri"/>
                <w:b/>
              </w:rPr>
            </w:pPr>
            <w:r w:rsidRPr="00E643CB">
              <w:rPr>
                <w:rFonts w:ascii="Calibri" w:hAnsi="Calibri" w:cs="Calibri"/>
                <w:b/>
              </w:rPr>
              <w:t>Omission of Explanation in rule 254</w:t>
            </w:r>
          </w:p>
          <w:p w14:paraId="6ECB025E" w14:textId="1F014445"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Under the earlier rule 51B an explicit “Explanation” defining “Adjudicating Authority” was provided as under:</w:t>
            </w:r>
          </w:p>
          <w:p w14:paraId="51DAE37C" w14:textId="69F206F8" w:rsidR="00CC422C" w:rsidRPr="00E643CB" w:rsidRDefault="00CC422C" w:rsidP="00CC422C">
            <w:pPr>
              <w:spacing w:after="120" w:line="276" w:lineRule="auto"/>
              <w:ind w:left="720"/>
              <w:rPr>
                <w:rFonts w:ascii="Calibri" w:hAnsi="Calibri" w:cs="Calibri"/>
                <w:i/>
              </w:rPr>
            </w:pPr>
            <w:r w:rsidRPr="00E643CB">
              <w:rPr>
                <w:rFonts w:ascii="Calibri" w:hAnsi="Calibri" w:cs="Calibri"/>
                <w:i/>
              </w:rPr>
              <w:t>‘Explanation. - For the purposes of this rule "Adjudicating Authority" shall have the same meaning as assigned to it in clause (1) of section 5 of the Insolvency and Bankruptcy Code, 2016 (31 of 2016).’</w:t>
            </w:r>
          </w:p>
          <w:p w14:paraId="42089B10"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However, in the new rule 254 no such explanation includes, such omission creates material ambiguity because the term “Adjudicating Authority” is used identically in the new rule but is undefined—unlike the earlier rule.</w:t>
            </w:r>
          </w:p>
          <w:p w14:paraId="15F1031D"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3311C9F3"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To maintain consistency with the earlier rule it is recommended to reinstate or explicitly insert an Explanation in Rule 254 similar to the former Rule 51B text.</w:t>
            </w:r>
          </w:p>
          <w:p w14:paraId="145294E2"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Proposed text:</w:t>
            </w:r>
          </w:p>
          <w:p w14:paraId="3E110170" w14:textId="4DDA70B5" w:rsidR="00CC422C" w:rsidRPr="00E643CB" w:rsidRDefault="00CC422C" w:rsidP="00CC422C">
            <w:pPr>
              <w:spacing w:after="120" w:line="276" w:lineRule="auto"/>
              <w:ind w:left="720"/>
              <w:rPr>
                <w:rFonts w:ascii="Calibri" w:hAnsi="Calibri" w:cs="Calibri"/>
                <w:i/>
              </w:rPr>
            </w:pPr>
            <w:r w:rsidRPr="00E643CB">
              <w:rPr>
                <w:rFonts w:ascii="Calibri" w:hAnsi="Calibri" w:cs="Calibri"/>
                <w:i/>
              </w:rPr>
              <w:t>Explanation. - For the purposes of this rule "Adjudicating Authority" shall have the same meaning as assigned to it in clause (1) of section 5 of the Insolvency and Bankruptcy Code, 2016 (31 of 2016).’</w:t>
            </w:r>
          </w:p>
        </w:tc>
      </w:tr>
      <w:tr w:rsidR="00CC422C" w:rsidRPr="00E643CB" w14:paraId="5ABD273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E8E8AD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5D4E454" w14:textId="3F8DB223"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Register of income-tax practitioners</w:t>
            </w:r>
          </w:p>
          <w:p w14:paraId="71A4AB1C"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p>
          <w:p w14:paraId="3D77B577" w14:textId="77777777"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 53 of the IT Rules, 1962</w:t>
            </w:r>
          </w:p>
          <w:p w14:paraId="2D7015F2" w14:textId="3DB5275C" w:rsidR="00CC422C" w:rsidRPr="0009782B" w:rsidRDefault="00CC422C" w:rsidP="00CC422C">
            <w:pPr>
              <w:spacing w:after="120" w:line="276" w:lineRule="auto"/>
              <w:jc w:val="both"/>
              <w:rPr>
                <w:rFonts w:ascii="Calibri" w:eastAsia="Times New Roman" w:hAnsi="Calibri" w:cs="Calibri"/>
                <w:b/>
                <w:color w:val="000000"/>
                <w:kern w:val="0"/>
                <w:lang w:val="en-GB" w:eastAsia="en-IN"/>
                <w14:ligatures w14:val="none"/>
              </w:rPr>
            </w:pPr>
            <w:r w:rsidRPr="0009782B">
              <w:rPr>
                <w:rFonts w:ascii="Calibri" w:eastAsia="Times New Roman" w:hAnsi="Calibri" w:cs="Calibri"/>
                <w:b/>
                <w:color w:val="000000"/>
                <w:kern w:val="0"/>
                <w:lang w:val="en-GB" w:eastAsia="en-IN"/>
                <w14:ligatures w14:val="none"/>
              </w:rPr>
              <w:t>Rules 255 Draft IT Rules, 2026</w:t>
            </w:r>
          </w:p>
        </w:tc>
        <w:tc>
          <w:tcPr>
            <w:tcW w:w="10404" w:type="dxa"/>
            <w:tcBorders>
              <w:top w:val="single" w:sz="4" w:space="0" w:color="auto"/>
              <w:left w:val="single" w:sz="4" w:space="0" w:color="auto"/>
              <w:bottom w:val="single" w:sz="4" w:space="0" w:color="auto"/>
              <w:right w:val="single" w:sz="4" w:space="0" w:color="auto"/>
            </w:tcBorders>
          </w:tcPr>
          <w:p w14:paraId="5D4FD12F"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2ADDCF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Earlier, a particular Form (i.e., Form 38) was prescribed for the maintenance of register of income-tax practitioners. However, under the new rule, no corresponding Form has been prescribed as yet.</w:t>
            </w:r>
          </w:p>
          <w:p w14:paraId="3693DA7D"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006AA39" w14:textId="42AD77CF"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 relevant Form may be prescribed in line with Form 38 as prescribed under Old Rules.</w:t>
            </w:r>
          </w:p>
        </w:tc>
      </w:tr>
      <w:tr w:rsidR="00CC422C" w:rsidRPr="00E643CB" w14:paraId="12468DDB"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682677A"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ED21F9A"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Application for registration</w:t>
            </w:r>
          </w:p>
          <w:p w14:paraId="76ACD133"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766A914F" w14:textId="64778E66"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54 of the IT Rules, 1962</w:t>
            </w:r>
          </w:p>
          <w:p w14:paraId="7F3C33F5" w14:textId="4196AA45"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Rules 256 of the Draft IT Rules, 2026</w:t>
            </w:r>
          </w:p>
          <w:p w14:paraId="03C8A118"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3EF889FA"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2130A486" w14:textId="77777777" w:rsidR="00CC422C" w:rsidRPr="00E643CB" w:rsidRDefault="00CC422C" w:rsidP="00CC422C">
            <w:pPr>
              <w:numPr>
                <w:ilvl w:val="0"/>
                <w:numId w:val="3"/>
              </w:numPr>
              <w:spacing w:after="120" w:line="276" w:lineRule="auto"/>
              <w:rPr>
                <w:rFonts w:ascii="Calibri" w:hAnsi="Calibri" w:cs="Calibri"/>
                <w:b/>
              </w:rPr>
            </w:pPr>
            <w:r w:rsidRPr="00E643CB">
              <w:rPr>
                <w:rFonts w:ascii="Calibri" w:eastAsia="Times New Roman" w:hAnsi="Calibri" w:cs="Calibri"/>
                <w:color w:val="000000"/>
                <w:kern w:val="0"/>
                <w:lang w:eastAsia="en-IN"/>
                <w14:ligatures w14:val="none"/>
              </w:rPr>
              <w:t xml:space="preserve">In New Rule, the </w:t>
            </w:r>
            <w:r w:rsidRPr="00E643CB">
              <w:rPr>
                <w:rFonts w:ascii="Calibri" w:hAnsi="Calibri" w:cs="Calibri"/>
              </w:rPr>
              <w:t>power</w:t>
            </w:r>
            <w:r w:rsidRPr="00E643CB">
              <w:rPr>
                <w:rFonts w:ascii="Calibri" w:eastAsia="Times New Roman" w:hAnsi="Calibri" w:cs="Calibri"/>
                <w:color w:val="000000"/>
                <w:kern w:val="0"/>
                <w:lang w:eastAsia="en-IN"/>
                <w14:ligatures w14:val="none"/>
              </w:rPr>
              <w:t xml:space="preserve"> is still vested to CCIT and CIT whereas related provisions such as Rules 255 and 257 confer powers on the “Specified Authority” as defined under Rule 250 (i.e., PCCIT/PCIT/CCIT/CIT).</w:t>
            </w:r>
          </w:p>
          <w:p w14:paraId="45280D0D"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2D8CD3E" w14:textId="78EF64B3" w:rsidR="00CC422C" w:rsidRPr="00E643CB" w:rsidRDefault="00CC422C" w:rsidP="00CC422C">
            <w:pPr>
              <w:numPr>
                <w:ilvl w:val="0"/>
                <w:numId w:val="3"/>
              </w:numPr>
              <w:spacing w:after="120" w:line="276" w:lineRule="auto"/>
              <w:rPr>
                <w:rFonts w:ascii="Calibri" w:hAnsi="Calibri" w:cs="Calibri"/>
                <w:b/>
              </w:rPr>
            </w:pPr>
            <w:r w:rsidRPr="00E643CB">
              <w:rPr>
                <w:rFonts w:ascii="Calibri" w:eastAsia="Times New Roman" w:hAnsi="Calibri" w:cs="Calibri"/>
                <w:color w:val="000000"/>
                <w:kern w:val="0"/>
                <w:lang w:eastAsia="en-IN"/>
                <w14:ligatures w14:val="none"/>
              </w:rPr>
              <w:t>To ensure consistency, the power may be conferred to ‘specified authority’ as defined in New Rule 250. Section referencing needs to be updated to 'section 515(3)(a)(v)/(vi)/(vii)/ (viii)' instead of current section reference of Section 515(3)(v)/(vi) /(vii)/ (viii)</w:t>
            </w:r>
          </w:p>
        </w:tc>
      </w:tr>
      <w:tr w:rsidR="00CC422C" w:rsidRPr="00E643CB" w14:paraId="1E5985D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48C72A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1B7A32D"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Certificate of registration</w:t>
            </w:r>
          </w:p>
          <w:p w14:paraId="70D2B26E"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32F84AD9"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55 of the IT Rules, 1962</w:t>
            </w:r>
          </w:p>
          <w:p w14:paraId="6B1754EB" w14:textId="1FE7B080"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257 of the Draft IT Rules, 2026</w:t>
            </w:r>
          </w:p>
        </w:tc>
        <w:tc>
          <w:tcPr>
            <w:tcW w:w="10404" w:type="dxa"/>
            <w:tcBorders>
              <w:top w:val="single" w:sz="4" w:space="0" w:color="auto"/>
              <w:left w:val="single" w:sz="4" w:space="0" w:color="auto"/>
              <w:bottom w:val="single" w:sz="4" w:space="0" w:color="auto"/>
              <w:right w:val="single" w:sz="4" w:space="0" w:color="auto"/>
            </w:tcBorders>
          </w:tcPr>
          <w:p w14:paraId="13F12758"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6E17C65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Earlier, a particular Form (i.e., Form 40) was prescribed for the certificate of registration of income-tax practitioners. However, under the new rule, no corresponding Form has been prescribed as yet.</w:t>
            </w:r>
          </w:p>
          <w:p w14:paraId="2F568C22"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921BCEB" w14:textId="2A45A9A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Section referencing needs to be updated to 'section 515(3)(a)(v)/(vi)/(vii)/ (viii)' instead of current section reference of Section 515(3)(v)/(vi) /(vii)/ (viii)</w:t>
            </w:r>
          </w:p>
        </w:tc>
      </w:tr>
      <w:tr w:rsidR="00CC422C" w:rsidRPr="00E643CB" w14:paraId="31BED9A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91B5BB1"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53C3A6B" w14:textId="0FED9501"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Cancellation of certificate obtained by misrepresentation</w:t>
            </w:r>
            <w:r w:rsidRPr="0009782B">
              <w:rPr>
                <w:rFonts w:ascii="Calibri" w:eastAsia="Times New Roman" w:hAnsi="Calibri" w:cs="Calibri"/>
                <w:b/>
                <w:color w:val="000000"/>
                <w:kern w:val="0"/>
                <w:lang w:eastAsia="en-IN"/>
                <w14:ligatures w14:val="none"/>
              </w:rPr>
              <w:br/>
              <w:t>Rule 57 of the IT Rules, 1962</w:t>
            </w:r>
          </w:p>
          <w:p w14:paraId="69997A74" w14:textId="4C97B2B1"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259 of the Draft IT Rules, 2026</w:t>
            </w:r>
          </w:p>
        </w:tc>
        <w:tc>
          <w:tcPr>
            <w:tcW w:w="10404" w:type="dxa"/>
            <w:tcBorders>
              <w:top w:val="single" w:sz="4" w:space="0" w:color="auto"/>
              <w:left w:val="single" w:sz="4" w:space="0" w:color="auto"/>
              <w:bottom w:val="single" w:sz="4" w:space="0" w:color="auto"/>
              <w:right w:val="single" w:sz="4" w:space="0" w:color="auto"/>
            </w:tcBorders>
          </w:tcPr>
          <w:p w14:paraId="27FD6B21"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85651D7"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Instead of Chief Commissioner or Commissioner, specified authority has been provided which is not defined</w:t>
            </w:r>
          </w:p>
          <w:p w14:paraId="36174E0F"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4905ACF" w14:textId="362DF23F" w:rsidR="00CC422C" w:rsidRPr="00E643CB" w:rsidRDefault="00CC422C" w:rsidP="00CC422C">
            <w:pPr>
              <w:numPr>
                <w:ilvl w:val="0"/>
                <w:numId w:val="3"/>
              </w:numPr>
              <w:spacing w:after="120" w:line="276" w:lineRule="auto"/>
              <w:rPr>
                <w:rFonts w:ascii="Calibri" w:hAnsi="Calibri" w:cs="Calibri"/>
                <w:bCs/>
              </w:rPr>
            </w:pPr>
            <w:r w:rsidRPr="00E643CB">
              <w:rPr>
                <w:rFonts w:ascii="Calibri" w:hAnsi="Calibri" w:cs="Calibri"/>
                <w:bCs/>
              </w:rPr>
              <w:t>Specify what is specified authority.</w:t>
            </w:r>
          </w:p>
          <w:p w14:paraId="3FFB9639" w14:textId="70F89AED"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bCs/>
              </w:rPr>
              <w:t>Misrepresentation is not defined in old and new rules, term can be clarified by inserting explanation</w:t>
            </w:r>
          </w:p>
        </w:tc>
      </w:tr>
      <w:tr w:rsidR="00CC422C" w:rsidRPr="00E643CB" w14:paraId="60EEED1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FB3383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1A72D8F"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2DB of the IT Rules, 1962(issued under section 10(23FE) of ITA 1961)</w:t>
            </w:r>
          </w:p>
          <w:p w14:paraId="1759A5EE"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25285168" w14:textId="77777777" w:rsidR="00CC422C" w:rsidRPr="0009782B" w:rsidRDefault="00CC422C" w:rsidP="00CC422C">
            <w:pPr>
              <w:spacing w:after="120" w:line="276" w:lineRule="auto"/>
              <w:ind w:left="65"/>
              <w:jc w:val="both"/>
              <w:rPr>
                <w:rFonts w:ascii="Calibri" w:hAnsi="Calibri" w:cs="Calibri"/>
                <w:b/>
              </w:rPr>
            </w:pPr>
            <w:r w:rsidRPr="0009782B">
              <w:rPr>
                <w:rFonts w:ascii="Calibri" w:hAnsi="Calibri" w:cs="Calibri"/>
                <w:b/>
              </w:rPr>
              <w:t>Rule 282 of the Draft IT Rules, 2026</w:t>
            </w:r>
          </w:p>
          <w:p w14:paraId="7980B6EC" w14:textId="1C954297" w:rsidR="00CC422C" w:rsidRPr="0009782B" w:rsidRDefault="00CC422C" w:rsidP="00CC422C">
            <w:pPr>
              <w:spacing w:after="120" w:line="276" w:lineRule="auto"/>
              <w:ind w:left="65"/>
              <w:jc w:val="both"/>
              <w:rPr>
                <w:rFonts w:ascii="Calibri" w:hAnsi="Calibri" w:cs="Calibri"/>
                <w:b/>
              </w:rPr>
            </w:pPr>
            <w:r w:rsidRPr="0009782B">
              <w:rPr>
                <w:rFonts w:ascii="Calibri" w:hAnsi="Calibri" w:cs="Calibri"/>
                <w:b/>
              </w:rPr>
              <w:t>(issued under Schedule V — Table: Serial No. 7, Note 5(a)(iii) — of ITA 2025</w:t>
            </w:r>
          </w:p>
        </w:tc>
        <w:tc>
          <w:tcPr>
            <w:tcW w:w="10404" w:type="dxa"/>
            <w:tcBorders>
              <w:top w:val="single" w:sz="4" w:space="0" w:color="auto"/>
              <w:left w:val="single" w:sz="4" w:space="0" w:color="auto"/>
              <w:bottom w:val="single" w:sz="4" w:space="0" w:color="auto"/>
              <w:right w:val="single" w:sz="4" w:space="0" w:color="auto"/>
            </w:tcBorders>
          </w:tcPr>
          <w:p w14:paraId="175F90ED"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2109387A"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draft Rule 282, specifically clause 1(c)(i), stipulates that a Pension Fund (PF) may administer or invest assets relating to government fund, provided that the aggregate value of such government fund assets does not exceed 10% of the total assets of the fund.</w:t>
            </w:r>
          </w:p>
          <w:p w14:paraId="177F910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However, this requirement poses practical challenges for global PFs operating through hybrid structures. While these PFs are predominantly funded through long</w:t>
            </w:r>
            <w:r w:rsidRPr="00E643CB">
              <w:rPr>
                <w:rFonts w:ascii="Calibri" w:hAnsi="Calibri" w:cs="Calibri"/>
              </w:rPr>
              <w:noBreakHyphen/>
              <w:t>term pension contributions, they may also receive supplementary allocations from government or sovereign entities.</w:t>
            </w:r>
          </w:p>
          <w:p w14:paraId="6A0776CE"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practice, the ratio of pension versus non</w:t>
            </w:r>
            <w:r w:rsidRPr="00E643CB">
              <w:rPr>
                <w:rFonts w:ascii="Calibri" w:hAnsi="Calibri" w:cs="Calibri"/>
              </w:rPr>
              <w:noBreakHyphen/>
              <w:t>pension (government</w:t>
            </w:r>
            <w:r w:rsidRPr="00E643CB">
              <w:rPr>
                <w:rFonts w:ascii="Calibri" w:hAnsi="Calibri" w:cs="Calibri"/>
              </w:rPr>
              <w:noBreakHyphen/>
              <w:t xml:space="preserve">linked) assets is not static. This composition often </w:t>
            </w:r>
            <w:r w:rsidRPr="00E643CB">
              <w:rPr>
                <w:rFonts w:ascii="Calibri" w:eastAsia="Times New Roman" w:hAnsi="Calibri" w:cs="Calibri"/>
                <w:color w:val="000000"/>
                <w:kern w:val="0"/>
                <w:lang w:eastAsia="en-IN"/>
                <w14:ligatures w14:val="none"/>
              </w:rPr>
              <w:t>fluctuates</w:t>
            </w:r>
            <w:r w:rsidRPr="00E643CB">
              <w:rPr>
                <w:rFonts w:ascii="Calibri" w:hAnsi="Calibri" w:cs="Calibri"/>
              </w:rPr>
              <w:t xml:space="preserve"> due to operational and market</w:t>
            </w:r>
            <w:r w:rsidRPr="00E643CB">
              <w:rPr>
                <w:rFonts w:ascii="Calibri" w:hAnsi="Calibri" w:cs="Calibri"/>
              </w:rPr>
              <w:noBreakHyphen/>
              <w:t>driven factors such as portfolio rebalancing across asset classes.</w:t>
            </w:r>
          </w:p>
          <w:p w14:paraId="44CDAB73"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These </w:t>
            </w:r>
            <w:r w:rsidRPr="00E643CB">
              <w:rPr>
                <w:rFonts w:ascii="Calibri" w:eastAsia="Times New Roman" w:hAnsi="Calibri" w:cs="Calibri"/>
                <w:color w:val="000000"/>
                <w:kern w:val="0"/>
                <w:lang w:eastAsia="en-IN"/>
                <w14:ligatures w14:val="none"/>
              </w:rPr>
              <w:t>factors</w:t>
            </w:r>
            <w:r w:rsidRPr="00E643CB">
              <w:rPr>
                <w:rFonts w:ascii="Calibri" w:hAnsi="Calibri" w:cs="Calibri"/>
              </w:rPr>
              <w:t xml:space="preserve"> may lead to temporary breaches of the 10% threshold, even though the fund’s core character remain fundamentally pension</w:t>
            </w:r>
            <w:r w:rsidRPr="00E643CB">
              <w:rPr>
                <w:rFonts w:ascii="Calibri" w:hAnsi="Calibri" w:cs="Calibri"/>
              </w:rPr>
              <w:noBreakHyphen/>
              <w:t>centric.</w:t>
            </w:r>
          </w:p>
          <w:p w14:paraId="31EEBDB9" w14:textId="0213AEB3"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A strict interpretation of the 10% limit may therefore result in breach of Rule 282, creating the risk that an otherwise </w:t>
            </w:r>
            <w:r w:rsidRPr="00E643CB">
              <w:rPr>
                <w:rFonts w:ascii="Calibri" w:eastAsia="Times New Roman" w:hAnsi="Calibri" w:cs="Calibri"/>
                <w:color w:val="000000"/>
                <w:kern w:val="0"/>
                <w:lang w:eastAsia="en-IN"/>
                <w14:ligatures w14:val="none"/>
              </w:rPr>
              <w:t>compliant</w:t>
            </w:r>
            <w:r w:rsidRPr="00E643CB">
              <w:rPr>
                <w:rFonts w:ascii="Calibri" w:hAnsi="Calibri" w:cs="Calibri"/>
              </w:rPr>
              <w:t xml:space="preserve"> PF may inadvertently lose the tax exemption, solely due to temporary fluctuations in asset composition.</w:t>
            </w:r>
          </w:p>
          <w:p w14:paraId="3F10A498"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F03FE4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To mitigate </w:t>
            </w:r>
            <w:r w:rsidRPr="00E643CB">
              <w:rPr>
                <w:rFonts w:ascii="Calibri" w:eastAsia="Times New Roman" w:hAnsi="Calibri" w:cs="Calibri"/>
                <w:color w:val="000000"/>
                <w:kern w:val="0"/>
                <w:lang w:eastAsia="en-IN"/>
                <w14:ligatures w14:val="none"/>
              </w:rPr>
              <w:t>compliance</w:t>
            </w:r>
            <w:r w:rsidRPr="00E643CB">
              <w:rPr>
                <w:rFonts w:ascii="Calibri" w:hAnsi="Calibri" w:cs="Calibri"/>
              </w:rPr>
              <w:t xml:space="preserve"> challenges faced by hybrid pension fund structures, it is recommended that the Government of India increase the threshold under Rule 282(1)(c)(i) from 10% to 25%. </w:t>
            </w:r>
          </w:p>
          <w:p w14:paraId="59F6823B" w14:textId="04BBD5C4"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 higher limit would allow global PFs greater flexibility to pool pension plan assets with government allocations without triggering unintended non</w:t>
            </w:r>
            <w:r w:rsidRPr="00E643CB">
              <w:rPr>
                <w:rFonts w:ascii="Calibri" w:hAnsi="Calibri" w:cs="Calibri"/>
              </w:rPr>
              <w:noBreakHyphen/>
              <w:t>compliance due to short</w:t>
            </w:r>
            <w:r w:rsidRPr="00E643CB">
              <w:rPr>
                <w:rFonts w:ascii="Calibri" w:hAnsi="Calibri" w:cs="Calibri"/>
              </w:rPr>
              <w:noBreakHyphen/>
              <w:t xml:space="preserve">term portfolio adjustments. </w:t>
            </w:r>
          </w:p>
        </w:tc>
      </w:tr>
      <w:tr w:rsidR="00CC422C" w:rsidRPr="00E643CB" w14:paraId="29CF7D9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7CF8FD2"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0AC2D7F" w14:textId="77777777"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Recognised Provident Fund - Investment of fund moneys</w:t>
            </w:r>
          </w:p>
          <w:p w14:paraId="5DF35CBF" w14:textId="77777777" w:rsidR="00CC422C" w:rsidRPr="0009782B" w:rsidRDefault="00CC422C" w:rsidP="00CC422C">
            <w:pPr>
              <w:spacing w:after="120" w:line="276" w:lineRule="auto"/>
              <w:jc w:val="both"/>
              <w:rPr>
                <w:rFonts w:ascii="Calibri" w:hAnsi="Calibri" w:cs="Calibri"/>
                <w:b/>
              </w:rPr>
            </w:pPr>
          </w:p>
          <w:p w14:paraId="387CA122" w14:textId="61D8D82C"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67 of the IT Rules, 1962</w:t>
            </w:r>
          </w:p>
          <w:p w14:paraId="156AA5EB" w14:textId="6185A76D" w:rsidR="00CC422C" w:rsidRPr="0009782B" w:rsidRDefault="00CC422C" w:rsidP="00CC422C">
            <w:pPr>
              <w:spacing w:after="120" w:line="276" w:lineRule="auto"/>
              <w:jc w:val="both"/>
              <w:rPr>
                <w:rFonts w:ascii="Calibri" w:hAnsi="Calibri" w:cs="Calibri"/>
                <w:b/>
              </w:rPr>
            </w:pPr>
            <w:r w:rsidRPr="0009782B">
              <w:rPr>
                <w:rFonts w:ascii="Calibri" w:hAnsi="Calibri" w:cs="Calibri"/>
                <w:b/>
              </w:rPr>
              <w:t>Rue 292 of the Draft IT Rules, 2026</w:t>
            </w:r>
          </w:p>
          <w:p w14:paraId="00CD4A14" w14:textId="77777777" w:rsidR="00CC422C" w:rsidRPr="0009782B" w:rsidRDefault="00CC422C" w:rsidP="00CC422C">
            <w:pPr>
              <w:spacing w:after="120" w:line="276" w:lineRule="auto"/>
              <w:ind w:left="61"/>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665141C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6551C06"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investment pattern is now displayed in a tabular format, clearly outlining the percentage allocations across the </w:t>
            </w:r>
            <w:r w:rsidRPr="00E643CB">
              <w:rPr>
                <w:rFonts w:ascii="Calibri" w:eastAsia="Times New Roman" w:hAnsi="Calibri" w:cs="Calibri"/>
                <w:color w:val="000000"/>
                <w:kern w:val="0"/>
                <w:lang w:eastAsia="en-IN"/>
                <w14:ligatures w14:val="none"/>
              </w:rPr>
              <w:t>recognised</w:t>
            </w:r>
            <w:r w:rsidRPr="00E643CB">
              <w:rPr>
                <w:rFonts w:ascii="Calibri" w:hAnsi="Calibri" w:cs="Calibri"/>
              </w:rPr>
              <w:t xml:space="preserve"> provident fund’s approved investment avenues, replacing the earlier point</w:t>
            </w:r>
            <w:r w:rsidRPr="00E643CB">
              <w:rPr>
                <w:rFonts w:ascii="Calibri" w:hAnsi="Calibri" w:cs="Calibri"/>
              </w:rPr>
              <w:noBreakHyphen/>
              <w:t>wise presentation of the same information.</w:t>
            </w:r>
          </w:p>
          <w:p w14:paraId="350F4A73"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previous caps on investment proportions for categories such as government securities and related instruments, </w:t>
            </w:r>
            <w:r w:rsidRPr="00E643CB">
              <w:rPr>
                <w:rFonts w:ascii="Calibri" w:eastAsia="Times New Roman" w:hAnsi="Calibri" w:cs="Calibri"/>
                <w:color w:val="000000"/>
                <w:kern w:val="0"/>
                <w:lang w:eastAsia="en-IN"/>
                <w14:ligatures w14:val="none"/>
              </w:rPr>
              <w:t>debt</w:t>
            </w:r>
            <w:r w:rsidRPr="00E643CB">
              <w:rPr>
                <w:rFonts w:ascii="Calibri" w:hAnsi="Calibri" w:cs="Calibri"/>
              </w:rPr>
              <w:t xml:space="preserve"> instruments, and equity</w:t>
            </w:r>
            <w:r w:rsidRPr="00E643CB">
              <w:rPr>
                <w:rFonts w:ascii="Calibri" w:hAnsi="Calibri" w:cs="Calibri"/>
              </w:rPr>
              <w:noBreakHyphen/>
              <w:t>linked investments have been eliminated. As a result, recognised provident funds are now permitted to invest in these instruments without any upper limits.</w:t>
            </w:r>
          </w:p>
          <w:p w14:paraId="0EE728E7"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5E9F8C20" w14:textId="4FED694B" w:rsidR="00CC422C" w:rsidRPr="00E643CB" w:rsidRDefault="00CC422C" w:rsidP="00CC422C">
            <w:pPr>
              <w:numPr>
                <w:ilvl w:val="0"/>
                <w:numId w:val="3"/>
              </w:numPr>
              <w:spacing w:after="120" w:line="276" w:lineRule="auto"/>
              <w:rPr>
                <w:rFonts w:ascii="Calibri" w:hAnsi="Calibri" w:cs="Calibri"/>
                <w:b/>
                <w:bCs/>
              </w:rPr>
            </w:pPr>
            <w:r w:rsidRPr="00E643CB">
              <w:rPr>
                <w:rFonts w:ascii="Calibri" w:hAnsi="Calibri" w:cs="Calibri"/>
              </w:rPr>
              <w:t xml:space="preserve">With the removal of upper investment limits under the new Rule 292, recognised provident funds are now allowed to </w:t>
            </w:r>
            <w:r w:rsidRPr="00E643CB">
              <w:rPr>
                <w:rFonts w:ascii="Calibri" w:eastAsia="Times New Roman" w:hAnsi="Calibri" w:cs="Calibri"/>
                <w:color w:val="000000"/>
                <w:kern w:val="0"/>
                <w:lang w:eastAsia="en-IN"/>
                <w14:ligatures w14:val="none"/>
              </w:rPr>
              <w:t>allocate</w:t>
            </w:r>
            <w:r w:rsidRPr="00E643CB">
              <w:rPr>
                <w:rFonts w:ascii="Calibri" w:hAnsi="Calibri" w:cs="Calibri"/>
              </w:rPr>
              <w:t xml:space="preserve"> higher proportions of their corpus to equity-linked investments. Previously, Rule 67 capped equity exposure at 15%, but the revised framework permits allocations beyond this limit (upto 20%). To manage risk, it is recommended that an upper limit be reinstated specifically for high risk asset classes such as equities.</w:t>
            </w:r>
          </w:p>
        </w:tc>
      </w:tr>
      <w:tr w:rsidR="00CC422C" w:rsidRPr="00E643CB" w14:paraId="1C55725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3EE26E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C583267" w14:textId="0577658C" w:rsidR="00CC422C" w:rsidRPr="0009782B" w:rsidRDefault="00CC422C" w:rsidP="00CC422C">
            <w:pPr>
              <w:spacing w:after="120" w:line="276" w:lineRule="auto"/>
              <w:jc w:val="both"/>
              <w:rPr>
                <w:rFonts w:ascii="Calibri" w:hAnsi="Calibri" w:cs="Calibri"/>
                <w:b/>
                <w:i/>
              </w:rPr>
            </w:pPr>
            <w:r w:rsidRPr="0009782B">
              <w:rPr>
                <w:rFonts w:ascii="Calibri" w:hAnsi="Calibri" w:cs="Calibri"/>
                <w:b/>
                <w:i/>
              </w:rPr>
              <w:t>Recognised provident Fund - Application for recognition</w:t>
            </w:r>
          </w:p>
          <w:p w14:paraId="59B1780C" w14:textId="77777777" w:rsidR="00CC422C" w:rsidRPr="0009782B" w:rsidRDefault="00CC422C" w:rsidP="00CC422C">
            <w:pPr>
              <w:spacing w:after="120" w:line="276" w:lineRule="auto"/>
              <w:ind w:left="61"/>
              <w:jc w:val="both"/>
              <w:rPr>
                <w:rFonts w:ascii="Calibri" w:hAnsi="Calibri" w:cs="Calibri"/>
                <w:b/>
              </w:rPr>
            </w:pPr>
          </w:p>
          <w:p w14:paraId="3B8C724D"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77 of the IT Rules, 1962</w:t>
            </w:r>
          </w:p>
          <w:p w14:paraId="72563E88" w14:textId="5C63DF15"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296 of the Draft IT Rules, 2026</w:t>
            </w:r>
          </w:p>
        </w:tc>
        <w:tc>
          <w:tcPr>
            <w:tcW w:w="10404" w:type="dxa"/>
            <w:tcBorders>
              <w:top w:val="single" w:sz="4" w:space="0" w:color="auto"/>
              <w:left w:val="single" w:sz="4" w:space="0" w:color="auto"/>
              <w:bottom w:val="single" w:sz="4" w:space="0" w:color="auto"/>
              <w:right w:val="single" w:sz="4" w:space="0" w:color="auto"/>
            </w:tcBorders>
          </w:tcPr>
          <w:p w14:paraId="4B51CC2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6E9FA03"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As per </w:t>
            </w:r>
            <w:r w:rsidRPr="00E643CB">
              <w:rPr>
                <w:rFonts w:ascii="Calibri" w:eastAsia="Times New Roman" w:hAnsi="Calibri" w:cs="Calibri"/>
                <w:color w:val="000000"/>
                <w:kern w:val="0"/>
                <w:lang w:eastAsia="en-IN"/>
                <w14:ligatures w14:val="none"/>
              </w:rPr>
              <w:t>Rule</w:t>
            </w:r>
            <w:r w:rsidRPr="00E643CB">
              <w:rPr>
                <w:rFonts w:ascii="Calibri" w:hAnsi="Calibri" w:cs="Calibri"/>
              </w:rPr>
              <w:t xml:space="preserve"> 77 of the Income-tax Rules, 1962, the original trust deed and a copy of the same needs to be retained by the Chief Commissioner or Commissioner. There is no such specification in the new Rule 296. </w:t>
            </w:r>
          </w:p>
          <w:p w14:paraId="6929224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As per Rule 77 of the Income-tax Rules, 1962, if the original trust deed cannot be produced, it shall be open for the Chief </w:t>
            </w:r>
            <w:r w:rsidRPr="00E643CB">
              <w:rPr>
                <w:rFonts w:ascii="Calibri" w:eastAsia="Times New Roman" w:hAnsi="Calibri" w:cs="Calibri"/>
                <w:color w:val="000000"/>
                <w:kern w:val="0"/>
                <w:lang w:eastAsia="en-IN"/>
                <w14:ligatures w14:val="none"/>
              </w:rPr>
              <w:t>Commissioner</w:t>
            </w:r>
            <w:r w:rsidRPr="00E643CB">
              <w:rPr>
                <w:rFonts w:ascii="Calibri" w:hAnsi="Calibri" w:cs="Calibri"/>
              </w:rPr>
              <w:t xml:space="preserve"> or Commissioner to accept a copy of the trust deed certified by the Magistrate. There is no such specification in the new Rule 296.  This may cause challenges if the original trust deed is not available.</w:t>
            </w:r>
          </w:p>
          <w:p w14:paraId="30378CF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 No. 40C (Application for recognition) has been replaced by Form No. 186 (Application for recognition of provident fund under Part A of the Eleventh Schedule of the Act).</w:t>
            </w:r>
          </w:p>
          <w:p w14:paraId="1BA98A7D"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1A9DB78" w14:textId="5232A03F"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 xml:space="preserve">The provisions relating to certified copy of the trust deed may be reinstated which will help in cases where the original trust </w:t>
            </w:r>
            <w:r w:rsidRPr="00E643CB">
              <w:rPr>
                <w:rFonts w:ascii="Calibri" w:eastAsia="Times New Roman" w:hAnsi="Calibri" w:cs="Calibri"/>
                <w:color w:val="000000"/>
                <w:kern w:val="0"/>
                <w:lang w:eastAsia="en-IN"/>
                <w14:ligatures w14:val="none"/>
              </w:rPr>
              <w:t>deed</w:t>
            </w:r>
            <w:r w:rsidRPr="00E643CB">
              <w:rPr>
                <w:rFonts w:ascii="Calibri" w:hAnsi="Calibri" w:cs="Calibri"/>
              </w:rPr>
              <w:t xml:space="preserve"> is not available.</w:t>
            </w:r>
          </w:p>
        </w:tc>
      </w:tr>
      <w:tr w:rsidR="00CC422C" w:rsidRPr="00E643CB" w14:paraId="1AC3ED6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1B5909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09278B8" w14:textId="07B7A541" w:rsidR="00CC422C" w:rsidRPr="0009782B" w:rsidRDefault="00CC422C" w:rsidP="00CC422C">
            <w:pPr>
              <w:spacing w:after="120" w:line="276" w:lineRule="auto"/>
              <w:jc w:val="both"/>
              <w:rPr>
                <w:rFonts w:ascii="Calibri" w:hAnsi="Calibri" w:cs="Calibri"/>
                <w:b/>
              </w:rPr>
            </w:pPr>
            <w:r w:rsidRPr="0009782B">
              <w:rPr>
                <w:rFonts w:ascii="Calibri" w:hAnsi="Calibri" w:cs="Calibri"/>
                <w:b/>
              </w:rPr>
              <w:t>Gratuity Fund – Definitions</w:t>
            </w:r>
          </w:p>
          <w:p w14:paraId="68A42628" w14:textId="77777777" w:rsidR="00CC422C" w:rsidRPr="0009782B" w:rsidRDefault="00CC422C" w:rsidP="00CC422C">
            <w:pPr>
              <w:spacing w:after="120" w:line="276" w:lineRule="auto"/>
              <w:jc w:val="both"/>
              <w:rPr>
                <w:rFonts w:ascii="Calibri" w:hAnsi="Calibri" w:cs="Calibri"/>
                <w:b/>
              </w:rPr>
            </w:pPr>
          </w:p>
          <w:p w14:paraId="0628621B" w14:textId="1E2E1339"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98 of the IT Rules, 1962</w:t>
            </w:r>
          </w:p>
          <w:p w14:paraId="4D799500" w14:textId="106E15F5"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316 of the Draft IT Rules, 2026</w:t>
            </w:r>
          </w:p>
        </w:tc>
        <w:tc>
          <w:tcPr>
            <w:tcW w:w="10404" w:type="dxa"/>
            <w:tcBorders>
              <w:top w:val="single" w:sz="4" w:space="0" w:color="auto"/>
              <w:left w:val="single" w:sz="4" w:space="0" w:color="auto"/>
              <w:bottom w:val="single" w:sz="4" w:space="0" w:color="auto"/>
              <w:right w:val="single" w:sz="4" w:space="0" w:color="auto"/>
            </w:tcBorders>
          </w:tcPr>
          <w:p w14:paraId="54F63AB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7A5B0D7" w14:textId="5AB6424C"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Beneficiary c</w:t>
            </w:r>
            <w:r w:rsidRPr="00E643CB">
              <w:rPr>
                <w:rFonts w:ascii="Calibri" w:eastAsia="Times New Roman" w:hAnsi="Calibri" w:cs="Calibri"/>
                <w:color w:val="000000"/>
                <w:kern w:val="0"/>
                <w:lang w:eastAsia="en-IN"/>
                <w14:ligatures w14:val="none"/>
              </w:rPr>
              <w:t>larification</w:t>
            </w:r>
            <w:r w:rsidRPr="00E643CB">
              <w:rPr>
                <w:rFonts w:ascii="Calibri" w:hAnsi="Calibri" w:cs="Calibri"/>
              </w:rPr>
              <w:t xml:space="preserve"> required if the word “or” has been removed from clause (i) and (ii)</w:t>
            </w:r>
          </w:p>
          <w:p w14:paraId="0905F16B"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C560328" w14:textId="00D4D945"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 xml:space="preserve">Removal of </w:t>
            </w:r>
            <w:r w:rsidRPr="00E643CB">
              <w:rPr>
                <w:rFonts w:ascii="Calibri" w:eastAsia="Times New Roman" w:hAnsi="Calibri" w:cs="Calibri"/>
                <w:color w:val="000000"/>
                <w:kern w:val="0"/>
                <w:lang w:eastAsia="en-IN"/>
                <w14:ligatures w14:val="none"/>
              </w:rPr>
              <w:t>the</w:t>
            </w:r>
            <w:r w:rsidRPr="00E643CB">
              <w:rPr>
                <w:rFonts w:ascii="Calibri" w:hAnsi="Calibri" w:cs="Calibri"/>
              </w:rPr>
              <w:t xml:space="preserve"> word ‘or’ results in clauses (i), (ii), and (iii) appearing to be not mutually exclusive</w:t>
            </w:r>
            <w:r>
              <w:rPr>
                <w:rFonts w:ascii="Calibri" w:hAnsi="Calibri" w:cs="Calibri"/>
              </w:rPr>
              <w:t xml:space="preserve"> and hence may be reinstated.</w:t>
            </w:r>
          </w:p>
        </w:tc>
      </w:tr>
      <w:tr w:rsidR="00CC422C" w:rsidRPr="00E643CB" w14:paraId="41E47FD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1080807"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0A287D9"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 xml:space="preserve">Gratuity Fund – Nomination </w:t>
            </w:r>
            <w:r w:rsidRPr="0009782B">
              <w:rPr>
                <w:rFonts w:ascii="Calibri" w:eastAsia="Times New Roman" w:hAnsi="Calibri" w:cs="Calibri"/>
                <w:b/>
                <w:color w:val="000000"/>
                <w:kern w:val="0"/>
                <w:lang w:eastAsia="en-IN"/>
                <w14:ligatures w14:val="none"/>
              </w:rPr>
              <w:br/>
            </w:r>
          </w:p>
          <w:p w14:paraId="1D9B5BD3"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101A of the IT Rules, 1962</w:t>
            </w:r>
          </w:p>
          <w:p w14:paraId="656CB60E"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6C28BC8C" w14:textId="51804830"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319 of the Draft IT Rules, 2026</w:t>
            </w:r>
          </w:p>
        </w:tc>
        <w:tc>
          <w:tcPr>
            <w:tcW w:w="10404" w:type="dxa"/>
            <w:tcBorders>
              <w:top w:val="single" w:sz="4" w:space="0" w:color="auto"/>
              <w:left w:val="single" w:sz="4" w:space="0" w:color="auto"/>
              <w:bottom w:val="single" w:sz="4" w:space="0" w:color="auto"/>
              <w:right w:val="single" w:sz="4" w:space="0" w:color="auto"/>
            </w:tcBorders>
          </w:tcPr>
          <w:p w14:paraId="5C480D38" w14:textId="3148820C"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7E4BF558" w14:textId="3356E772" w:rsidR="00CC422C" w:rsidRPr="00E643CB" w:rsidRDefault="00CC422C" w:rsidP="00CC422C">
            <w:pPr>
              <w:numPr>
                <w:ilvl w:val="0"/>
                <w:numId w:val="3"/>
              </w:numPr>
              <w:spacing w:after="120" w:line="276" w:lineRule="auto"/>
              <w:rPr>
                <w:rFonts w:ascii="Calibri" w:hAnsi="Calibri" w:cs="Calibri"/>
                <w:bCs/>
              </w:rPr>
            </w:pPr>
            <w:r w:rsidRPr="00E643CB">
              <w:rPr>
                <w:rFonts w:ascii="Calibri" w:hAnsi="Calibri" w:cs="Calibri"/>
                <w:bCs/>
              </w:rPr>
              <w:t xml:space="preserve">For Form 184 (which replaces the old Forms 40A and 40B), key ambiguities arise around witnessing requirements in a digital </w:t>
            </w:r>
            <w:r w:rsidRPr="00E643CB">
              <w:rPr>
                <w:rFonts w:ascii="Calibri" w:eastAsia="Times New Roman" w:hAnsi="Calibri" w:cs="Calibri"/>
                <w:color w:val="000000"/>
                <w:kern w:val="0"/>
                <w:lang w:eastAsia="en-IN"/>
                <w14:ligatures w14:val="none"/>
              </w:rPr>
              <w:t>environment</w:t>
            </w:r>
            <w:r w:rsidRPr="00E643CB">
              <w:rPr>
                <w:rFonts w:ascii="Calibri" w:hAnsi="Calibri" w:cs="Calibri"/>
                <w:bCs/>
              </w:rPr>
              <w:t xml:space="preserve">, responsibility for correctness of nominee information, validity of existing nominations, and the effective dates of new or modified nominations. </w:t>
            </w:r>
          </w:p>
          <w:p w14:paraId="43102721" w14:textId="77777777" w:rsidR="00CC422C" w:rsidRPr="00E643CB" w:rsidRDefault="00CC422C" w:rsidP="00CC422C">
            <w:pPr>
              <w:numPr>
                <w:ilvl w:val="0"/>
                <w:numId w:val="3"/>
              </w:numPr>
              <w:spacing w:after="120" w:line="276" w:lineRule="auto"/>
              <w:rPr>
                <w:rFonts w:ascii="Calibri" w:hAnsi="Calibri" w:cs="Calibri"/>
                <w:bCs/>
              </w:rPr>
            </w:pPr>
            <w:r w:rsidRPr="00E643CB">
              <w:rPr>
                <w:rFonts w:ascii="Calibri" w:hAnsi="Calibri" w:cs="Calibri"/>
                <w:bCs/>
              </w:rPr>
              <w:t xml:space="preserve">The requirement for PAN and Aadhaar for all nominees—without providing alternatives—may also create practical </w:t>
            </w:r>
            <w:r w:rsidRPr="00E643CB">
              <w:rPr>
                <w:rFonts w:ascii="Calibri" w:eastAsia="Times New Roman" w:hAnsi="Calibri" w:cs="Calibri"/>
                <w:color w:val="000000"/>
                <w:kern w:val="0"/>
                <w:lang w:eastAsia="en-IN"/>
                <w14:ligatures w14:val="none"/>
              </w:rPr>
              <w:t>challenges</w:t>
            </w:r>
            <w:r w:rsidRPr="00E643CB">
              <w:rPr>
                <w:rFonts w:ascii="Calibri" w:hAnsi="Calibri" w:cs="Calibri"/>
                <w:bCs/>
              </w:rPr>
              <w:t xml:space="preserve">. </w:t>
            </w:r>
          </w:p>
          <w:p w14:paraId="5DBA080F" w14:textId="77777777" w:rsidR="00CC422C" w:rsidRPr="00E643CB" w:rsidRDefault="00CC422C" w:rsidP="00CC422C">
            <w:pPr>
              <w:numPr>
                <w:ilvl w:val="0"/>
                <w:numId w:val="3"/>
              </w:numPr>
              <w:spacing w:after="120" w:line="276" w:lineRule="auto"/>
              <w:rPr>
                <w:rFonts w:ascii="Calibri" w:hAnsi="Calibri" w:cs="Calibri"/>
                <w:bCs/>
              </w:rPr>
            </w:pPr>
            <w:r w:rsidRPr="00E643CB">
              <w:rPr>
                <w:rFonts w:ascii="Calibri" w:hAnsi="Calibri" w:cs="Calibri"/>
                <w:bCs/>
              </w:rPr>
              <w:t xml:space="preserve">Furthermore, the absence of guidance on whether Form 184 applies to all existing employees or only those filing new </w:t>
            </w:r>
            <w:r w:rsidRPr="00E643CB">
              <w:rPr>
                <w:rFonts w:ascii="Calibri" w:eastAsia="Times New Roman" w:hAnsi="Calibri" w:cs="Calibri"/>
                <w:color w:val="000000"/>
                <w:kern w:val="0"/>
                <w:lang w:eastAsia="en-IN"/>
                <w14:ligatures w14:val="none"/>
              </w:rPr>
              <w:t>nominations</w:t>
            </w:r>
            <w:r w:rsidRPr="00E643CB">
              <w:rPr>
                <w:rFonts w:ascii="Calibri" w:hAnsi="Calibri" w:cs="Calibri"/>
                <w:bCs/>
              </w:rPr>
              <w:t xml:space="preserve"> may result in inconsistent implementation.</w:t>
            </w:r>
          </w:p>
          <w:p w14:paraId="12F43A9F" w14:textId="77777777"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bCs/>
              </w:rPr>
              <w:t xml:space="preserve">Family - </w:t>
            </w:r>
            <w:r w:rsidRPr="00E643CB">
              <w:rPr>
                <w:rFonts w:ascii="Calibri" w:eastAsia="Times New Roman" w:hAnsi="Calibri" w:cs="Calibri"/>
                <w:color w:val="000000"/>
                <w:kern w:val="0"/>
                <w:lang w:eastAsia="en-IN"/>
                <w14:ligatures w14:val="none"/>
              </w:rPr>
              <w:t>Previous</w:t>
            </w:r>
            <w:r w:rsidRPr="00E643CB">
              <w:rPr>
                <w:rFonts w:ascii="Calibri" w:hAnsi="Calibri" w:cs="Calibri"/>
                <w:bCs/>
              </w:rPr>
              <w:t xml:space="preserve"> provision allowing nominations for stepchildren has been revoked.</w:t>
            </w:r>
          </w:p>
          <w:p w14:paraId="7C21B43E" w14:textId="79642BE0"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1D6360D" w14:textId="454EA733"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w:t>
            </w:r>
            <w:r w:rsidRPr="00E643CB">
              <w:rPr>
                <w:rFonts w:ascii="Calibri" w:eastAsia="Times New Roman" w:hAnsi="Calibri" w:cs="Calibri"/>
                <w:color w:val="000000"/>
                <w:kern w:val="0"/>
                <w:lang w:eastAsia="en-IN"/>
                <w14:ligatures w14:val="none"/>
              </w:rPr>
              <w:t>government</w:t>
            </w:r>
            <w:r w:rsidRPr="00E643CB">
              <w:rPr>
                <w:rFonts w:ascii="Calibri" w:hAnsi="Calibri" w:cs="Calibri"/>
              </w:rPr>
              <w:t xml:space="preserve"> should clarify the rationale behind this change, as it may adversely affect members with stepchildren.</w:t>
            </w:r>
          </w:p>
        </w:tc>
      </w:tr>
      <w:tr w:rsidR="00CC422C" w:rsidRPr="00E643CB" w14:paraId="5EA2E44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66648A1"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2B6EB9D" w14:textId="0BC1BA59"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Gratuity Fund - Application For Approval</w:t>
            </w:r>
            <w:r w:rsidRPr="0009782B">
              <w:rPr>
                <w:rFonts w:ascii="Calibri" w:eastAsia="Times New Roman" w:hAnsi="Calibri" w:cs="Calibri"/>
                <w:b/>
                <w:color w:val="000000"/>
                <w:kern w:val="0"/>
                <w:lang w:eastAsia="en-IN"/>
                <w14:ligatures w14:val="none"/>
              </w:rPr>
              <w:br/>
            </w:r>
            <w:r w:rsidRPr="0009782B">
              <w:rPr>
                <w:rFonts w:ascii="Calibri" w:eastAsia="Times New Roman" w:hAnsi="Calibri" w:cs="Calibri"/>
                <w:b/>
                <w:color w:val="000000"/>
                <w:kern w:val="0"/>
                <w:lang w:eastAsia="en-IN"/>
                <w14:ligatures w14:val="none"/>
              </w:rPr>
              <w:br/>
              <w:t>Rule 109 IT Rules, 1962</w:t>
            </w:r>
          </w:p>
          <w:p w14:paraId="6CFD14FD" w14:textId="190A1DD5"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Rule 327 of the Draft IT Rules, 2026</w:t>
            </w:r>
          </w:p>
        </w:tc>
        <w:tc>
          <w:tcPr>
            <w:tcW w:w="10404" w:type="dxa"/>
            <w:tcBorders>
              <w:top w:val="single" w:sz="4" w:space="0" w:color="auto"/>
              <w:left w:val="single" w:sz="4" w:space="0" w:color="auto"/>
              <w:bottom w:val="single" w:sz="4" w:space="0" w:color="auto"/>
              <w:right w:val="single" w:sz="4" w:space="0" w:color="auto"/>
            </w:tcBorders>
          </w:tcPr>
          <w:p w14:paraId="63032A63" w14:textId="705C8E3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0F60B15" w14:textId="29FCD1A3"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New Form 188 introduced for approval of gratuity trust. No such form exists in the old provisions.  </w:t>
            </w:r>
          </w:p>
          <w:p w14:paraId="11CA69A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41B1935" w14:textId="1614C975" w:rsidR="00CC422C" w:rsidRPr="00E643CB" w:rsidRDefault="00CC422C" w:rsidP="00CC422C">
            <w:pPr>
              <w:numPr>
                <w:ilvl w:val="0"/>
                <w:numId w:val="3"/>
              </w:numPr>
              <w:spacing w:after="120" w:line="276" w:lineRule="auto"/>
              <w:rPr>
                <w:rFonts w:ascii="Calibri" w:hAnsi="Calibri" w:cs="Calibri"/>
                <w:bCs/>
              </w:rPr>
            </w:pPr>
            <w:r w:rsidRPr="00E643CB">
              <w:rPr>
                <w:rFonts w:ascii="Calibri" w:hAnsi="Calibri" w:cs="Calibri"/>
                <w:bCs/>
              </w:rPr>
              <w:t>CBDT issue short, targeted procedural clarifications covering verification methods (e verification or manual</w:t>
            </w:r>
            <w:r>
              <w:rPr>
                <w:rFonts w:ascii="Calibri" w:hAnsi="Calibri" w:cs="Calibri"/>
                <w:bCs/>
              </w:rPr>
              <w:t xml:space="preserve"> </w:t>
            </w:r>
            <w:r w:rsidRPr="00E643CB">
              <w:rPr>
                <w:rFonts w:ascii="Calibri" w:hAnsi="Calibri" w:cs="Calibri"/>
                <w:bCs/>
              </w:rPr>
              <w:t>+</w:t>
            </w:r>
            <w:r>
              <w:rPr>
                <w:rFonts w:ascii="Calibri" w:hAnsi="Calibri" w:cs="Calibri"/>
                <w:bCs/>
              </w:rPr>
              <w:t xml:space="preserve"> </w:t>
            </w:r>
            <w:r w:rsidRPr="00E643CB">
              <w:rPr>
                <w:rFonts w:ascii="Calibri" w:hAnsi="Calibri" w:cs="Calibri"/>
                <w:bCs/>
              </w:rPr>
              <w:t>upload), treatment of pre filled data, acceptable upload formats, transitional provisions, and correction windows for procedural defects. Providing these limited clarifications will significantly improve predictability and reduce the risk of technical rejections, while enabling smoother implementation of the revised Income tax Rules framework</w:t>
            </w:r>
          </w:p>
        </w:tc>
      </w:tr>
      <w:tr w:rsidR="00CC422C" w:rsidRPr="00E643CB" w14:paraId="6CB1DE4E"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32BF57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3F7E156" w14:textId="036DC6B8" w:rsidR="00CC422C" w:rsidRPr="0009782B" w:rsidRDefault="00CC422C" w:rsidP="00CC422C">
            <w:pPr>
              <w:spacing w:after="120" w:line="276" w:lineRule="auto"/>
              <w:jc w:val="both"/>
              <w:rPr>
                <w:rFonts w:ascii="Calibri" w:hAnsi="Calibri" w:cs="Calibri"/>
                <w:b/>
              </w:rPr>
            </w:pPr>
            <w:r w:rsidRPr="0009782B">
              <w:rPr>
                <w:rFonts w:ascii="Calibri" w:hAnsi="Calibri" w:cs="Calibri"/>
                <w:b/>
              </w:rPr>
              <w:t>Gratuity Fund – Appeal</w:t>
            </w:r>
          </w:p>
          <w:p w14:paraId="68914A10" w14:textId="77777777" w:rsidR="00CC422C" w:rsidRPr="0009782B" w:rsidRDefault="00CC422C" w:rsidP="00CC422C">
            <w:pPr>
              <w:spacing w:after="120" w:line="276" w:lineRule="auto"/>
              <w:jc w:val="both"/>
              <w:rPr>
                <w:rFonts w:ascii="Calibri" w:hAnsi="Calibri" w:cs="Calibri"/>
                <w:b/>
              </w:rPr>
            </w:pPr>
          </w:p>
          <w:p w14:paraId="4B53A093" w14:textId="574125C2"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111 IT Rules, 1962</w:t>
            </w:r>
          </w:p>
          <w:p w14:paraId="6B5F153A" w14:textId="670AD65F" w:rsidR="00CC422C" w:rsidRPr="0009782B" w:rsidRDefault="00CC422C" w:rsidP="00CC422C">
            <w:pPr>
              <w:spacing w:after="120" w:line="276" w:lineRule="auto"/>
              <w:jc w:val="both"/>
              <w:rPr>
                <w:rFonts w:ascii="Calibri" w:hAnsi="Calibri" w:cs="Calibri"/>
                <w:b/>
              </w:rPr>
            </w:pPr>
            <w:r w:rsidRPr="0009782B">
              <w:rPr>
                <w:rFonts w:ascii="Calibri" w:hAnsi="Calibri" w:cs="Calibri"/>
                <w:b/>
              </w:rPr>
              <w:t>Rule 329 of the Draft IT Rules, 2026</w:t>
            </w:r>
          </w:p>
          <w:p w14:paraId="1874B34B" w14:textId="5C864CC4"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1F1FA06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E7A4F9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Introduction of new Form “Form 187” for filing of appeal replacing the old </w:t>
            </w:r>
            <w:r w:rsidRPr="00E643CB">
              <w:rPr>
                <w:rFonts w:ascii="Calibri" w:hAnsi="Calibri" w:cs="Calibri"/>
                <w:i/>
              </w:rPr>
              <w:t xml:space="preserve">Form No. 43. </w:t>
            </w:r>
            <w:r w:rsidRPr="00E643CB">
              <w:rPr>
                <w:rFonts w:ascii="Calibri" w:hAnsi="Calibri" w:cs="Calibri"/>
              </w:rPr>
              <w:t>The new form is now addressed to the Chairman of the CBDT, whereas previously it was directed to the Secretary of the CBDT. Increase in the cost of appeal filing fees from INR 100 to INR 1000</w:t>
            </w:r>
          </w:p>
          <w:p w14:paraId="786F880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69C1F1E9" w14:textId="17EBABC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CBDT issue short, targeted procedural clarifications covering verification methods (e</w:t>
            </w:r>
            <w:r w:rsidRPr="00E643CB">
              <w:rPr>
                <w:rFonts w:ascii="Calibri" w:hAnsi="Calibri" w:cs="Calibri"/>
              </w:rPr>
              <w:noBreakHyphen/>
              <w:t>verification or manual</w:t>
            </w:r>
            <w:r>
              <w:rPr>
                <w:rFonts w:ascii="Calibri" w:hAnsi="Calibri" w:cs="Calibri"/>
              </w:rPr>
              <w:t xml:space="preserve"> </w:t>
            </w:r>
            <w:r w:rsidRPr="00E643CB">
              <w:rPr>
                <w:rFonts w:ascii="Calibri" w:hAnsi="Calibri" w:cs="Calibri"/>
              </w:rPr>
              <w:t>+</w:t>
            </w:r>
            <w:r>
              <w:rPr>
                <w:rFonts w:ascii="Calibri" w:hAnsi="Calibri" w:cs="Calibri"/>
              </w:rPr>
              <w:t xml:space="preserve"> </w:t>
            </w:r>
            <w:r w:rsidRPr="00E643CB">
              <w:rPr>
                <w:rFonts w:ascii="Calibri" w:hAnsi="Calibri" w:cs="Calibri"/>
              </w:rPr>
              <w:t>upload), treatment of pre</w:t>
            </w:r>
            <w:r w:rsidRPr="00E643CB">
              <w:rPr>
                <w:rFonts w:ascii="Calibri" w:hAnsi="Calibri" w:cs="Calibri"/>
              </w:rPr>
              <w:noBreakHyphen/>
              <w:t xml:space="preserve">filled data, acceptable upload formats, transitional provisions, and correction windows for procedural defects. </w:t>
            </w:r>
          </w:p>
          <w:p w14:paraId="500F0EA6" w14:textId="1B2F036D"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Providing these limited clarifications will significantly improve predictability and reduce the risk of technical rejections, while enabling smoother implementation of the revised Income</w:t>
            </w:r>
            <w:r w:rsidRPr="00E643CB">
              <w:rPr>
                <w:rFonts w:ascii="Calibri" w:hAnsi="Calibri" w:cs="Calibri"/>
              </w:rPr>
              <w:noBreakHyphen/>
              <w:t>tax Rules framework</w:t>
            </w:r>
          </w:p>
        </w:tc>
      </w:tr>
      <w:tr w:rsidR="00CC422C" w:rsidRPr="00E643CB" w14:paraId="3290D82E"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2D943F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8799241" w14:textId="649F0C12" w:rsidR="00CC422C" w:rsidRPr="0009782B" w:rsidRDefault="00CC422C" w:rsidP="00CC422C">
            <w:pPr>
              <w:tabs>
                <w:tab w:val="left" w:pos="6096"/>
                <w:tab w:val="left" w:pos="6521"/>
              </w:tabs>
              <w:spacing w:after="120" w:line="276" w:lineRule="auto"/>
              <w:jc w:val="both"/>
              <w:rPr>
                <w:rFonts w:ascii="Calibri" w:hAnsi="Calibri" w:cs="Calibri"/>
                <w:b/>
              </w:rPr>
            </w:pPr>
            <w:r w:rsidRPr="0009782B">
              <w:rPr>
                <w:rFonts w:ascii="Calibri" w:hAnsi="Calibri" w:cs="Calibri"/>
                <w:b/>
              </w:rPr>
              <w:t xml:space="preserve">Limits of reserve for unexpired risks. </w:t>
            </w:r>
          </w:p>
          <w:p w14:paraId="0E567A2A" w14:textId="77777777" w:rsidR="00CC422C" w:rsidRPr="0009782B" w:rsidRDefault="00CC422C" w:rsidP="00CC422C">
            <w:pPr>
              <w:pStyle w:val="NormalWeb"/>
              <w:tabs>
                <w:tab w:val="left" w:pos="6096"/>
                <w:tab w:val="left" w:pos="6521"/>
              </w:tabs>
              <w:spacing w:before="0" w:beforeAutospacing="0" w:after="120" w:afterAutospacing="0" w:line="276" w:lineRule="auto"/>
              <w:jc w:val="both"/>
              <w:rPr>
                <w:rFonts w:ascii="Calibri" w:hAnsi="Calibri" w:cs="Calibri"/>
                <w:b/>
                <w:sz w:val="22"/>
                <w:szCs w:val="22"/>
              </w:rPr>
            </w:pPr>
          </w:p>
          <w:p w14:paraId="4EFAE016" w14:textId="7ACC6548" w:rsidR="00CC422C" w:rsidRPr="0009782B" w:rsidRDefault="00CC422C" w:rsidP="00CC422C">
            <w:pPr>
              <w:pStyle w:val="NormalWeb"/>
              <w:tabs>
                <w:tab w:val="left" w:pos="6096"/>
                <w:tab w:val="left" w:pos="6521"/>
              </w:tabs>
              <w:spacing w:before="0" w:beforeAutospacing="0" w:after="120" w:afterAutospacing="0" w:line="276" w:lineRule="auto"/>
              <w:jc w:val="both"/>
              <w:rPr>
                <w:rFonts w:ascii="Calibri" w:hAnsi="Calibri" w:cs="Calibri"/>
                <w:b/>
                <w:sz w:val="22"/>
                <w:szCs w:val="22"/>
              </w:rPr>
            </w:pPr>
            <w:r w:rsidRPr="0009782B">
              <w:rPr>
                <w:rFonts w:ascii="Calibri" w:hAnsi="Calibri" w:cs="Calibri"/>
                <w:b/>
                <w:sz w:val="22"/>
                <w:szCs w:val="22"/>
              </w:rPr>
              <w:t xml:space="preserve">Rule 6E of the Income-tax rules, 1962 (Rules 1962) – Refer Rule 5 of First Schedule to the Income-tax Act, 1961 (1961 Act) </w:t>
            </w:r>
          </w:p>
          <w:p w14:paraId="20ACF2BF" w14:textId="77777777" w:rsidR="00CC422C" w:rsidRPr="0009782B" w:rsidRDefault="00CC422C" w:rsidP="00CC422C">
            <w:pPr>
              <w:spacing w:after="120" w:line="276" w:lineRule="auto"/>
              <w:jc w:val="both"/>
              <w:rPr>
                <w:rFonts w:ascii="Calibri" w:hAnsi="Calibri" w:cs="Calibri"/>
                <w:b/>
              </w:rPr>
            </w:pPr>
          </w:p>
          <w:p w14:paraId="60702077" w14:textId="77777777" w:rsidR="00CC422C" w:rsidRPr="0009782B" w:rsidRDefault="00CC422C" w:rsidP="00CC422C">
            <w:pPr>
              <w:tabs>
                <w:tab w:val="left" w:pos="6096"/>
                <w:tab w:val="left" w:pos="6521"/>
              </w:tabs>
              <w:spacing w:after="120" w:line="276" w:lineRule="auto"/>
              <w:jc w:val="both"/>
              <w:rPr>
                <w:rFonts w:ascii="Calibri" w:hAnsi="Calibri" w:cs="Calibri"/>
                <w:b/>
              </w:rPr>
            </w:pPr>
            <w:r w:rsidRPr="0009782B">
              <w:rPr>
                <w:rFonts w:ascii="Calibri" w:hAnsi="Calibri" w:cs="Calibri"/>
                <w:b/>
              </w:rPr>
              <w:t>Rule 330 of Income-tax Rules, 2026 (Rules 2026)- refer – refer schedule XIV of Income-tax Act, 2025 (2025 Act)</w:t>
            </w:r>
          </w:p>
          <w:p w14:paraId="1410506A" w14:textId="77777777" w:rsidR="00CC422C" w:rsidRPr="0009782B" w:rsidRDefault="00CC422C" w:rsidP="00CC422C">
            <w:pPr>
              <w:spacing w:after="120" w:line="276" w:lineRule="auto"/>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507DA0AB"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6CA3B230"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Due to evolving market conditions, general insurance companies, have been issuing policies that have a protection cover tenure greater than a year.</w:t>
            </w:r>
          </w:p>
          <w:p w14:paraId="628A4FA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case of such multi-year policies, in accordance with the Insurance Regulatory Development Authority of India (IRDAI) regulations, at the financial accounting cut-off point (March 31), insurance companies compute the unearned part of the premium based on the residual period of each of the policies on such date and carries forward the unearned portion as Unexpired Risk Reserve (‘URR’) to subsequent year(s).  Accordingly, the URR can run over more than one year and in some cases even up to 5 years.</w:t>
            </w:r>
          </w:p>
          <w:p w14:paraId="1ABC032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Present Rule 6E of the Rules 1962 and corresponding Rule 330 of Draft Rules 2026 are similar and provides maximum permissible deduction for URR up to certain specified limits for various class of business in the computation of income of a general insurance company.  However, such limits are at variance from URR created in accordance with the IRDAI regulations for respective class of businesses. </w:t>
            </w:r>
          </w:p>
          <w:p w14:paraId="1038B8F0" w14:textId="6A26A058"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This has resulted in disallowance in case of some of the insurance companies with the effect that tax is being paid on the premium of a future period that has not been strictly earned.</w:t>
            </w:r>
          </w:p>
          <w:p w14:paraId="6B1B7E3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Additionally, there is a risk of permanent disallowance due to requirement under Proviso to Rule 6E of the Rules 1962 and corresponding sub-rule (2) of Rule 330 of Draft Rules 2026, for URR reversal in the immediately following year of creation of URR, which may not align with multi-year policy durations.  </w:t>
            </w:r>
          </w:p>
          <w:p w14:paraId="31578337" w14:textId="76259812"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Hence, there is a need for full deduction of URR for tax purposes to align with actual business practices and reduce cash flow issues.</w:t>
            </w:r>
          </w:p>
          <w:p w14:paraId="49BE4C8E"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5E05AD66" w14:textId="0BDFD256"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limits for URR provided in Rule 6E of the Rules 1962 were introduced in year 1962, but over the years, the insurance law and regulations have not remained static and the manner in which URR is to be created by insurance companies have undergone changes and required to be created as per the extant IRDAI regulations.  The limits of existing Rule 6E continue under Rule 330 of draft Rules 2026.</w:t>
            </w:r>
          </w:p>
          <w:p w14:paraId="1ADA1CB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Similar to present scenario, this is likely to result in a situation where the general insurance companies would be compelled to consider URR amounts which are not within the limits specified under Rule 330, as a disallowance thereby being required to offer tax on premium of a future period that has not been earned.</w:t>
            </w:r>
          </w:p>
          <w:p w14:paraId="50E9C0A8" w14:textId="095746AB"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Similarly, where the reversal of URR is not being made in the immediately following year of creation of URR, the application of Rule 330 would result in a situation of permanent disallowance, which is unwarranted.</w:t>
            </w:r>
          </w:p>
        </w:tc>
      </w:tr>
      <w:tr w:rsidR="00CC422C" w:rsidRPr="00E643CB" w14:paraId="5DE5619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748385C"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DA19275" w14:textId="77777777" w:rsidR="00CC422C" w:rsidRPr="0009782B" w:rsidRDefault="00CC422C" w:rsidP="00CC422C">
            <w:pPr>
              <w:tabs>
                <w:tab w:val="left" w:pos="6096"/>
                <w:tab w:val="left" w:pos="6521"/>
              </w:tabs>
              <w:spacing w:after="120" w:line="276" w:lineRule="auto"/>
              <w:jc w:val="both"/>
              <w:rPr>
                <w:rFonts w:ascii="Calibri" w:hAnsi="Calibri" w:cs="Calibri"/>
                <w:b/>
              </w:rPr>
            </w:pPr>
            <w:r w:rsidRPr="0009782B">
              <w:rPr>
                <w:rFonts w:ascii="Calibri" w:hAnsi="Calibri" w:cs="Calibri"/>
                <w:b/>
              </w:rPr>
              <w:t>Rule125 of the IT Rules, 1962</w:t>
            </w:r>
          </w:p>
          <w:p w14:paraId="6F58A00A" w14:textId="77777777" w:rsidR="00CC422C" w:rsidRPr="0009782B" w:rsidRDefault="00CC422C" w:rsidP="00CC422C">
            <w:pPr>
              <w:tabs>
                <w:tab w:val="left" w:pos="6096"/>
                <w:tab w:val="left" w:pos="6521"/>
              </w:tabs>
              <w:spacing w:after="120" w:line="276" w:lineRule="auto"/>
              <w:jc w:val="both"/>
              <w:rPr>
                <w:rFonts w:ascii="Calibri" w:hAnsi="Calibri" w:cs="Calibri"/>
                <w:b/>
              </w:rPr>
            </w:pPr>
          </w:p>
          <w:p w14:paraId="08A6F2F3" w14:textId="6DEDB721" w:rsidR="00CC422C" w:rsidRPr="0009782B" w:rsidRDefault="00CC422C" w:rsidP="00CC422C">
            <w:pPr>
              <w:tabs>
                <w:tab w:val="left" w:pos="6096"/>
                <w:tab w:val="left" w:pos="6521"/>
              </w:tabs>
              <w:spacing w:after="120" w:line="276" w:lineRule="auto"/>
              <w:jc w:val="both"/>
              <w:rPr>
                <w:rFonts w:ascii="Calibri" w:hAnsi="Calibri" w:cs="Calibri"/>
                <w:b/>
              </w:rPr>
            </w:pPr>
            <w:r w:rsidRPr="0009782B">
              <w:rPr>
                <w:rFonts w:ascii="Calibri" w:hAnsi="Calibri" w:cs="Calibri"/>
                <w:b/>
              </w:rPr>
              <w:t>R</w:t>
            </w:r>
            <w:r>
              <w:rPr>
                <w:rFonts w:ascii="Calibri" w:hAnsi="Calibri" w:cs="Calibri"/>
                <w:b/>
              </w:rPr>
              <w:t>ule</w:t>
            </w:r>
            <w:r w:rsidRPr="0009782B">
              <w:rPr>
                <w:rFonts w:ascii="Calibri" w:hAnsi="Calibri" w:cs="Calibri"/>
                <w:b/>
              </w:rPr>
              <w:t xml:space="preserve"> 333 of the Draft IT Rules, 2026</w:t>
            </w:r>
          </w:p>
        </w:tc>
        <w:tc>
          <w:tcPr>
            <w:tcW w:w="10404" w:type="dxa"/>
            <w:tcBorders>
              <w:top w:val="single" w:sz="4" w:space="0" w:color="auto"/>
              <w:left w:val="single" w:sz="4" w:space="0" w:color="auto"/>
              <w:bottom w:val="single" w:sz="4" w:space="0" w:color="auto"/>
              <w:right w:val="single" w:sz="4" w:space="0" w:color="auto"/>
            </w:tcBorders>
          </w:tcPr>
          <w:p w14:paraId="42CD972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B83E04F" w14:textId="77777777" w:rsidR="00CC422C" w:rsidRDefault="00CC422C" w:rsidP="00CC422C">
            <w:pPr>
              <w:numPr>
                <w:ilvl w:val="0"/>
                <w:numId w:val="3"/>
              </w:numPr>
              <w:spacing w:after="120" w:line="276" w:lineRule="auto"/>
              <w:rPr>
                <w:rFonts w:ascii="Calibri" w:hAnsi="Calibri" w:cs="Calibri"/>
              </w:rPr>
            </w:pPr>
            <w:r w:rsidRPr="00E643CB">
              <w:rPr>
                <w:rFonts w:ascii="Calibri" w:hAnsi="Calibri" w:cs="Calibri"/>
              </w:rPr>
              <w:t>There is ambiguity regarding e</w:t>
            </w:r>
            <w:r w:rsidRPr="00E643CB">
              <w:rPr>
                <w:rFonts w:ascii="Cambria Math" w:hAnsi="Cambria Math" w:cs="Cambria Math"/>
              </w:rPr>
              <w:t>‑</w:t>
            </w:r>
            <w:r w:rsidRPr="00E643CB">
              <w:rPr>
                <w:rFonts w:ascii="Calibri" w:hAnsi="Calibri" w:cs="Calibri"/>
              </w:rPr>
              <w:t>mode tax payment by foreign taxpayers without an Indian bank account, and whether TDS paid by a deductor qualifies as ‘tax’ for complying with the rule</w:t>
            </w:r>
            <w:r>
              <w:rPr>
                <w:rFonts w:ascii="Calibri" w:hAnsi="Calibri" w:cs="Calibri"/>
              </w:rPr>
              <w:t>.</w:t>
            </w:r>
          </w:p>
          <w:p w14:paraId="0F0EB39F" w14:textId="1E937F35" w:rsidR="00CC422C" w:rsidRPr="00BB63E3" w:rsidRDefault="00CC422C" w:rsidP="00CC422C">
            <w:pPr>
              <w:numPr>
                <w:ilvl w:val="0"/>
                <w:numId w:val="3"/>
              </w:numPr>
              <w:spacing w:after="120" w:line="276" w:lineRule="auto"/>
              <w:rPr>
                <w:rFonts w:ascii="Calibri" w:hAnsi="Calibri" w:cs="Calibri"/>
              </w:rPr>
            </w:pPr>
            <w:r w:rsidRPr="00BB63E3">
              <w:rPr>
                <w:rFonts w:ascii="Calibri" w:hAnsi="Calibri" w:cs="Calibri"/>
                <w:i/>
              </w:rPr>
              <w:t xml:space="preserve">CBDT, vide Circular No. 5/2008 dated 14 July 2008, </w:t>
            </w:r>
            <w:r w:rsidRPr="00BB63E3">
              <w:rPr>
                <w:rFonts w:ascii="Calibri" w:hAnsi="Calibri" w:cs="Calibri"/>
              </w:rPr>
              <w:t>has already addressed these challenges by providing two key clarifications:</w:t>
            </w:r>
          </w:p>
          <w:p w14:paraId="420D9F3F" w14:textId="77777777" w:rsidR="00CC422C" w:rsidRPr="00E643CB" w:rsidRDefault="00CC422C" w:rsidP="00CC422C">
            <w:pPr>
              <w:spacing w:after="120" w:line="276" w:lineRule="auto"/>
              <w:ind w:left="900" w:right="137"/>
              <w:rPr>
                <w:rFonts w:ascii="Calibri" w:hAnsi="Calibri" w:cs="Calibri"/>
              </w:rPr>
            </w:pPr>
            <w:r w:rsidRPr="00E643CB">
              <w:rPr>
                <w:rFonts w:ascii="Calibri" w:hAnsi="Calibri" w:cs="Calibri"/>
              </w:rPr>
              <w:t>(i) E</w:t>
            </w:r>
            <w:r w:rsidRPr="00E643CB">
              <w:rPr>
                <w:rFonts w:ascii="Cambria Math" w:hAnsi="Cambria Math" w:cs="Cambria Math"/>
              </w:rPr>
              <w:t>‑</w:t>
            </w:r>
            <w:r w:rsidRPr="00E643CB">
              <w:rPr>
                <w:rFonts w:ascii="Calibri" w:hAnsi="Calibri" w:cs="Calibri"/>
              </w:rPr>
              <w:t>payment may be made from any person’s bank account, provided the challan clearly mentions the PAN of the taxpayer to whom the payment relates. The taxpayer is not required to use their own bank account.</w:t>
            </w:r>
          </w:p>
          <w:p w14:paraId="3FDE96BB" w14:textId="504A74B1" w:rsidR="00CC422C" w:rsidRPr="00E643CB" w:rsidRDefault="00CC422C" w:rsidP="00CC422C">
            <w:pPr>
              <w:spacing w:after="120" w:line="276" w:lineRule="auto"/>
              <w:ind w:left="900"/>
              <w:rPr>
                <w:rFonts w:ascii="Calibri" w:hAnsi="Calibri" w:cs="Calibri"/>
              </w:rPr>
            </w:pPr>
            <w:r w:rsidRPr="00E643CB">
              <w:rPr>
                <w:rFonts w:ascii="Calibri" w:hAnsi="Calibri" w:cs="Calibri"/>
              </w:rPr>
              <w:t>(ii) TDS/TCS payments made by a deductor are deemed to be ‘tax’ for the purposes of Rule 125.</w:t>
            </w:r>
          </w:p>
          <w:p w14:paraId="33E6E719" w14:textId="10FAA270" w:rsidR="00CC422C" w:rsidRPr="00E643CB" w:rsidRDefault="00CC422C" w:rsidP="00CC422C">
            <w:pPr>
              <w:spacing w:after="120" w:line="276" w:lineRule="auto"/>
              <w:rPr>
                <w:rFonts w:ascii="Calibri" w:hAnsi="Calibri" w:cs="Calibri"/>
              </w:rPr>
            </w:pPr>
            <w:r w:rsidRPr="00E643CB">
              <w:rPr>
                <w:rFonts w:ascii="Calibri" w:hAnsi="Calibri" w:cs="Calibri"/>
                <w:b/>
              </w:rPr>
              <w:t>Recommendations:</w:t>
            </w:r>
          </w:p>
          <w:p w14:paraId="7D4D5FDD" w14:textId="78809C8D"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There is ambiguity regarding e</w:t>
            </w:r>
            <w:r w:rsidRPr="00E643CB">
              <w:rPr>
                <w:rFonts w:ascii="Cambria Math" w:hAnsi="Cambria Math" w:cs="Cambria Math"/>
              </w:rPr>
              <w:t>‑</w:t>
            </w:r>
            <w:r w:rsidRPr="00E643CB">
              <w:rPr>
                <w:rFonts w:ascii="Calibri" w:hAnsi="Calibri" w:cs="Calibri"/>
              </w:rPr>
              <w:t>mode tax payment by foreign taxpayers without an Indian bank account, and whether TDS paid by a deductor qualifies as ‘tax’ for complying with the rule.</w:t>
            </w:r>
          </w:p>
          <w:p w14:paraId="3736B323" w14:textId="7691E992"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It is recommended that the draft rules explicitly state that electronic tax payments may be made from any bank account, provided the correct PAN is quoted, and that TDS/TCS remittances by deductors are to be treated as ‘tax’ for purposes of compliance. This will ensure clarity, continuity, and ease of compliance under the revised framework.</w:t>
            </w:r>
          </w:p>
          <w:p w14:paraId="07C2F95F" w14:textId="4883216D"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Further, the draft rules should explicitly allow e</w:t>
            </w:r>
            <w:r w:rsidRPr="00E643CB">
              <w:rPr>
                <w:rFonts w:ascii="Cambria Math" w:hAnsi="Cambria Math" w:cs="Cambria Math"/>
              </w:rPr>
              <w:t>‑</w:t>
            </w:r>
            <w:r w:rsidRPr="00E643CB">
              <w:rPr>
                <w:rFonts w:ascii="Calibri" w:hAnsi="Calibri" w:cs="Calibri"/>
              </w:rPr>
              <w:t>tax payments through foreign bank accounts to facilitate compliance by non</w:t>
            </w:r>
            <w:r w:rsidRPr="00E643CB">
              <w:rPr>
                <w:rFonts w:ascii="Cambria Math" w:hAnsi="Cambria Math" w:cs="Cambria Math"/>
              </w:rPr>
              <w:t>‑</w:t>
            </w:r>
            <w:r w:rsidRPr="00E643CB">
              <w:rPr>
                <w:rFonts w:ascii="Calibri" w:hAnsi="Calibri" w:cs="Calibri"/>
              </w:rPr>
              <w:t>resident taxpayers.</w:t>
            </w:r>
          </w:p>
        </w:tc>
      </w:tr>
      <w:tr w:rsidR="00CC422C" w:rsidRPr="00E643CB" w14:paraId="3D9055E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D75B95F"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91DB1D2" w14:textId="77777777" w:rsidR="00CC422C" w:rsidRPr="00923F6D" w:rsidRDefault="00CC422C" w:rsidP="00CC422C">
            <w:pPr>
              <w:tabs>
                <w:tab w:val="left" w:pos="6096"/>
                <w:tab w:val="left" w:pos="6521"/>
              </w:tabs>
              <w:spacing w:after="120" w:line="276" w:lineRule="auto"/>
              <w:jc w:val="both"/>
              <w:rPr>
                <w:rFonts w:ascii="Calibri" w:hAnsi="Calibri" w:cs="Calibri"/>
                <w:b/>
              </w:rPr>
            </w:pPr>
            <w:r w:rsidRPr="00923F6D">
              <w:rPr>
                <w:rFonts w:ascii="Calibri" w:hAnsi="Calibri" w:cs="Calibri"/>
                <w:b/>
              </w:rPr>
              <w:t>Form 3CE (S. 44DA(2) of ITA 1961)(Rule 6G of Income Tax Rules 1962) - Audit Report under sub-section (2) of section 44DA of the Income-tax Act, 1961</w:t>
            </w:r>
          </w:p>
          <w:p w14:paraId="2D04B853" w14:textId="77777777" w:rsidR="00CC422C" w:rsidRPr="00923F6D" w:rsidRDefault="00CC422C" w:rsidP="00CC422C">
            <w:pPr>
              <w:tabs>
                <w:tab w:val="left" w:pos="6096"/>
                <w:tab w:val="left" w:pos="6521"/>
              </w:tabs>
              <w:spacing w:after="120" w:line="276" w:lineRule="auto"/>
              <w:jc w:val="both"/>
              <w:rPr>
                <w:rFonts w:ascii="Calibri" w:hAnsi="Calibri" w:cs="Calibri"/>
                <w:b/>
              </w:rPr>
            </w:pPr>
          </w:p>
          <w:p w14:paraId="08555984" w14:textId="02225EA5" w:rsidR="00CC422C" w:rsidRPr="00923F6D" w:rsidRDefault="00CC422C" w:rsidP="00CC422C">
            <w:pPr>
              <w:tabs>
                <w:tab w:val="left" w:pos="6096"/>
                <w:tab w:val="left" w:pos="6521"/>
              </w:tabs>
              <w:spacing w:after="120" w:line="276" w:lineRule="auto"/>
              <w:jc w:val="both"/>
              <w:rPr>
                <w:rFonts w:ascii="Calibri" w:hAnsi="Calibri" w:cs="Calibri"/>
                <w:b/>
              </w:rPr>
            </w:pPr>
            <w:r w:rsidRPr="00923F6D">
              <w:rPr>
                <w:rFonts w:ascii="Calibri" w:hAnsi="Calibri" w:cs="Calibri"/>
                <w:b/>
              </w:rPr>
              <w:t>Form 24 (S. 59 of ITA 2025) (Rule 43 of Draft Income Tax Rules 2026) - Audit Report under section 59 of the Income-tax Act, 2025</w:t>
            </w:r>
          </w:p>
        </w:tc>
        <w:tc>
          <w:tcPr>
            <w:tcW w:w="10404" w:type="dxa"/>
            <w:tcBorders>
              <w:top w:val="single" w:sz="4" w:space="0" w:color="auto"/>
              <w:left w:val="single" w:sz="4" w:space="0" w:color="auto"/>
              <w:bottom w:val="single" w:sz="4" w:space="0" w:color="auto"/>
              <w:right w:val="single" w:sz="4" w:space="0" w:color="auto"/>
            </w:tcBorders>
          </w:tcPr>
          <w:p w14:paraId="252AC614" w14:textId="0298F94B"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ED8964D" w14:textId="17419D2B"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the old form (Form 3CE), either PAN or Aadhar of taxpayer could have been provided. In the new form (Form 24), PAN must be provided, there is no option to provide Aadhar no. instead of PAN. This may create difficulty in certain cases where a person has applied for PAN but has not received the same.</w:t>
            </w:r>
          </w:p>
          <w:p w14:paraId="0AF95587" w14:textId="2B61398C"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D57D4ED" w14:textId="229BBF3F"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It is recommended to enable an option to provide Aadhar no., instead of PAN for filing of Form 24.</w:t>
            </w:r>
          </w:p>
        </w:tc>
      </w:tr>
      <w:tr w:rsidR="00CC422C" w:rsidRPr="00E643CB" w14:paraId="22C6ACD6"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BEC08DF"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E260AB8" w14:textId="20B5B254" w:rsidR="00CC422C" w:rsidRPr="00923F6D" w:rsidRDefault="00CC422C" w:rsidP="00CC422C">
            <w:pPr>
              <w:spacing w:after="120" w:line="276" w:lineRule="auto"/>
              <w:jc w:val="both"/>
              <w:rPr>
                <w:rFonts w:ascii="Calibri" w:hAnsi="Calibri" w:cs="Calibri"/>
                <w:b/>
              </w:rPr>
            </w:pPr>
            <w:r w:rsidRPr="00923F6D">
              <w:rPr>
                <w:rFonts w:ascii="Calibri" w:hAnsi="Calibri" w:cs="Calibri"/>
                <w:b/>
              </w:rPr>
              <w:t xml:space="preserve">Form 3CD </w:t>
            </w:r>
          </w:p>
          <w:p w14:paraId="40A520E8" w14:textId="77777777" w:rsidR="00CC422C" w:rsidRPr="00923F6D" w:rsidRDefault="00CC422C" w:rsidP="00CC422C">
            <w:pPr>
              <w:spacing w:after="120" w:line="276" w:lineRule="auto"/>
              <w:jc w:val="both"/>
              <w:rPr>
                <w:rFonts w:ascii="Calibri" w:hAnsi="Calibri" w:cs="Calibri"/>
                <w:b/>
              </w:rPr>
            </w:pPr>
          </w:p>
          <w:p w14:paraId="4C6924AF" w14:textId="77777777" w:rsidR="00CC422C" w:rsidRPr="00923F6D" w:rsidRDefault="00CC422C" w:rsidP="00CC422C">
            <w:pPr>
              <w:spacing w:after="120" w:line="276" w:lineRule="auto"/>
              <w:jc w:val="both"/>
              <w:rPr>
                <w:rFonts w:ascii="Calibri" w:hAnsi="Calibri" w:cs="Calibri"/>
                <w:b/>
              </w:rPr>
            </w:pPr>
            <w:r w:rsidRPr="00923F6D">
              <w:rPr>
                <w:rFonts w:ascii="Calibri" w:hAnsi="Calibri" w:cs="Calibri"/>
                <w:b/>
              </w:rPr>
              <w:t xml:space="preserve">Form 26 </w:t>
            </w:r>
          </w:p>
          <w:p w14:paraId="1604095A" w14:textId="77777777" w:rsidR="00CC422C" w:rsidRPr="00923F6D" w:rsidRDefault="00CC422C" w:rsidP="00CC422C">
            <w:pPr>
              <w:spacing w:after="120" w:line="276" w:lineRule="auto"/>
              <w:jc w:val="both"/>
              <w:rPr>
                <w:rFonts w:ascii="Calibri" w:hAnsi="Calibri" w:cs="Calibri"/>
                <w:b/>
              </w:rPr>
            </w:pPr>
          </w:p>
          <w:p w14:paraId="491D0CC8" w14:textId="77777777" w:rsidR="00CC422C" w:rsidRPr="00923F6D" w:rsidRDefault="00CC422C" w:rsidP="00CC422C">
            <w:pPr>
              <w:tabs>
                <w:tab w:val="left" w:pos="6096"/>
                <w:tab w:val="left" w:pos="6521"/>
              </w:tabs>
              <w:spacing w:after="120" w:line="276" w:lineRule="auto"/>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1E13A7C1"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9DB57AB" w14:textId="539754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draft Tax Audit Report framework requires quantification of the impact of statutory audit qualifications yet does not specify materiality thresholds or estimation principles. In practical scenarios, auditors may be compelled to provide speculative financial quantifications where reliable measurement is not feasible </w:t>
            </w:r>
          </w:p>
          <w:p w14:paraId="2EBF0082"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draft Tax audit report framework requiring disclosure of whether any cloud or any other software is used for storage of books of accounts, along with location (including IP address and country of location) of such storage. The requirement of reporting volatile technical identifiers such as IP addresses may impose practical difficulties without materially improving audit outcomes. </w:t>
            </w:r>
          </w:p>
          <w:p w14:paraId="3B2476AA" w14:textId="6B8FE794"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In the Tax Audit Report, particulars of foreign remittances not subjected to withholding tax are required to be reported in Part-D of Form No. 145 (current Form 15CA). </w:t>
            </w:r>
          </w:p>
          <w:p w14:paraId="00E929B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This results in duplication, as the same information is already captured through Form 145/146 (existing 15CA/15CB), TDS returns, and AIS. </w:t>
            </w:r>
          </w:p>
          <w:p w14:paraId="6E163CC6" w14:textId="20076B82"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Moreover, the tax auditor will be now required to report remittances not subjected to TDS</w:t>
            </w:r>
            <w:r>
              <w:rPr>
                <w:rFonts w:ascii="Calibri" w:hAnsi="Calibri" w:cs="Calibri"/>
              </w:rPr>
              <w:t xml:space="preserve"> in Part D of Form No. 45 but were chargeable to tax In other words, while the taxpayer would have made such remittances without deducting tax on the basis that they are not chargeable to tax under the Act but tax auditor reports them as liable to tax. Such payments attract disallowance u/s. 35(b)(ii) of ITA 2025(comparable to s.40(a)(i) of ITA 1961) which are required to be reported under</w:t>
            </w:r>
            <w:r w:rsidRPr="00D95FD1">
              <w:rPr>
                <w:rFonts w:ascii="Calibri" w:hAnsi="Calibri" w:cs="Calibri"/>
                <w:lang w:val="en-US"/>
              </w:rPr>
              <w:t xml:space="preserve"> clause 51(b) (current clause 20(b)(i)</w:t>
            </w:r>
            <w:r>
              <w:rPr>
                <w:rFonts w:ascii="Calibri" w:hAnsi="Calibri" w:cs="Calibri"/>
                <w:lang w:val="en-US"/>
              </w:rPr>
              <w:t>). Thus, such disallowances will get reported twice in Form 26. Since returns of income are envisaged to be pre-filled with information reported in Tax Audit Report and s.270(1)(a)(v) &amp; CPC’s return processing algorithms capture the disallowances in Tax Audit Report, it is apprehended by taxpayers that the duplicated reporting in Form 26 may lead to unwarranted automated adjustments while processing returns u/s. 270(1) of ITA 2025 (comparable to existing s.143(1) of ITA 1961) leading to spate of rectifications and appeals.</w:t>
            </w:r>
          </w:p>
          <w:p w14:paraId="603E4862"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7D08B28"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Introducing defined materiality standards and permitting qualitative disclosures where numeric determination lacks objective basis would improve reporting integrity and reduce avoidable interpretational disagreements</w:t>
            </w:r>
          </w:p>
          <w:p w14:paraId="167773FF"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Limiting disclosures to stable metadata attributes such as service provider identity and storage region would preserve regulatory objectives while reducing compliance friction. </w:t>
            </w:r>
          </w:p>
          <w:p w14:paraId="35456525" w14:textId="5732DF1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It is recommended that additional reporting requirements on foreign remittances </w:t>
            </w:r>
            <w:r>
              <w:rPr>
                <w:rFonts w:ascii="Calibri" w:hAnsi="Calibri" w:cs="Calibri"/>
              </w:rPr>
              <w:t xml:space="preserve">reported in Part D of Form 145 (existing Form 15CA) </w:t>
            </w:r>
            <w:r w:rsidRPr="00E643CB">
              <w:rPr>
                <w:rFonts w:ascii="Calibri" w:hAnsi="Calibri" w:cs="Calibri"/>
              </w:rPr>
              <w:t>be removed</w:t>
            </w:r>
            <w:r>
              <w:rPr>
                <w:rFonts w:ascii="Calibri" w:hAnsi="Calibri" w:cs="Calibri"/>
              </w:rPr>
              <w:t xml:space="preserve"> since it may lead to duplicated disallowance by CPC while processing returns of income u/s. 270A(1) of ITA 2025</w:t>
            </w:r>
            <w:r w:rsidRPr="00E643CB">
              <w:rPr>
                <w:rFonts w:ascii="Calibri" w:hAnsi="Calibri" w:cs="Calibri"/>
              </w:rPr>
              <w:t>.</w:t>
            </w:r>
          </w:p>
          <w:p w14:paraId="7A803037" w14:textId="4245FDB4" w:rsidR="00CC422C" w:rsidRPr="00E643CB" w:rsidRDefault="00CC422C" w:rsidP="00CC422C">
            <w:pPr>
              <w:spacing w:after="120" w:line="276" w:lineRule="auto"/>
              <w:ind w:left="720"/>
              <w:rPr>
                <w:rFonts w:ascii="Calibri" w:hAnsi="Calibri" w:cs="Calibri"/>
              </w:rPr>
            </w:pPr>
          </w:p>
        </w:tc>
      </w:tr>
      <w:tr w:rsidR="00CC422C" w:rsidRPr="00E643CB" w14:paraId="2960FB8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10FC29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D81BA3E"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10CCF (Referred under Rule 19AE of ITA 1961)</w:t>
            </w:r>
          </w:p>
          <w:p w14:paraId="0FD0C04F" w14:textId="77777777" w:rsidR="00CC422C" w:rsidRPr="0009782B" w:rsidRDefault="00CC422C" w:rsidP="00CC422C">
            <w:pPr>
              <w:spacing w:after="120" w:line="276" w:lineRule="auto"/>
              <w:jc w:val="both"/>
              <w:rPr>
                <w:rFonts w:ascii="Calibri" w:hAnsi="Calibri" w:cs="Calibri"/>
                <w:b/>
              </w:rPr>
            </w:pPr>
          </w:p>
          <w:p w14:paraId="54A7C370" w14:textId="7B541BFE"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35 (Referred under Rule 69 of ITA 2025)</w:t>
            </w:r>
          </w:p>
        </w:tc>
        <w:tc>
          <w:tcPr>
            <w:tcW w:w="10404" w:type="dxa"/>
            <w:tcBorders>
              <w:top w:val="single" w:sz="4" w:space="0" w:color="auto"/>
              <w:left w:val="single" w:sz="4" w:space="0" w:color="auto"/>
              <w:bottom w:val="single" w:sz="4" w:space="0" w:color="auto"/>
              <w:right w:val="single" w:sz="4" w:space="0" w:color="auto"/>
            </w:tcBorders>
          </w:tcPr>
          <w:p w14:paraId="4EA3899A"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6F869A96"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Form 35, Sr. No 3(iv), reference to permission from Securities and Exchange board of India is missing.</w:t>
            </w:r>
          </w:p>
          <w:p w14:paraId="1B4A729B" w14:textId="33AF68B4" w:rsidR="00CC422C" w:rsidRPr="00E643CB" w:rsidRDefault="00CC422C" w:rsidP="00CC422C">
            <w:pPr>
              <w:spacing w:after="120" w:line="276" w:lineRule="auto"/>
              <w:rPr>
                <w:rFonts w:ascii="Calibri" w:hAnsi="Calibri" w:cs="Calibri"/>
                <w:b/>
              </w:rPr>
            </w:pPr>
            <w:r w:rsidRPr="00E643CB">
              <w:rPr>
                <w:rFonts w:ascii="Calibri" w:hAnsi="Calibri" w:cs="Calibri"/>
                <w:b/>
              </w:rPr>
              <w:t>Recommendation</w:t>
            </w:r>
          </w:p>
          <w:p w14:paraId="43017136" w14:textId="0786968A"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Form 35, Sr. No 3(iv) should be updated to include permission from Securities and Exchange Board of India (‘SEBI’) in line with requirement specified in definition of relevant tax year in Section 147(5) of the Income-tax Act, 2025</w:t>
            </w:r>
          </w:p>
        </w:tc>
      </w:tr>
      <w:tr w:rsidR="00CC422C" w:rsidRPr="00E643CB" w14:paraId="0075A3F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1D9220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C4D7ACC"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10CCF (Referred under Rule 19AE of ITA 1961)</w:t>
            </w:r>
          </w:p>
          <w:p w14:paraId="41325D65" w14:textId="77777777" w:rsidR="00CC422C" w:rsidRPr="0009782B" w:rsidRDefault="00CC422C" w:rsidP="00CC422C">
            <w:pPr>
              <w:spacing w:after="120" w:line="276" w:lineRule="auto"/>
              <w:jc w:val="both"/>
              <w:rPr>
                <w:rFonts w:ascii="Calibri" w:hAnsi="Calibri" w:cs="Calibri"/>
                <w:b/>
              </w:rPr>
            </w:pPr>
          </w:p>
          <w:p w14:paraId="41FC1E52" w14:textId="4F7FAD64"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35 (Referred under Rule 69 of ITA 2025)</w:t>
            </w:r>
          </w:p>
        </w:tc>
        <w:tc>
          <w:tcPr>
            <w:tcW w:w="10404" w:type="dxa"/>
            <w:tcBorders>
              <w:top w:val="single" w:sz="4" w:space="0" w:color="auto"/>
              <w:left w:val="single" w:sz="4" w:space="0" w:color="auto"/>
              <w:bottom w:val="single" w:sz="4" w:space="0" w:color="auto"/>
              <w:right w:val="single" w:sz="4" w:space="0" w:color="auto"/>
            </w:tcBorders>
          </w:tcPr>
          <w:p w14:paraId="10017A8F"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4373FCD" w14:textId="77777777"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 xml:space="preserve">Sr. no. 6 of the Form 35 requires specifying income which is not received in foreign currency and is required to be deducted from total income for the purpose of deduction under Section 147. This is an additional requirement in the form 35, while there is no such requirement in Act. </w:t>
            </w:r>
          </w:p>
          <w:p w14:paraId="174475F3" w14:textId="2CFF2B92"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00240237" w14:textId="2A3555DD"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This requirement should be dropped as it may pose challenge for following type of entities: IFSC Banking unit which has provided ECB to an Indian company and earning interest in INR. Investment made by IIO in Indian capital market and earned income is in INR.</w:t>
            </w:r>
          </w:p>
        </w:tc>
      </w:tr>
      <w:tr w:rsidR="00CC422C" w:rsidRPr="00E643CB" w14:paraId="6BCCA2D5"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158C25B"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D133C4D"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10CCF (Referred under Rule 19AE of ITA 1961)</w:t>
            </w:r>
          </w:p>
          <w:p w14:paraId="7BE0FE96" w14:textId="77777777" w:rsidR="00CC422C" w:rsidRPr="0009782B" w:rsidRDefault="00CC422C" w:rsidP="00CC422C">
            <w:pPr>
              <w:spacing w:after="120" w:line="276" w:lineRule="auto"/>
              <w:jc w:val="both"/>
              <w:rPr>
                <w:rFonts w:ascii="Calibri" w:hAnsi="Calibri" w:cs="Calibri"/>
                <w:b/>
              </w:rPr>
            </w:pPr>
          </w:p>
          <w:p w14:paraId="4524C43F" w14:textId="1EFFFF1E"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35 (Referred under Rule 69 of ITA 2025)</w:t>
            </w:r>
          </w:p>
        </w:tc>
        <w:tc>
          <w:tcPr>
            <w:tcW w:w="10404" w:type="dxa"/>
            <w:tcBorders>
              <w:top w:val="single" w:sz="4" w:space="0" w:color="auto"/>
              <w:left w:val="single" w:sz="4" w:space="0" w:color="auto"/>
              <w:bottom w:val="single" w:sz="4" w:space="0" w:color="auto"/>
              <w:right w:val="single" w:sz="4" w:space="0" w:color="auto"/>
            </w:tcBorders>
          </w:tcPr>
          <w:p w14:paraId="01AB5A9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9A7620B" w14:textId="375F0926"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In Form 35, Sr. no 5, description is ‘</w:t>
            </w:r>
            <w:r w:rsidRPr="00E643CB">
              <w:rPr>
                <w:rFonts w:ascii="Calibri" w:hAnsi="Calibri" w:cs="Calibri"/>
                <w:b/>
              </w:rPr>
              <w:t>Gross income of the unit referred to in section 147(3)</w:t>
            </w:r>
          </w:p>
          <w:p w14:paraId="05E62A7E" w14:textId="50558A40"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2E897EA7" w14:textId="69F8C783"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 xml:space="preserve">The section reference in Sr. no 5 needs to be updated as - </w:t>
            </w:r>
            <w:r w:rsidRPr="00E643CB">
              <w:rPr>
                <w:rFonts w:ascii="Calibri" w:hAnsi="Calibri" w:cs="Calibri"/>
                <w:b/>
              </w:rPr>
              <w:t>Gross income of the unit referred to in section 147(1)</w:t>
            </w:r>
          </w:p>
        </w:tc>
      </w:tr>
      <w:tr w:rsidR="00CC422C" w:rsidRPr="00E643CB" w14:paraId="26C74AE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57018E6"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9B490AB" w14:textId="56A238DE" w:rsidR="00CC422C" w:rsidRPr="0009782B" w:rsidRDefault="00CC422C" w:rsidP="00CC422C">
            <w:pPr>
              <w:spacing w:after="120" w:line="276" w:lineRule="auto"/>
              <w:jc w:val="both"/>
              <w:rPr>
                <w:rFonts w:ascii="Calibri" w:hAnsi="Calibri" w:cs="Calibri"/>
                <w:b/>
              </w:rPr>
            </w:pPr>
            <w:r w:rsidRPr="0009782B">
              <w:rPr>
                <w:rFonts w:ascii="Calibri" w:hAnsi="Calibri" w:cs="Calibri"/>
                <w:b/>
              </w:rPr>
              <w:t>3CEFA, 3CEFB &amp; 3CEFC of the IT Rules, 1962</w:t>
            </w:r>
          </w:p>
          <w:p w14:paraId="63441401" w14:textId="77777777" w:rsidR="00CC422C" w:rsidRPr="0009782B" w:rsidRDefault="00CC422C" w:rsidP="00CC422C">
            <w:pPr>
              <w:spacing w:after="120" w:line="276" w:lineRule="auto"/>
              <w:jc w:val="both"/>
              <w:rPr>
                <w:rFonts w:ascii="Calibri" w:hAnsi="Calibri" w:cs="Calibri"/>
                <w:b/>
              </w:rPr>
            </w:pPr>
          </w:p>
          <w:p w14:paraId="499D219A" w14:textId="18086E6A"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49 of the Draft IT Rules, 2026</w:t>
            </w:r>
          </w:p>
          <w:p w14:paraId="48781695" w14:textId="77777777" w:rsidR="00CC422C" w:rsidRPr="0009782B" w:rsidRDefault="00CC422C" w:rsidP="00CC422C">
            <w:pPr>
              <w:spacing w:after="120" w:line="276" w:lineRule="auto"/>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0070AD37"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B8844F3" w14:textId="16B9450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Clause 10 of Form 49 requires the taxpayer to furnish detailed, entity</w:t>
            </w:r>
            <w:r w:rsidRPr="00E643CB">
              <w:rPr>
                <w:rFonts w:ascii="Calibri" w:hAnsi="Calibri" w:cs="Calibri"/>
              </w:rPr>
              <w:noBreakHyphen/>
              <w:t>wise data for multiple associated enterprises, which entails significant administrative effort and can be highly time</w:t>
            </w:r>
            <w:r w:rsidRPr="00E643CB">
              <w:rPr>
                <w:rFonts w:ascii="Calibri" w:hAnsi="Calibri" w:cs="Calibri"/>
              </w:rPr>
              <w:noBreakHyphen/>
              <w:t>consuming, particularly for taxpayers with complex group structures and a large number of AEs. This requirement would necessitate extensive data collation, reconciliation, and validation across entities, thereby substantially increasing compliance costs and operational burden. Further, such granular information may not serve any meaningful purpose where the taxpayer’s overall margins are within the prescribed safe harbour thresholds. Accordingly, it is recommended that the taxpayer be permitted to report a consolidated margin in lieu of providing AE</w:t>
            </w:r>
            <w:r w:rsidRPr="00E643CB">
              <w:rPr>
                <w:rFonts w:ascii="Calibri" w:hAnsi="Calibri" w:cs="Calibri"/>
              </w:rPr>
              <w:noBreakHyphen/>
              <w:t>wise details.</w:t>
            </w:r>
            <w:r w:rsidRPr="00E643CB">
              <w:rPr>
                <w:rFonts w:ascii="Calibri" w:hAnsi="Calibri" w:cs="Calibri"/>
              </w:rPr>
              <w:br/>
              <w:t>It is our understanding that only the information requested in Form 49 is necessary. Rule 91(13) gives an impression that DGIT Systems may lay down additional documentation requirements. Therefore, it may be recommended to include a clarification reflecting this point in the FAQs.</w:t>
            </w:r>
          </w:p>
          <w:p w14:paraId="250A6BF0"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2881DD2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 49’s Clause 10 requires data for several AEs, which may be administratively burdensome. It is recommended that the assessee be permitted to submit a combined margin.</w:t>
            </w:r>
          </w:p>
          <w:p w14:paraId="4207229A" w14:textId="21D04B2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It may be recommended to include a clarification that only the information requested in Form 49 is necessary for determining SHR eligibility. The information requested in Form 49 is necessary. Rule 91(13) gives an impression that DGIT Systems may lay down additional documentation requirements. Therefore, it may be recommended to include a clarification reflecting this point in the FAQs.</w:t>
            </w:r>
          </w:p>
        </w:tc>
      </w:tr>
      <w:tr w:rsidR="00CC422C" w:rsidRPr="00E643CB" w14:paraId="7F454EC6"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07258E7"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AC3411F"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10-IG (Referred under Rule 21AI of ITA 1961)</w:t>
            </w:r>
          </w:p>
          <w:p w14:paraId="1E252894" w14:textId="77777777" w:rsidR="00CC422C" w:rsidRPr="0009782B" w:rsidRDefault="00CC422C" w:rsidP="00CC422C">
            <w:pPr>
              <w:spacing w:after="120" w:line="276" w:lineRule="auto"/>
              <w:jc w:val="both"/>
              <w:rPr>
                <w:rFonts w:ascii="Calibri" w:hAnsi="Calibri" w:cs="Calibri"/>
                <w:b/>
              </w:rPr>
            </w:pPr>
          </w:p>
          <w:p w14:paraId="6DC98ABB" w14:textId="1292898A"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68 (Referred under Rule 139 of Income-tax Rules 2026)</w:t>
            </w:r>
          </w:p>
        </w:tc>
        <w:tc>
          <w:tcPr>
            <w:tcW w:w="10404" w:type="dxa"/>
            <w:tcBorders>
              <w:top w:val="single" w:sz="4" w:space="0" w:color="auto"/>
              <w:left w:val="single" w:sz="4" w:space="0" w:color="auto"/>
              <w:bottom w:val="single" w:sz="4" w:space="0" w:color="auto"/>
              <w:right w:val="single" w:sz="4" w:space="0" w:color="auto"/>
            </w:tcBorders>
          </w:tcPr>
          <w:p w14:paraId="7D10AEC8"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7108C56E"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 68, requires reporting of  Aggregate of daily ‘assets under Management’ of the Specified Fund held by non-resident unit holders (not being the permanent establishment of a non-resident in India) from the date of acquisition of the capital asset or security to the date of transfer of such capital asset or security to the Aggregate of daily total ‘assets under Management’ of the Specified Fund from the date of acquisition of the capital asset or security to the date of transfer of such capital asset or security for the purpose of computation of Ratio.</w:t>
            </w:r>
          </w:p>
          <w:p w14:paraId="3370BC1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67DC08AA" w14:textId="59197A81"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Necessary guidance should be provided for computation of the ratio in case of open ended fund</w:t>
            </w:r>
          </w:p>
        </w:tc>
      </w:tr>
      <w:tr w:rsidR="00CC422C" w:rsidRPr="00E643CB" w14:paraId="0B50D42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774F7B5" w14:textId="36E6AA10" w:rsidR="00CC422C" w:rsidRPr="00E643CB" w:rsidRDefault="00CC422C" w:rsidP="00CC422C">
            <w:pPr>
              <w:numPr>
                <w:ilvl w:val="0"/>
                <w:numId w:val="2"/>
              </w:numPr>
              <w:spacing w:after="120" w:line="276" w:lineRule="auto"/>
              <w:rPr>
                <w:rFonts w:ascii="Calibri" w:hAnsi="Calibri" w:cs="Calibri"/>
                <w:lang w:bidi="en-US"/>
              </w:rPr>
            </w:pPr>
            <w:r w:rsidRPr="00E643CB">
              <w:rPr>
                <w:rFonts w:ascii="Calibri" w:hAnsi="Calibri" w:cs="Calibri"/>
                <w:lang w:bidi="en-US"/>
              </w:rPr>
              <w:t xml:space="preserve"> </w:t>
            </w:r>
          </w:p>
        </w:tc>
        <w:tc>
          <w:tcPr>
            <w:tcW w:w="2881" w:type="dxa"/>
            <w:tcBorders>
              <w:top w:val="single" w:sz="4" w:space="0" w:color="auto"/>
              <w:left w:val="single" w:sz="4" w:space="0" w:color="auto"/>
              <w:bottom w:val="single" w:sz="4" w:space="0" w:color="auto"/>
              <w:right w:val="single" w:sz="4" w:space="0" w:color="auto"/>
            </w:tcBorders>
          </w:tcPr>
          <w:p w14:paraId="48C88762"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10-IK (Referred under Rule 21AJA of ITA 1961)</w:t>
            </w:r>
          </w:p>
          <w:p w14:paraId="74B1234C" w14:textId="77777777" w:rsidR="00CC422C" w:rsidRPr="0009782B" w:rsidRDefault="00CC422C" w:rsidP="00CC422C">
            <w:pPr>
              <w:spacing w:after="120" w:line="276" w:lineRule="auto"/>
              <w:jc w:val="both"/>
              <w:rPr>
                <w:rFonts w:ascii="Calibri" w:hAnsi="Calibri" w:cs="Calibri"/>
                <w:b/>
              </w:rPr>
            </w:pPr>
          </w:p>
          <w:p w14:paraId="5D4FBF88" w14:textId="0603F9A6"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70 (Referred under Rule 141 of Income-tax Rules 2026)</w:t>
            </w:r>
          </w:p>
        </w:tc>
        <w:tc>
          <w:tcPr>
            <w:tcW w:w="10404" w:type="dxa"/>
            <w:tcBorders>
              <w:top w:val="single" w:sz="4" w:space="0" w:color="auto"/>
              <w:left w:val="single" w:sz="4" w:space="0" w:color="auto"/>
              <w:bottom w:val="single" w:sz="4" w:space="0" w:color="auto"/>
              <w:right w:val="single" w:sz="4" w:space="0" w:color="auto"/>
            </w:tcBorders>
          </w:tcPr>
          <w:p w14:paraId="35D0434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6028B893" w14:textId="63F9D274"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Form 70, in particulars of Sr. no. 9, the word ‘Rule’ is missin</w:t>
            </w:r>
            <w:r>
              <w:rPr>
                <w:rFonts w:ascii="Calibri" w:hAnsi="Calibri" w:cs="Calibri"/>
              </w:rPr>
              <w:t>g</w:t>
            </w:r>
            <w:r w:rsidRPr="00E643CB">
              <w:rPr>
                <w:rFonts w:ascii="Calibri" w:hAnsi="Calibri" w:cs="Calibri"/>
              </w:rPr>
              <w:t>.  Existing description - Whether conditions as mandated by 142 are fulfilled</w:t>
            </w:r>
          </w:p>
          <w:p w14:paraId="3AD72A13"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405D2985" w14:textId="7128D640"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Description should be updated to capture the word ‘Rule’</w:t>
            </w:r>
            <w:r w:rsidRPr="00E643CB">
              <w:rPr>
                <w:rFonts w:ascii="Calibri" w:hAnsi="Calibri" w:cs="Calibri"/>
                <w:bCs/>
              </w:rPr>
              <w:t>.</w:t>
            </w:r>
            <w:r w:rsidRPr="00E643CB">
              <w:rPr>
                <w:rFonts w:ascii="Calibri" w:hAnsi="Calibri" w:cs="Calibri"/>
              </w:rPr>
              <w:t xml:space="preserve"> </w:t>
            </w:r>
          </w:p>
          <w:p w14:paraId="5773AA15" w14:textId="438EA843"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Whether conditions as mandated by Rule 142 are fulfilled</w:t>
            </w:r>
            <w:r w:rsidRPr="00E643CB">
              <w:rPr>
                <w:rFonts w:ascii="Calibri" w:hAnsi="Calibri" w:cs="Calibri"/>
                <w:bCs/>
              </w:rPr>
              <w:t>.</w:t>
            </w:r>
          </w:p>
        </w:tc>
      </w:tr>
      <w:tr w:rsidR="00CC422C" w:rsidRPr="00E643CB" w14:paraId="5D7775D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AB17313"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398EDCD"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Change in Scope of Applicant</w:t>
            </w:r>
          </w:p>
          <w:p w14:paraId="26B25CA5" w14:textId="77777777" w:rsidR="00CC422C" w:rsidRPr="0009782B" w:rsidRDefault="00CC422C" w:rsidP="00CC422C">
            <w:pPr>
              <w:spacing w:after="120" w:line="276" w:lineRule="auto"/>
              <w:jc w:val="both"/>
              <w:rPr>
                <w:rFonts w:ascii="Calibri" w:hAnsi="Calibri" w:cs="Calibri"/>
                <w:b/>
              </w:rPr>
            </w:pPr>
          </w:p>
          <w:p w14:paraId="6A984F83"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6C</w:t>
            </w:r>
          </w:p>
          <w:p w14:paraId="349882CF" w14:textId="0DA6E8A3"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85</w:t>
            </w:r>
          </w:p>
        </w:tc>
        <w:tc>
          <w:tcPr>
            <w:tcW w:w="10404" w:type="dxa"/>
            <w:tcBorders>
              <w:top w:val="single" w:sz="4" w:space="0" w:color="auto"/>
              <w:left w:val="single" w:sz="4" w:space="0" w:color="auto"/>
              <w:bottom w:val="single" w:sz="4" w:space="0" w:color="auto"/>
              <w:right w:val="single" w:sz="4" w:space="0" w:color="auto"/>
            </w:tcBorders>
          </w:tcPr>
          <w:p w14:paraId="402FD31A"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140B8E1"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Scope of applicant in draft Form 85, also extended to Artificial Juridical Person, Government, Trust and LLP, however, Co-operative society has been removed.</w:t>
            </w:r>
          </w:p>
          <w:p w14:paraId="6350A251"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59DF100C" w14:textId="73F6DF07"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Exclusion of Co-operative society appears unintentional in draft Form 85.</w:t>
            </w:r>
          </w:p>
        </w:tc>
      </w:tr>
      <w:tr w:rsidR="00CC422C" w:rsidRPr="00E643CB" w14:paraId="22B3146F"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6E80894"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86DF5CD"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No. 10A</w:t>
            </w:r>
            <w:r w:rsidRPr="0009782B">
              <w:rPr>
                <w:rFonts w:ascii="Calibri" w:hAnsi="Calibri" w:cs="Calibri"/>
                <w:b/>
              </w:rPr>
              <w:br/>
              <w:t>( Under ITA Rules 1962)</w:t>
            </w:r>
          </w:p>
          <w:p w14:paraId="43693A7F"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 xml:space="preserve">Draft Form No. 104 – </w:t>
            </w:r>
          </w:p>
          <w:p w14:paraId="16DC75A1" w14:textId="77777777" w:rsidR="00CC422C" w:rsidRPr="0009782B" w:rsidRDefault="00CC422C" w:rsidP="00CC422C">
            <w:pPr>
              <w:spacing w:after="120" w:line="276" w:lineRule="auto"/>
              <w:jc w:val="both"/>
              <w:rPr>
                <w:rFonts w:ascii="Calibri" w:hAnsi="Calibri" w:cs="Calibri"/>
                <w:b/>
              </w:rPr>
            </w:pPr>
          </w:p>
          <w:p w14:paraId="4E9DEE55" w14:textId="36F602F6" w:rsidR="00CC422C" w:rsidRPr="0009782B" w:rsidRDefault="00CC422C" w:rsidP="00CC422C">
            <w:pPr>
              <w:spacing w:after="120" w:line="276" w:lineRule="auto"/>
              <w:jc w:val="both"/>
              <w:rPr>
                <w:rFonts w:ascii="Calibri" w:hAnsi="Calibri" w:cs="Calibri"/>
                <w:b/>
                <w:u w:val="single"/>
              </w:rPr>
            </w:pPr>
            <w:r w:rsidRPr="0009782B">
              <w:rPr>
                <w:rFonts w:ascii="Calibri" w:hAnsi="Calibri" w:cs="Calibri"/>
                <w:b/>
              </w:rPr>
              <w:t>Application for provisional registration/approval under ITA 2025 (principally linked to sections 332 and 354) for NPOs that have not commenced activities.</w:t>
            </w:r>
          </w:p>
        </w:tc>
        <w:tc>
          <w:tcPr>
            <w:tcW w:w="10404" w:type="dxa"/>
            <w:tcBorders>
              <w:top w:val="single" w:sz="4" w:space="0" w:color="auto"/>
              <w:left w:val="single" w:sz="4" w:space="0" w:color="auto"/>
              <w:bottom w:val="single" w:sz="4" w:space="0" w:color="auto"/>
              <w:right w:val="single" w:sz="4" w:space="0" w:color="auto"/>
            </w:tcBorders>
          </w:tcPr>
          <w:p w14:paraId="623E3A58" w14:textId="61ECD3D0"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44343B4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Form–law mis</w:t>
            </w:r>
            <w:r w:rsidRPr="00E643CB">
              <w:rPr>
                <w:rFonts w:ascii="Cambria Math" w:hAnsi="Cambria Math" w:cs="Cambria Math"/>
              </w:rPr>
              <w:t>‑</w:t>
            </w:r>
            <w:r w:rsidRPr="00E643CB">
              <w:rPr>
                <w:rFonts w:ascii="Calibri" w:hAnsi="Calibri" w:cs="Calibri"/>
              </w:rPr>
              <w:t>alignment due to Finance Bill, 2026 amendment to section 332(1)(f): Finance Bill, 2026 narrows section 332(1)(f) by substituting the wider reference to Schedule VII (Table: Sl. Nos. 10 to 19) with a limited reference to Schedule VII (Table: Sl. Nos. 17 to 19). However, Draft Form 104 continues to retain category codes and options that operationalise the pre</w:t>
            </w:r>
            <w:r w:rsidRPr="00E643CB">
              <w:rPr>
                <w:rFonts w:ascii="Cambria Math" w:hAnsi="Cambria Math" w:cs="Cambria Math"/>
              </w:rPr>
              <w:t>‑</w:t>
            </w:r>
            <w:r w:rsidRPr="00E643CB">
              <w:rPr>
                <w:rFonts w:ascii="Calibri" w:hAnsi="Calibri" w:cs="Calibri"/>
              </w:rPr>
              <w:t>amendment (wider) coverage, and its Notes map applicants and sub</w:t>
            </w:r>
            <w:r w:rsidRPr="00E643CB">
              <w:rPr>
                <w:rFonts w:ascii="Cambria Math" w:hAnsi="Cambria Math" w:cs="Cambria Math"/>
              </w:rPr>
              <w:t>‑</w:t>
            </w:r>
            <w:r w:rsidRPr="00E643CB">
              <w:rPr>
                <w:rFonts w:ascii="Calibri" w:hAnsi="Calibri" w:cs="Calibri"/>
              </w:rPr>
              <w:t>categories beyond Sl. Nos. 17–19. This inconsistency may result in applications being accepted from entities no longer intended to be covered under section 332(1)(f).</w:t>
            </w:r>
          </w:p>
          <w:p w14:paraId="0792E760" w14:textId="52F2F405"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1BCD012E" w14:textId="2E2328B0"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It is recommended to update Draft Form 104 and its instructions to align the eligible category options with the amended scope of section 332(1)(f).</w:t>
            </w:r>
          </w:p>
        </w:tc>
      </w:tr>
      <w:tr w:rsidR="00CC422C" w:rsidRPr="00E643CB" w14:paraId="3B1CCF7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D325C4C"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8386076" w14:textId="77777777" w:rsidR="00CC422C" w:rsidRPr="0009782B" w:rsidRDefault="00CC422C" w:rsidP="00CC422C">
            <w:pPr>
              <w:spacing w:after="120" w:line="276" w:lineRule="auto"/>
              <w:jc w:val="both"/>
              <w:rPr>
                <w:rFonts w:ascii="Calibri" w:hAnsi="Calibri" w:cs="Calibri"/>
                <w:b/>
                <w:lang w:val="en-US"/>
              </w:rPr>
            </w:pPr>
            <w:r w:rsidRPr="0009782B">
              <w:rPr>
                <w:rFonts w:ascii="Calibri" w:hAnsi="Calibri" w:cs="Calibri"/>
                <w:b/>
                <w:lang w:val="en-US"/>
              </w:rPr>
              <w:t>Form No. 10AB</w:t>
            </w:r>
          </w:p>
          <w:p w14:paraId="25D9901F" w14:textId="4DD2927C" w:rsidR="00CC422C" w:rsidRPr="0009782B" w:rsidRDefault="00CC422C" w:rsidP="00CC422C">
            <w:pPr>
              <w:spacing w:after="120" w:line="276" w:lineRule="auto"/>
              <w:jc w:val="both"/>
              <w:rPr>
                <w:rFonts w:ascii="Calibri" w:hAnsi="Calibri" w:cs="Calibri"/>
                <w:b/>
              </w:rPr>
            </w:pPr>
            <w:r w:rsidRPr="0009782B">
              <w:rPr>
                <w:rFonts w:ascii="Calibri" w:hAnsi="Calibri" w:cs="Calibri"/>
                <w:b/>
              </w:rPr>
              <w:t>(Under ITA Rules 1962)</w:t>
            </w:r>
          </w:p>
          <w:p w14:paraId="687C331D" w14:textId="77777777" w:rsidR="00CC422C" w:rsidRPr="0009782B" w:rsidRDefault="00CC422C" w:rsidP="00CC422C">
            <w:pPr>
              <w:spacing w:after="120" w:line="276" w:lineRule="auto"/>
              <w:ind w:left="61"/>
              <w:jc w:val="both"/>
              <w:rPr>
                <w:rFonts w:ascii="Calibri" w:hAnsi="Calibri" w:cs="Calibri"/>
                <w:b/>
                <w:lang w:val="en-US"/>
              </w:rPr>
            </w:pPr>
          </w:p>
          <w:p w14:paraId="200BA7E1" w14:textId="7CCAA9BB" w:rsidR="00CC422C" w:rsidRPr="0009782B" w:rsidRDefault="00CC422C" w:rsidP="00CC422C">
            <w:pPr>
              <w:spacing w:after="120" w:line="276" w:lineRule="auto"/>
              <w:jc w:val="both"/>
              <w:rPr>
                <w:rFonts w:ascii="Calibri" w:hAnsi="Calibri" w:cs="Calibri"/>
                <w:b/>
              </w:rPr>
            </w:pPr>
            <w:r w:rsidRPr="0009782B">
              <w:rPr>
                <w:rFonts w:ascii="Calibri" w:hAnsi="Calibri" w:cs="Calibri"/>
                <w:b/>
              </w:rPr>
              <w:t>Draft Form No. 105 – Application for registration under section 332 / approval under section 133(1)(b)(ii) under ITA 2025 (activities commenced)</w:t>
            </w:r>
          </w:p>
        </w:tc>
        <w:tc>
          <w:tcPr>
            <w:tcW w:w="10404" w:type="dxa"/>
            <w:tcBorders>
              <w:top w:val="single" w:sz="4" w:space="0" w:color="auto"/>
              <w:left w:val="single" w:sz="4" w:space="0" w:color="auto"/>
              <w:bottom w:val="single" w:sz="4" w:space="0" w:color="auto"/>
              <w:right w:val="single" w:sz="4" w:space="0" w:color="auto"/>
            </w:tcBorders>
          </w:tcPr>
          <w:p w14:paraId="7A51E6C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0D26513"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Form–law mis</w:t>
            </w:r>
            <w:r w:rsidRPr="00E643CB">
              <w:rPr>
                <w:rFonts w:ascii="Cambria Math" w:hAnsi="Cambria Math" w:cs="Cambria Math"/>
              </w:rPr>
              <w:t>‑</w:t>
            </w:r>
            <w:r w:rsidRPr="00E643CB">
              <w:rPr>
                <w:rFonts w:ascii="Calibri" w:hAnsi="Calibri" w:cs="Calibri"/>
              </w:rPr>
              <w:t>alignment due to Finance Bill, 2026 amendment to section 332(1)(f): Finance Bill, 2026 narrows section 332(1)(f) by substituting the wider reference to Schedule VII (Table: Sl. Nos. 10 to 19) with a limited reference to Schedule VII (Table: Sl. Nos. 17 to 19). However, Draft Form 105 continues to retain category codes and options that operationalise the pre</w:t>
            </w:r>
            <w:r w:rsidRPr="00E643CB">
              <w:rPr>
                <w:rFonts w:ascii="Cambria Math" w:hAnsi="Cambria Math" w:cs="Cambria Math"/>
              </w:rPr>
              <w:t>‑</w:t>
            </w:r>
            <w:r w:rsidRPr="00E643CB">
              <w:rPr>
                <w:rFonts w:ascii="Calibri" w:hAnsi="Calibri" w:cs="Calibri"/>
              </w:rPr>
              <w:t>amendment (wider) coverage, and its Notes map applicants and sub</w:t>
            </w:r>
            <w:r w:rsidRPr="00E643CB">
              <w:rPr>
                <w:rFonts w:ascii="Cambria Math" w:hAnsi="Cambria Math" w:cs="Cambria Math"/>
              </w:rPr>
              <w:t>‑</w:t>
            </w:r>
            <w:r w:rsidRPr="00E643CB">
              <w:rPr>
                <w:rFonts w:ascii="Calibri" w:hAnsi="Calibri" w:cs="Calibri"/>
              </w:rPr>
              <w:t>categories beyond Sl. Nos. 17–19. This inconsistency may result in applications being accepted from entities no longer intended to be covered under section 332(1)(f).</w:t>
            </w:r>
          </w:p>
          <w:p w14:paraId="561AD55F"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A341529" w14:textId="5D2B3302" w:rsidR="00CC422C" w:rsidRPr="00E643CB" w:rsidRDefault="00CC422C" w:rsidP="00CC422C">
            <w:pPr>
              <w:numPr>
                <w:ilvl w:val="0"/>
                <w:numId w:val="3"/>
              </w:numPr>
              <w:spacing w:after="120" w:line="276" w:lineRule="auto"/>
              <w:rPr>
                <w:rFonts w:ascii="Calibri" w:hAnsi="Calibri" w:cs="Calibri"/>
                <w:lang w:val="en-US"/>
              </w:rPr>
            </w:pPr>
            <w:r w:rsidRPr="00E643CB">
              <w:rPr>
                <w:rFonts w:ascii="Calibri" w:hAnsi="Calibri" w:cs="Calibri"/>
                <w:lang w:val="en-US"/>
              </w:rPr>
              <w:t xml:space="preserve">It is recommended to amend Draft Form 105 and its Notes to restrict eligibility under section 332(1)(f) strictly to Schedule VII (Sl. </w:t>
            </w:r>
            <w:r w:rsidRPr="00E643CB">
              <w:rPr>
                <w:rFonts w:ascii="Calibri" w:hAnsi="Calibri" w:cs="Calibri"/>
              </w:rPr>
              <w:t>Nos</w:t>
            </w:r>
            <w:r w:rsidRPr="00E643CB">
              <w:rPr>
                <w:rFonts w:ascii="Calibri" w:hAnsi="Calibri" w:cs="Calibri"/>
                <w:lang w:val="en-US"/>
              </w:rPr>
              <w:t>. 17–19) and remove references to excluded categories.</w:t>
            </w:r>
          </w:p>
        </w:tc>
      </w:tr>
      <w:tr w:rsidR="00CC422C" w:rsidRPr="00E643CB" w14:paraId="6B465516"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3393AB3"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7F01DFF" w14:textId="77777777" w:rsidR="00CC422C" w:rsidRPr="0009782B" w:rsidRDefault="00CC422C" w:rsidP="00CC422C">
            <w:pPr>
              <w:spacing w:after="120" w:line="276" w:lineRule="auto"/>
              <w:ind w:left="61"/>
              <w:jc w:val="both"/>
              <w:rPr>
                <w:rFonts w:ascii="Calibri" w:hAnsi="Calibri" w:cs="Calibri"/>
                <w:b/>
                <w:lang w:val="en-US"/>
              </w:rPr>
            </w:pPr>
            <w:r w:rsidRPr="0009782B">
              <w:rPr>
                <w:rFonts w:ascii="Calibri" w:hAnsi="Calibri" w:cs="Calibri"/>
                <w:b/>
                <w:lang w:val="en-US"/>
              </w:rPr>
              <w:t>Form 10A and Form 10AB</w:t>
            </w:r>
          </w:p>
          <w:p w14:paraId="158DA385" w14:textId="41BB876B" w:rsidR="00CC422C" w:rsidRPr="0009782B" w:rsidRDefault="00CC422C" w:rsidP="00CC422C">
            <w:pPr>
              <w:spacing w:after="120" w:line="276" w:lineRule="auto"/>
              <w:ind w:left="61"/>
              <w:jc w:val="both"/>
              <w:rPr>
                <w:rFonts w:ascii="Calibri" w:hAnsi="Calibri" w:cs="Calibri"/>
                <w:b/>
                <w:lang w:val="en-US"/>
              </w:rPr>
            </w:pPr>
            <w:r w:rsidRPr="0009782B">
              <w:rPr>
                <w:rFonts w:ascii="Calibri" w:hAnsi="Calibri" w:cs="Calibri"/>
                <w:b/>
              </w:rPr>
              <w:t>Draft Form 104 and Draft Form 105</w:t>
            </w:r>
          </w:p>
        </w:tc>
        <w:tc>
          <w:tcPr>
            <w:tcW w:w="10404" w:type="dxa"/>
            <w:tcBorders>
              <w:top w:val="single" w:sz="4" w:space="0" w:color="auto"/>
              <w:left w:val="single" w:sz="4" w:space="0" w:color="auto"/>
              <w:bottom w:val="single" w:sz="4" w:space="0" w:color="auto"/>
              <w:right w:val="single" w:sz="4" w:space="0" w:color="auto"/>
            </w:tcBorders>
          </w:tcPr>
          <w:p w14:paraId="22ACC051" w14:textId="02BDC36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4D240469"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Forms 104 and 105 presently allow identification of specified persons primarily through PAN, with a limited set of alternative documents where PAN is not available. In contrast, Forms 10A and 10AB permit a broader and more practical set of identification documents, including Aadhaar, and, where PAN or Aadhaar is not available, documents such as Passport, Elector’s Photo Identity Card (EPIC), and other government</w:t>
            </w:r>
            <w:r w:rsidRPr="00E643CB">
              <w:rPr>
                <w:rFonts w:ascii="Cambria Math" w:hAnsi="Cambria Math" w:cs="Cambria Math"/>
              </w:rPr>
              <w:t>‑</w:t>
            </w:r>
            <w:r w:rsidRPr="00E643CB">
              <w:rPr>
                <w:rFonts w:ascii="Calibri" w:hAnsi="Calibri" w:cs="Calibri"/>
              </w:rPr>
              <w:t>issued identifiers. Aadhaar, in particular, is widely accepted across tax, regulatory and digital governance frameworks in India and is commonly used for identity verification in income</w:t>
            </w:r>
            <w:r w:rsidRPr="00E643CB">
              <w:rPr>
                <w:rFonts w:ascii="Cambria Math" w:hAnsi="Cambria Math" w:cs="Cambria Math"/>
              </w:rPr>
              <w:t>‑</w:t>
            </w:r>
            <w:r w:rsidRPr="00E643CB">
              <w:rPr>
                <w:rFonts w:ascii="Calibri" w:hAnsi="Calibri" w:cs="Calibri"/>
              </w:rPr>
              <w:t>tax filings and related compliances. The exclusion of Aadhaar and other commonly accepted IDs in Forms 104 and 105 therefore appears to be an unintended omission.</w:t>
            </w:r>
          </w:p>
          <w:p w14:paraId="56EA5C1A" w14:textId="66FC883C"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5C6EB85" w14:textId="5A009727"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Forms 104 and 105 be updated to harmonise the list of acceptable identification documents with Forms 10A and 10AB.</w:t>
            </w:r>
          </w:p>
        </w:tc>
      </w:tr>
      <w:tr w:rsidR="00CC422C" w:rsidRPr="00E643CB" w14:paraId="3D75F7A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7703E6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434B4B9" w14:textId="77777777"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Non-inclusion of requirement to provide ‘Status’ of Recipient/Payee</w:t>
            </w:r>
          </w:p>
          <w:p w14:paraId="401FE1D3" w14:textId="77777777" w:rsidR="00CC422C" w:rsidRPr="0009782B" w:rsidRDefault="00CC422C" w:rsidP="00CC422C">
            <w:pPr>
              <w:spacing w:after="120" w:line="276" w:lineRule="auto"/>
              <w:ind w:left="61"/>
              <w:jc w:val="both"/>
              <w:rPr>
                <w:rFonts w:ascii="Calibri" w:hAnsi="Calibri" w:cs="Calibri"/>
                <w:b/>
                <w:u w:val="single"/>
                <w:lang w:val="en-US"/>
              </w:rPr>
            </w:pPr>
          </w:p>
          <w:p w14:paraId="640406B0" w14:textId="77777777"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Form 15E</w:t>
            </w:r>
          </w:p>
          <w:p w14:paraId="6817B6EF" w14:textId="3B5F2B6B" w:rsidR="00CC422C" w:rsidRPr="0009782B" w:rsidRDefault="00CC422C" w:rsidP="00CC422C">
            <w:pPr>
              <w:spacing w:after="120" w:line="276" w:lineRule="auto"/>
              <w:ind w:left="61"/>
              <w:jc w:val="both"/>
              <w:rPr>
                <w:rFonts w:ascii="Calibri" w:hAnsi="Calibri" w:cs="Calibri"/>
                <w:b/>
                <w:lang w:val="en-US"/>
              </w:rPr>
            </w:pPr>
            <w:r w:rsidRPr="0009782B">
              <w:rPr>
                <w:rFonts w:ascii="Calibri" w:hAnsi="Calibri" w:cs="Calibri"/>
                <w:b/>
              </w:rPr>
              <w:t>Form 129</w:t>
            </w:r>
          </w:p>
        </w:tc>
        <w:tc>
          <w:tcPr>
            <w:tcW w:w="10404" w:type="dxa"/>
            <w:tcBorders>
              <w:top w:val="single" w:sz="4" w:space="0" w:color="auto"/>
              <w:left w:val="single" w:sz="4" w:space="0" w:color="auto"/>
              <w:bottom w:val="single" w:sz="4" w:space="0" w:color="auto"/>
              <w:right w:val="single" w:sz="4" w:space="0" w:color="auto"/>
            </w:tcBorders>
          </w:tcPr>
          <w:p w14:paraId="22835A6E"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756BFBDD"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As per draft Form 129, the applicant is not required to provide the status of recipient/payee.</w:t>
            </w:r>
          </w:p>
          <w:p w14:paraId="2688437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0D1D8C5" w14:textId="1F6C9B61"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The draft form should be revised to add a column where the status of the recipient/payee can be entered.</w:t>
            </w:r>
          </w:p>
        </w:tc>
      </w:tr>
      <w:tr w:rsidR="00CC422C" w:rsidRPr="00E643CB" w14:paraId="793B436E"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7796A34"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94791A5" w14:textId="19B02C87"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The exemption details to be mentioned in the form</w:t>
            </w:r>
          </w:p>
          <w:p w14:paraId="6DE86C0F" w14:textId="77777777" w:rsidR="00CC422C" w:rsidRPr="0009782B" w:rsidRDefault="00CC422C" w:rsidP="00CC422C">
            <w:pPr>
              <w:spacing w:after="120" w:line="276" w:lineRule="auto"/>
              <w:ind w:left="61"/>
              <w:jc w:val="both"/>
              <w:rPr>
                <w:rFonts w:ascii="Calibri" w:hAnsi="Calibri" w:cs="Calibri"/>
                <w:b/>
                <w:u w:val="single"/>
              </w:rPr>
            </w:pPr>
          </w:p>
          <w:p w14:paraId="05A1407D" w14:textId="77777777" w:rsidR="00CC422C" w:rsidRPr="0009782B" w:rsidRDefault="00CC422C" w:rsidP="00CC422C">
            <w:pPr>
              <w:spacing w:after="120" w:line="276" w:lineRule="auto"/>
              <w:ind w:left="61"/>
              <w:jc w:val="both"/>
              <w:rPr>
                <w:rFonts w:ascii="Calibri" w:hAnsi="Calibri" w:cs="Calibri"/>
                <w:b/>
              </w:rPr>
            </w:pPr>
            <w:r w:rsidRPr="0009782B">
              <w:rPr>
                <w:rFonts w:ascii="Calibri" w:hAnsi="Calibri" w:cs="Calibri"/>
                <w:b/>
              </w:rPr>
              <w:t>Form 31</w:t>
            </w:r>
          </w:p>
          <w:p w14:paraId="37EC45C0" w14:textId="052CD3E8" w:rsidR="00CC422C" w:rsidRPr="0009782B" w:rsidRDefault="00CC422C" w:rsidP="00CC422C">
            <w:pPr>
              <w:spacing w:after="120" w:line="276" w:lineRule="auto"/>
              <w:ind w:left="61"/>
              <w:jc w:val="both"/>
              <w:rPr>
                <w:rFonts w:ascii="Calibri" w:hAnsi="Calibri" w:cs="Calibri"/>
                <w:b/>
                <w:u w:val="single"/>
              </w:rPr>
            </w:pPr>
            <w:r w:rsidRPr="0009782B">
              <w:rPr>
                <w:rFonts w:ascii="Calibri" w:hAnsi="Calibri" w:cs="Calibri"/>
                <w:b/>
              </w:rPr>
              <w:t>Form 158</w:t>
            </w:r>
          </w:p>
        </w:tc>
        <w:tc>
          <w:tcPr>
            <w:tcW w:w="10404" w:type="dxa"/>
            <w:tcBorders>
              <w:top w:val="single" w:sz="4" w:space="0" w:color="auto"/>
              <w:left w:val="single" w:sz="4" w:space="0" w:color="auto"/>
              <w:bottom w:val="single" w:sz="4" w:space="0" w:color="auto"/>
              <w:right w:val="single" w:sz="4" w:space="0" w:color="auto"/>
            </w:tcBorders>
          </w:tcPr>
          <w:p w14:paraId="1424E952"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6F3D98CF" w14:textId="7DD478C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As per the draft Form 158, the applicant is required to provide details of the exemption claimed under any section of the Act. However, there is no clarity regarding which Act this refers to or for what time period the details are to be provided.</w:t>
            </w:r>
          </w:p>
          <w:p w14:paraId="623BEF61"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contrast, the earlier Form 31 did not require applicants to provide any such exemption-related details.</w:t>
            </w:r>
          </w:p>
          <w:p w14:paraId="5113118A"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E3CB010" w14:textId="6012F69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The draft form should clearly specify the Act under which the exemption is to be reported, as well as the time period for which the exemption details are required</w:t>
            </w:r>
          </w:p>
        </w:tc>
      </w:tr>
      <w:tr w:rsidR="00CC422C" w:rsidRPr="00E643CB" w14:paraId="46D7D75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59FCE6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1517BF3" w14:textId="77777777"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61A</w:t>
            </w:r>
          </w:p>
          <w:p w14:paraId="2E0CC02B" w14:textId="5A3AF1DD" w:rsidR="00CC422C" w:rsidRPr="0009782B" w:rsidRDefault="00CC422C" w:rsidP="00CC422C">
            <w:pPr>
              <w:spacing w:after="120" w:line="276" w:lineRule="auto"/>
              <w:jc w:val="both"/>
              <w:rPr>
                <w:rFonts w:ascii="Calibri" w:hAnsi="Calibri" w:cs="Calibri"/>
                <w:b/>
              </w:rPr>
            </w:pPr>
            <w:r w:rsidRPr="0009782B">
              <w:rPr>
                <w:rFonts w:ascii="Calibri" w:hAnsi="Calibri" w:cs="Calibri"/>
                <w:b/>
              </w:rPr>
              <w:t>Form 165</w:t>
            </w:r>
          </w:p>
          <w:p w14:paraId="3A34EF84" w14:textId="77777777" w:rsidR="00CC422C" w:rsidRPr="0009782B" w:rsidRDefault="00CC422C" w:rsidP="00CC422C">
            <w:pPr>
              <w:spacing w:after="120" w:line="276" w:lineRule="auto"/>
              <w:jc w:val="both"/>
              <w:rPr>
                <w:rFonts w:ascii="Calibri" w:hAnsi="Calibri" w:cs="Calibri"/>
                <w:b/>
              </w:rPr>
            </w:pPr>
          </w:p>
          <w:p w14:paraId="1BD55B48" w14:textId="77777777" w:rsidR="00CC422C" w:rsidRPr="0009782B" w:rsidRDefault="00CC422C" w:rsidP="00CC422C">
            <w:pPr>
              <w:spacing w:after="120" w:line="276" w:lineRule="auto"/>
              <w:jc w:val="both"/>
              <w:rPr>
                <w:rFonts w:ascii="Calibri" w:hAnsi="Calibri" w:cs="Calibri"/>
                <w:b/>
              </w:rPr>
            </w:pPr>
          </w:p>
          <w:p w14:paraId="631B9D7D" w14:textId="77777777" w:rsidR="00CC422C" w:rsidRPr="0009782B" w:rsidRDefault="00CC422C" w:rsidP="00CC422C">
            <w:pPr>
              <w:spacing w:after="120" w:line="276" w:lineRule="auto"/>
              <w:jc w:val="both"/>
              <w:rPr>
                <w:rFonts w:ascii="Calibri" w:hAnsi="Calibri" w:cs="Calibri"/>
                <w:b/>
              </w:rPr>
            </w:pPr>
          </w:p>
          <w:p w14:paraId="6EBD1F4D" w14:textId="77777777" w:rsidR="00CC422C" w:rsidRPr="0009782B" w:rsidRDefault="00CC422C" w:rsidP="00CC422C">
            <w:pPr>
              <w:spacing w:after="120" w:line="276" w:lineRule="auto"/>
              <w:ind w:left="61"/>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39EBD563"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2766117B" w14:textId="6B2392C9" w:rsidR="00CC422C" w:rsidRPr="00E643CB" w:rsidRDefault="00CC422C" w:rsidP="00CC422C">
            <w:pPr>
              <w:numPr>
                <w:ilvl w:val="0"/>
                <w:numId w:val="3"/>
              </w:numPr>
              <w:spacing w:after="120" w:line="276" w:lineRule="auto"/>
              <w:rPr>
                <w:rFonts w:ascii="Calibri" w:hAnsi="Calibri" w:cs="Calibri"/>
                <w:color w:val="000000" w:themeColor="text1"/>
              </w:rPr>
            </w:pPr>
            <w:r w:rsidRPr="00E643CB">
              <w:rPr>
                <w:rFonts w:ascii="Calibri" w:hAnsi="Calibri" w:cs="Calibri"/>
                <w:color w:val="000000" w:themeColor="text1"/>
              </w:rPr>
              <w:t xml:space="preserve">As per the existing Rules [section 285BA of ITA 1961 and Rule 114E of the 1962 Rules], reporting of specified financial </w:t>
            </w:r>
            <w:r w:rsidRPr="00E643CB">
              <w:rPr>
                <w:rFonts w:ascii="Calibri" w:hAnsi="Calibri" w:cs="Calibri"/>
              </w:rPr>
              <w:t>transactions</w:t>
            </w:r>
            <w:r w:rsidRPr="00E643CB">
              <w:rPr>
                <w:rFonts w:ascii="Calibri" w:hAnsi="Calibri" w:cs="Calibri"/>
                <w:color w:val="000000" w:themeColor="text1"/>
              </w:rPr>
              <w:t xml:space="preserve"> was based on a single, uniform monetary threshold structure that applied identically to all persons, without distinguishing between PAN</w:t>
            </w:r>
            <w:r w:rsidRPr="00E643CB">
              <w:rPr>
                <w:rFonts w:ascii="Cambria Math" w:hAnsi="Cambria Math" w:cs="Cambria Math"/>
                <w:color w:val="000000" w:themeColor="text1"/>
              </w:rPr>
              <w:t>‑</w:t>
            </w:r>
            <w:r w:rsidRPr="00E643CB">
              <w:rPr>
                <w:rFonts w:ascii="Calibri" w:hAnsi="Calibri" w:cs="Calibri"/>
                <w:color w:val="000000" w:themeColor="text1"/>
              </w:rPr>
              <w:t>holders and non</w:t>
            </w:r>
            <w:r w:rsidRPr="00E643CB">
              <w:rPr>
                <w:rFonts w:ascii="Cambria Math" w:hAnsi="Cambria Math" w:cs="Cambria Math"/>
                <w:color w:val="000000" w:themeColor="text1"/>
              </w:rPr>
              <w:t>‑</w:t>
            </w:r>
            <w:r w:rsidRPr="00E643CB">
              <w:rPr>
                <w:rFonts w:ascii="Calibri" w:hAnsi="Calibri" w:cs="Calibri"/>
                <w:color w:val="000000" w:themeColor="text1"/>
              </w:rPr>
              <w:t>PAN</w:t>
            </w:r>
            <w:r w:rsidRPr="00E643CB">
              <w:rPr>
                <w:rFonts w:ascii="Cambria Math" w:hAnsi="Cambria Math" w:cs="Cambria Math"/>
                <w:color w:val="000000" w:themeColor="text1"/>
              </w:rPr>
              <w:t>‑</w:t>
            </w:r>
            <w:r w:rsidRPr="00E643CB">
              <w:rPr>
                <w:rFonts w:ascii="Calibri" w:hAnsi="Calibri" w:cs="Calibri"/>
                <w:color w:val="000000" w:themeColor="text1"/>
              </w:rPr>
              <w:t>holders.</w:t>
            </w:r>
          </w:p>
          <w:p w14:paraId="0F90637A" w14:textId="77777777" w:rsidR="00CC422C" w:rsidRPr="00E643CB" w:rsidRDefault="00CC422C" w:rsidP="00CC422C">
            <w:pPr>
              <w:numPr>
                <w:ilvl w:val="0"/>
                <w:numId w:val="3"/>
              </w:numPr>
              <w:spacing w:after="120" w:line="276" w:lineRule="auto"/>
              <w:rPr>
                <w:rFonts w:ascii="Calibri" w:hAnsi="Calibri" w:cs="Calibri"/>
                <w:color w:val="000000" w:themeColor="text1"/>
              </w:rPr>
            </w:pPr>
            <w:r w:rsidRPr="00E643CB">
              <w:rPr>
                <w:rFonts w:ascii="Calibri" w:hAnsi="Calibri" w:cs="Calibri"/>
                <w:color w:val="000000" w:themeColor="text1"/>
              </w:rPr>
              <w:t xml:space="preserve">As per the draft Rule </w:t>
            </w:r>
            <w:r w:rsidRPr="00E643CB">
              <w:rPr>
                <w:rFonts w:ascii="Calibri" w:hAnsi="Calibri" w:cs="Calibri"/>
              </w:rPr>
              <w:t>237</w:t>
            </w:r>
            <w:r w:rsidRPr="00E643CB">
              <w:rPr>
                <w:rFonts w:ascii="Calibri" w:hAnsi="Calibri" w:cs="Calibri"/>
                <w:color w:val="000000" w:themeColor="text1"/>
              </w:rPr>
              <w:t xml:space="preserve"> PAN</w:t>
            </w:r>
            <w:r w:rsidRPr="00E643CB">
              <w:rPr>
                <w:rFonts w:ascii="Cambria Math" w:hAnsi="Cambria Math" w:cs="Cambria Math"/>
                <w:color w:val="000000" w:themeColor="text1"/>
              </w:rPr>
              <w:t>‑</w:t>
            </w:r>
            <w:r w:rsidRPr="00E643CB">
              <w:rPr>
                <w:rFonts w:ascii="Calibri" w:hAnsi="Calibri" w:cs="Calibri"/>
                <w:color w:val="000000" w:themeColor="text1"/>
              </w:rPr>
              <w:t>based differential thresholds have been introduced (e.g. cash payments/cash deposits, receipts from sale of foreign currency, etc.), new reportable categories have been added (e.g. purchase of stamp paper, receipt of insurance premium, etc.), widening the scope and threshold for immovable property reporting.</w:t>
            </w:r>
          </w:p>
          <w:p w14:paraId="5C43C535" w14:textId="77777777" w:rsidR="00CC422C" w:rsidRPr="00E643CB" w:rsidRDefault="00CC422C" w:rsidP="00CC422C">
            <w:pPr>
              <w:spacing w:after="120" w:line="276" w:lineRule="auto"/>
              <w:rPr>
                <w:rFonts w:ascii="Calibri" w:hAnsi="Calibri" w:cs="Calibri"/>
                <w:b/>
                <w:color w:val="000000" w:themeColor="text1"/>
              </w:rPr>
            </w:pPr>
            <w:r w:rsidRPr="00E643CB">
              <w:rPr>
                <w:rFonts w:ascii="Calibri" w:hAnsi="Calibri" w:cs="Calibri"/>
                <w:b/>
                <w:color w:val="000000" w:themeColor="text1"/>
              </w:rPr>
              <w:t>Recommendations:</w:t>
            </w:r>
          </w:p>
          <w:p w14:paraId="6866B26C" w14:textId="142F9B2C"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It is recommended to rationalize SFT categories where data is already available with the Government. Reporting should be avoided where transactions are PAN-linked in another system. Inter-departmental data harmonization should be introduced before expanding the scope.</w:t>
            </w:r>
          </w:p>
        </w:tc>
      </w:tr>
      <w:tr w:rsidR="00CC422C" w:rsidRPr="00E643CB" w14:paraId="4697211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E13B2AC"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C660955"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206C(1G) - TCS on Remittance under LRS</w:t>
            </w:r>
          </w:p>
          <w:p w14:paraId="0CF277E2"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TCS not applicable</w:t>
            </w:r>
          </w:p>
          <w:p w14:paraId="5C96FB5D"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33E2D7BE"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394(1) [Table: Sl. No. 7]</w:t>
            </w:r>
          </w:p>
          <w:p w14:paraId="207B62C6"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p w14:paraId="44BA436E" w14:textId="77777777" w:rsidR="00CC422C" w:rsidRPr="0009782B" w:rsidRDefault="00CC422C" w:rsidP="00CC422C">
            <w:pPr>
              <w:spacing w:after="120" w:line="276" w:lineRule="auto"/>
              <w:jc w:val="both"/>
              <w:rPr>
                <w:rFonts w:ascii="Calibri" w:hAnsi="Calibri" w:cs="Calibri"/>
                <w:b/>
              </w:rPr>
            </w:pPr>
          </w:p>
        </w:tc>
        <w:tc>
          <w:tcPr>
            <w:tcW w:w="10404" w:type="dxa"/>
            <w:tcBorders>
              <w:top w:val="single" w:sz="4" w:space="0" w:color="auto"/>
              <w:left w:val="single" w:sz="4" w:space="0" w:color="auto"/>
              <w:bottom w:val="single" w:sz="4" w:space="0" w:color="auto"/>
              <w:right w:val="single" w:sz="4" w:space="0" w:color="auto"/>
            </w:tcBorders>
          </w:tcPr>
          <w:p w14:paraId="32DF1D4F"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0C89EE3D" w14:textId="77777777" w:rsidR="00CC422C" w:rsidRPr="00E643CB" w:rsidRDefault="00CC422C" w:rsidP="00CC422C">
            <w:pPr>
              <w:numPr>
                <w:ilvl w:val="0"/>
                <w:numId w:val="3"/>
              </w:numPr>
              <w:spacing w:after="120" w:line="276" w:lineRule="auto"/>
              <w:rPr>
                <w:rFonts w:ascii="Calibri" w:eastAsia="Times New Roman" w:hAnsi="Calibri" w:cs="Calibri"/>
                <w:b/>
                <w:i/>
                <w:color w:val="000000"/>
                <w:kern w:val="0"/>
                <w:lang w:eastAsia="en-IN"/>
                <w14:ligatures w14:val="none"/>
              </w:rPr>
            </w:pPr>
            <w:r w:rsidRPr="00E643CB">
              <w:rPr>
                <w:rFonts w:ascii="Calibri" w:eastAsia="Times New Roman" w:hAnsi="Calibri" w:cs="Calibri"/>
                <w:color w:val="000000"/>
                <w:kern w:val="0"/>
                <w:lang w:eastAsia="en-IN"/>
                <w14:ligatures w14:val="none"/>
              </w:rPr>
              <w:t>If the amount or aggregate of the amounts being remitted by a buyer is less than 10 lakh rupees in a financial year.</w:t>
            </w:r>
            <w:r w:rsidRPr="00E643CB">
              <w:rPr>
                <w:rFonts w:ascii="Calibri" w:eastAsia="Times New Roman" w:hAnsi="Calibri" w:cs="Calibri"/>
                <w:b/>
                <w:color w:val="000000"/>
                <w:kern w:val="0"/>
                <w:lang w:eastAsia="en-IN"/>
                <w14:ligatures w14:val="none"/>
              </w:rPr>
              <w:t xml:space="preserve"> </w:t>
            </w:r>
            <w:r w:rsidRPr="00E643CB">
              <w:rPr>
                <w:rFonts w:ascii="Calibri" w:eastAsia="Times New Roman" w:hAnsi="Calibri" w:cs="Calibri"/>
                <w:color w:val="000000"/>
                <w:kern w:val="0"/>
                <w:lang w:eastAsia="en-IN"/>
                <w14:ligatures w14:val="none"/>
              </w:rPr>
              <w:t xml:space="preserve">TCS is </w:t>
            </w:r>
            <w:r w:rsidRPr="00E643CB">
              <w:rPr>
                <w:rFonts w:ascii="Calibri" w:hAnsi="Calibri" w:cs="Calibri"/>
              </w:rPr>
              <w:t>applicable</w:t>
            </w:r>
            <w:r w:rsidRPr="00E643CB">
              <w:rPr>
                <w:rFonts w:ascii="Calibri" w:eastAsia="Times New Roman" w:hAnsi="Calibri" w:cs="Calibri"/>
                <w:color w:val="000000"/>
                <w:kern w:val="0"/>
                <w:lang w:eastAsia="en-IN"/>
                <w14:ligatures w14:val="none"/>
              </w:rPr>
              <w:t xml:space="preserve"> on: Remittance under the Liberalised Remittance Scheme of an amount or aggregate of the amounts exceeding 10 lakh rupees.</w:t>
            </w:r>
            <w:r w:rsidRPr="00E643CB">
              <w:rPr>
                <w:rFonts w:ascii="Calibri" w:eastAsia="Times New Roman" w:hAnsi="Calibri" w:cs="Calibri"/>
                <w:color w:val="000000"/>
                <w:kern w:val="0"/>
                <w:lang w:eastAsia="en-IN"/>
                <w14:ligatures w14:val="none"/>
              </w:rPr>
              <w:br/>
              <w:t xml:space="preserve">However, as per Form No. 143 (TCS returns), the description for Code Y (for no collection on Remittances under LRS) is stated as: </w:t>
            </w:r>
            <w:r w:rsidRPr="00E643CB">
              <w:rPr>
                <w:rFonts w:ascii="Calibri" w:eastAsia="Times New Roman" w:hAnsi="Calibri" w:cs="Calibri"/>
                <w:i/>
                <w:color w:val="000000"/>
                <w:kern w:val="0"/>
                <w:lang w:eastAsia="en-IN"/>
                <w14:ligatures w14:val="none"/>
              </w:rPr>
              <w:t>No collection is on account of receipt below threshold limit as specified in section 394(1) [Table: Sl. No. 7].</w:t>
            </w:r>
          </w:p>
          <w:p w14:paraId="5F5F347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38B9AFB9" w14:textId="0B03C36E"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Clarification</w:t>
            </w:r>
            <w:r w:rsidRPr="00E643CB">
              <w:rPr>
                <w:rFonts w:ascii="Calibri" w:eastAsia="Times New Roman" w:hAnsi="Calibri" w:cs="Calibri"/>
                <w:color w:val="000000"/>
                <w:kern w:val="0"/>
                <w:lang w:eastAsia="en-IN"/>
                <w14:ligatures w14:val="none"/>
              </w:rPr>
              <w:t xml:space="preserve"> on TCS applicability on exact amount of 10 lakh rupees on remittance under Liberalised Remittance Scheme.</w:t>
            </w:r>
          </w:p>
        </w:tc>
      </w:tr>
      <w:tr w:rsidR="00CC422C" w:rsidRPr="00E643CB" w14:paraId="2C4EDC1A"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9EB861A"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B8472D4" w14:textId="7BA551B0"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Correction Return</w:t>
            </w:r>
          </w:p>
        </w:tc>
        <w:tc>
          <w:tcPr>
            <w:tcW w:w="10404" w:type="dxa"/>
            <w:tcBorders>
              <w:top w:val="single" w:sz="4" w:space="0" w:color="auto"/>
              <w:left w:val="single" w:sz="4" w:space="0" w:color="auto"/>
              <w:bottom w:val="single" w:sz="4" w:space="0" w:color="auto"/>
              <w:right w:val="single" w:sz="4" w:space="0" w:color="auto"/>
            </w:tcBorders>
          </w:tcPr>
          <w:p w14:paraId="1C3CCA67"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06B9FDC4"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The </w:t>
            </w:r>
            <w:r w:rsidRPr="00E643CB">
              <w:rPr>
                <w:rFonts w:ascii="Calibri" w:hAnsi="Calibri" w:cs="Calibri"/>
              </w:rPr>
              <w:t>provisions</w:t>
            </w:r>
            <w:r w:rsidRPr="00E643CB">
              <w:rPr>
                <w:rFonts w:ascii="Calibri" w:eastAsia="Times New Roman" w:hAnsi="Calibri" w:cs="Calibri"/>
                <w:color w:val="000000"/>
                <w:kern w:val="0"/>
                <w:lang w:eastAsia="en-IN"/>
                <w14:ligatures w14:val="none"/>
              </w:rPr>
              <w:t xml:space="preserve"> of ITA 2025 will take effect from 01</w:t>
            </w:r>
            <w:r w:rsidRPr="00E643CB">
              <w:rPr>
                <w:rFonts w:ascii="Calibri" w:eastAsia="Times New Roman" w:hAnsi="Calibri" w:cs="Calibri"/>
                <w:color w:val="000000"/>
                <w:kern w:val="0"/>
                <w:lang w:eastAsia="en-IN"/>
                <w14:ligatures w14:val="none"/>
              </w:rPr>
              <w:noBreakHyphen/>
              <w:t>04</w:t>
            </w:r>
            <w:r w:rsidRPr="00E643CB">
              <w:rPr>
                <w:rFonts w:ascii="Calibri" w:eastAsia="Times New Roman" w:hAnsi="Calibri" w:cs="Calibri"/>
                <w:color w:val="000000"/>
                <w:kern w:val="0"/>
                <w:lang w:eastAsia="en-IN"/>
                <w14:ligatures w14:val="none"/>
              </w:rPr>
              <w:noBreakHyphen/>
              <w:t>2026, with the first due dates for filing regular TCS and TDS returns falling on 15</w:t>
            </w:r>
            <w:r w:rsidRPr="00E643CB">
              <w:rPr>
                <w:rFonts w:ascii="Calibri" w:eastAsia="Times New Roman" w:hAnsi="Calibri" w:cs="Calibri"/>
                <w:color w:val="000000"/>
                <w:kern w:val="0"/>
                <w:lang w:eastAsia="en-IN"/>
                <w14:ligatures w14:val="none"/>
              </w:rPr>
              <w:noBreakHyphen/>
              <w:t>07</w:t>
            </w:r>
            <w:r w:rsidRPr="00E643CB">
              <w:rPr>
                <w:rFonts w:ascii="Calibri" w:eastAsia="Times New Roman" w:hAnsi="Calibri" w:cs="Calibri"/>
                <w:color w:val="000000"/>
                <w:kern w:val="0"/>
                <w:lang w:eastAsia="en-IN"/>
                <w14:ligatures w14:val="none"/>
              </w:rPr>
              <w:noBreakHyphen/>
              <w:t>2026 and 31</w:t>
            </w:r>
            <w:r w:rsidRPr="00E643CB">
              <w:rPr>
                <w:rFonts w:ascii="Calibri" w:eastAsia="Times New Roman" w:hAnsi="Calibri" w:cs="Calibri"/>
                <w:color w:val="000000"/>
                <w:kern w:val="0"/>
                <w:lang w:eastAsia="en-IN"/>
                <w14:ligatures w14:val="none"/>
              </w:rPr>
              <w:noBreakHyphen/>
              <w:t>07</w:t>
            </w:r>
            <w:r w:rsidRPr="00E643CB">
              <w:rPr>
                <w:rFonts w:ascii="Calibri" w:eastAsia="Times New Roman" w:hAnsi="Calibri" w:cs="Calibri"/>
                <w:color w:val="000000"/>
                <w:kern w:val="0"/>
                <w:lang w:eastAsia="en-IN"/>
                <w14:ligatures w14:val="none"/>
              </w:rPr>
              <w:noBreakHyphen/>
              <w:t>2026 respectively.</w:t>
            </w:r>
          </w:p>
          <w:p w14:paraId="10E62AED"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With the introduction of new section codes in withholding tax return forms, we seek clarification on how this is being </w:t>
            </w:r>
            <w:r w:rsidRPr="00E643CB">
              <w:rPr>
                <w:rFonts w:ascii="Calibri" w:hAnsi="Calibri" w:cs="Calibri"/>
              </w:rPr>
              <w:t>planned</w:t>
            </w:r>
            <w:r w:rsidRPr="00E643CB">
              <w:rPr>
                <w:rFonts w:ascii="Calibri" w:eastAsia="Times New Roman" w:hAnsi="Calibri" w:cs="Calibri"/>
                <w:color w:val="000000"/>
                <w:kern w:val="0"/>
                <w:lang w:eastAsia="en-IN"/>
                <w14:ligatures w14:val="none"/>
              </w:rPr>
              <w:t xml:space="preserve"> to be implemented during the transition period and suggest if there is a mechanism for filing of correction return be allowed to assessess as per old forms till 31 July 2026 as the assessees will need time to update their ERP as per new section codes and get accustomed to new forms.</w:t>
            </w:r>
          </w:p>
          <w:p w14:paraId="08BC4174"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742CB0E" w14:textId="373A8C8F"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 xml:space="preserve">To </w:t>
            </w:r>
            <w:r w:rsidRPr="00E643CB">
              <w:rPr>
                <w:rFonts w:ascii="Calibri" w:hAnsi="Calibri" w:cs="Calibri"/>
              </w:rPr>
              <w:t>reinstate</w:t>
            </w:r>
            <w:r w:rsidRPr="00E643CB">
              <w:rPr>
                <w:rFonts w:ascii="Calibri" w:eastAsia="Times New Roman" w:hAnsi="Calibri" w:cs="Calibri"/>
                <w:color w:val="000000"/>
                <w:kern w:val="0"/>
                <w:lang w:eastAsia="en-IN"/>
                <w14:ligatures w14:val="none"/>
              </w:rPr>
              <w:t xml:space="preserve"> this column, so that it becomes easier for the assessee to trace transactions.</w:t>
            </w:r>
          </w:p>
          <w:p w14:paraId="6336119F" w14:textId="645C0579"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“Deductee Reference Number” field which exists is currently optional and can be made mandatory and used as a common identifier for facilitating reconciliation. Further, we request you to extend its existing length from 10 to 25 characters.</w:t>
            </w:r>
          </w:p>
        </w:tc>
      </w:tr>
      <w:tr w:rsidR="00CC422C" w:rsidRPr="00E643CB" w14:paraId="40AC0E31"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4166D37E"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0CC64A3" w14:textId="1FFCD1DF"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Deductee/Collectee Reference No. in TDS/TCS Returns</w:t>
            </w:r>
          </w:p>
        </w:tc>
        <w:tc>
          <w:tcPr>
            <w:tcW w:w="10404" w:type="dxa"/>
            <w:tcBorders>
              <w:top w:val="single" w:sz="4" w:space="0" w:color="auto"/>
              <w:left w:val="single" w:sz="4" w:space="0" w:color="auto"/>
              <w:bottom w:val="single" w:sz="4" w:space="0" w:color="auto"/>
              <w:right w:val="single" w:sz="4" w:space="0" w:color="auto"/>
            </w:tcBorders>
          </w:tcPr>
          <w:p w14:paraId="5081F211"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F58B0DE" w14:textId="41786111"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Deductee/Collectee Reference No. column to be retained.</w:t>
            </w:r>
          </w:p>
          <w:p w14:paraId="6AD1469F" w14:textId="58CA4960" w:rsidR="00CC422C" w:rsidRPr="00E643CB" w:rsidRDefault="00CC422C" w:rsidP="00CC422C">
            <w:pPr>
              <w:spacing w:after="120" w:line="276" w:lineRule="auto"/>
              <w:rPr>
                <w:rFonts w:ascii="Calibri" w:eastAsia="Times New Roman" w:hAnsi="Calibri" w:cs="Calibri"/>
                <w:b/>
                <w:color w:val="000000"/>
                <w:kern w:val="0"/>
                <w:lang w:eastAsia="en-IN"/>
                <w14:ligatures w14:val="none"/>
              </w:rPr>
            </w:pPr>
            <w:r w:rsidRPr="00E643CB">
              <w:rPr>
                <w:rFonts w:ascii="Calibri" w:eastAsia="Times New Roman" w:hAnsi="Calibri" w:cs="Calibri"/>
                <w:b/>
                <w:color w:val="000000"/>
                <w:kern w:val="0"/>
                <w:lang w:eastAsia="en-IN"/>
                <w14:ligatures w14:val="none"/>
              </w:rPr>
              <w:t>Recommendations:</w:t>
            </w:r>
          </w:p>
          <w:p w14:paraId="52E904D5" w14:textId="4062ACA7"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 xml:space="preserve">To </w:t>
            </w:r>
            <w:r w:rsidRPr="00E643CB">
              <w:rPr>
                <w:rFonts w:ascii="Calibri" w:hAnsi="Calibri" w:cs="Calibri"/>
              </w:rPr>
              <w:t>reinstate</w:t>
            </w:r>
            <w:r w:rsidRPr="00E643CB">
              <w:rPr>
                <w:rFonts w:ascii="Calibri" w:eastAsia="Times New Roman" w:hAnsi="Calibri" w:cs="Calibri"/>
                <w:color w:val="000000"/>
                <w:kern w:val="0"/>
                <w:lang w:eastAsia="en-IN"/>
                <w14:ligatures w14:val="none"/>
              </w:rPr>
              <w:t xml:space="preserve"> this column, so that it becomes easier for the assessee to trace transactions.</w:t>
            </w:r>
          </w:p>
          <w:p w14:paraId="506B3146"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eastAsia="Times New Roman" w:hAnsi="Calibri" w:cs="Calibri"/>
                <w:color w:val="000000"/>
                <w:kern w:val="0"/>
                <w:lang w:eastAsia="en-IN"/>
                <w14:ligatures w14:val="none"/>
              </w:rPr>
              <w:t>“Deductee Reference Number” field which exists is currently optional and can be made mandatory and used as a common identifier for facilitating reconciliation.</w:t>
            </w:r>
          </w:p>
          <w:p w14:paraId="5C3D8F37" w14:textId="0E916463"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Further, we request you to extend its existing length from 10 to 25 characters.</w:t>
            </w:r>
          </w:p>
        </w:tc>
      </w:tr>
      <w:tr w:rsidR="00CC422C" w:rsidRPr="00E643CB" w14:paraId="3B807B8C"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5875C4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BAF1867"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Remarks for inoperative PAN</w:t>
            </w:r>
          </w:p>
          <w:p w14:paraId="24ECD0F0"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5B8B6BF2"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13A5F09D"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There are multiple statuses of PAN i.e., Valid &amp; Operative, Valid &amp; Inoperative and Invalid.</w:t>
            </w:r>
          </w:p>
          <w:p w14:paraId="5AC30E34"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In case </w:t>
            </w:r>
            <w:r w:rsidRPr="00E643CB">
              <w:rPr>
                <w:rFonts w:ascii="Calibri" w:hAnsi="Calibri" w:cs="Calibri"/>
              </w:rPr>
              <w:t>of</w:t>
            </w:r>
            <w:r w:rsidRPr="00E643CB">
              <w:rPr>
                <w:rFonts w:ascii="Calibri" w:eastAsia="Times New Roman" w:hAnsi="Calibri" w:cs="Calibri"/>
                <w:color w:val="000000"/>
                <w:kern w:val="0"/>
                <w:lang w:eastAsia="en-IN"/>
                <w14:ligatures w14:val="none"/>
              </w:rPr>
              <w:t xml:space="preserve"> Valid &amp; Inoperative, it may take up to 30 days for an inoperative PAN (i.e., PAN not linked with Aadhaar) to become operative on Govt Portal once the assessee has linked PAN with Aadhar.</w:t>
            </w:r>
          </w:p>
          <w:p w14:paraId="3BA14565"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Similar fact </w:t>
            </w:r>
            <w:r w:rsidRPr="00E643CB">
              <w:rPr>
                <w:rFonts w:ascii="Calibri" w:hAnsi="Calibri" w:cs="Calibri"/>
              </w:rPr>
              <w:t>pattern</w:t>
            </w:r>
            <w:r w:rsidRPr="00E643CB">
              <w:rPr>
                <w:rFonts w:ascii="Calibri" w:eastAsia="Times New Roman" w:hAnsi="Calibri" w:cs="Calibri"/>
                <w:color w:val="000000"/>
                <w:kern w:val="0"/>
                <w:lang w:eastAsia="en-IN"/>
                <w14:ligatures w14:val="none"/>
              </w:rPr>
              <w:t xml:space="preserve"> we have seen in GST where if there is a concerned around GST registration we get detailed remarks like GSTIN is Active / Inactive/ Cancelled/ Suspended.</w:t>
            </w:r>
          </w:p>
          <w:p w14:paraId="77BFB206"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During this period </w:t>
            </w:r>
            <w:r w:rsidRPr="00E643CB">
              <w:rPr>
                <w:rFonts w:ascii="Calibri" w:hAnsi="Calibri" w:cs="Calibri"/>
              </w:rPr>
              <w:t>of</w:t>
            </w:r>
            <w:r w:rsidRPr="00E643CB">
              <w:rPr>
                <w:rFonts w:ascii="Calibri" w:eastAsia="Times New Roman" w:hAnsi="Calibri" w:cs="Calibri"/>
                <w:color w:val="000000"/>
                <w:kern w:val="0"/>
                <w:lang w:eastAsia="en-IN"/>
                <w14:ligatures w14:val="none"/>
              </w:rPr>
              <w:t xml:space="preserve"> 30 days, if transaction is undertaken, deductors face practical difficulties in terms of deducting TDS and reporting the same.</w:t>
            </w:r>
          </w:p>
          <w:p w14:paraId="6901A408"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2C184E4C" w14:textId="59E87825"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To </w:t>
            </w:r>
            <w:r w:rsidRPr="00E643CB">
              <w:rPr>
                <w:rFonts w:ascii="Calibri" w:eastAsia="Times New Roman" w:hAnsi="Calibri" w:cs="Calibri"/>
                <w:color w:val="000000"/>
                <w:kern w:val="0"/>
                <w:lang w:eastAsia="en-IN"/>
                <w14:ligatures w14:val="none"/>
              </w:rPr>
              <w:t>propose the introduction of a distinct remark specifically for reporting transactions involving inoperative PANs, separate from the current remark ‘C’, which is used for invalid / not available PANs.</w:t>
            </w:r>
          </w:p>
        </w:tc>
      </w:tr>
      <w:tr w:rsidR="00CC422C" w:rsidRPr="00E643CB" w14:paraId="230977D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D40BB95"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22694E0"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15CA / 15CB</w:t>
            </w:r>
          </w:p>
          <w:p w14:paraId="27C098F4" w14:textId="77777777"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eastAsia="Times New Roman" w:hAnsi="Calibri" w:cs="Calibri"/>
                <w:b/>
                <w:color w:val="000000"/>
                <w:kern w:val="0"/>
                <w:lang w:eastAsia="en-IN"/>
                <w14:ligatures w14:val="none"/>
              </w:rPr>
              <w:t>145/146</w:t>
            </w:r>
          </w:p>
          <w:p w14:paraId="07690B37" w14:textId="22B8820A" w:rsidR="00CC422C" w:rsidRPr="0009782B" w:rsidRDefault="00CC422C" w:rsidP="00CC422C">
            <w:pPr>
              <w:spacing w:after="120" w:line="276" w:lineRule="auto"/>
              <w:jc w:val="both"/>
              <w:rPr>
                <w:rFonts w:ascii="Calibri" w:eastAsia="Times New Roman" w:hAnsi="Calibri" w:cs="Calibri"/>
                <w:b/>
                <w:color w:val="000000"/>
                <w:kern w:val="0"/>
                <w:lang w:eastAsia="en-IN"/>
                <w14:ligatures w14:val="none"/>
              </w:rPr>
            </w:pPr>
            <w:r w:rsidRPr="0009782B">
              <w:rPr>
                <w:rFonts w:ascii="Calibri" w:hAnsi="Calibri" w:cs="Calibri"/>
                <w:b/>
              </w:rPr>
              <w:t>Aligning Nature of remittance with RBI purpose code descriptions.</w:t>
            </w:r>
          </w:p>
        </w:tc>
        <w:tc>
          <w:tcPr>
            <w:tcW w:w="10404" w:type="dxa"/>
            <w:tcBorders>
              <w:top w:val="single" w:sz="4" w:space="0" w:color="auto"/>
              <w:left w:val="single" w:sz="4" w:space="0" w:color="auto"/>
              <w:bottom w:val="single" w:sz="4" w:space="0" w:color="auto"/>
              <w:right w:val="single" w:sz="4" w:space="0" w:color="auto"/>
            </w:tcBorders>
          </w:tcPr>
          <w:p w14:paraId="6D3A5AE0"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44CBA6ED" w14:textId="77777777" w:rsidR="00CC422C" w:rsidRPr="00E643CB" w:rsidRDefault="00CC422C" w:rsidP="00CC422C">
            <w:pPr>
              <w:numPr>
                <w:ilvl w:val="0"/>
                <w:numId w:val="3"/>
              </w:numPr>
              <w:spacing w:after="120" w:line="276" w:lineRule="auto"/>
              <w:rPr>
                <w:rFonts w:ascii="Calibri" w:eastAsia="Times New Roman" w:hAnsi="Calibri" w:cs="Calibri"/>
                <w:color w:val="000000"/>
                <w:kern w:val="0"/>
                <w:lang w:eastAsia="en-IN"/>
                <w14:ligatures w14:val="none"/>
              </w:rPr>
            </w:pPr>
            <w:r w:rsidRPr="00E643CB">
              <w:rPr>
                <w:rFonts w:ascii="Calibri" w:eastAsia="Times New Roman" w:hAnsi="Calibri" w:cs="Calibri"/>
                <w:color w:val="000000"/>
                <w:kern w:val="0"/>
                <w:lang w:eastAsia="en-IN"/>
                <w14:ligatures w14:val="none"/>
              </w:rPr>
              <w:t xml:space="preserve">Consistency </w:t>
            </w:r>
            <w:r w:rsidRPr="00E643CB">
              <w:rPr>
                <w:rFonts w:ascii="Calibri" w:hAnsi="Calibri" w:cs="Calibri"/>
              </w:rPr>
              <w:t>between</w:t>
            </w:r>
            <w:r w:rsidRPr="00E643CB">
              <w:rPr>
                <w:rFonts w:ascii="Calibri" w:eastAsia="Times New Roman" w:hAnsi="Calibri" w:cs="Calibri"/>
                <w:color w:val="000000"/>
                <w:kern w:val="0"/>
                <w:lang w:eastAsia="en-IN"/>
                <w14:ligatures w14:val="none"/>
              </w:rPr>
              <w:t xml:space="preserve"> nature of remittance and description for RBI Purpose Code</w:t>
            </w:r>
          </w:p>
          <w:p w14:paraId="228D45A0"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63DFFD68" w14:textId="27D24A20" w:rsidR="00CC422C" w:rsidRPr="00E643CB" w:rsidRDefault="00CC422C" w:rsidP="00CC422C">
            <w:pPr>
              <w:numPr>
                <w:ilvl w:val="0"/>
                <w:numId w:val="3"/>
              </w:numPr>
              <w:spacing w:after="120" w:line="276" w:lineRule="auto"/>
              <w:rPr>
                <w:rFonts w:ascii="Calibri" w:hAnsi="Calibri" w:cs="Calibri"/>
                <w:b/>
              </w:rPr>
            </w:pPr>
            <w:r w:rsidRPr="00E643CB">
              <w:rPr>
                <w:rFonts w:ascii="Calibri" w:eastAsia="Times New Roman" w:hAnsi="Calibri" w:cs="Calibri"/>
                <w:color w:val="000000"/>
                <w:kern w:val="0"/>
                <w:lang w:eastAsia="en-IN"/>
                <w14:ligatures w14:val="none"/>
              </w:rPr>
              <w:t xml:space="preserve">Since both the nature of remittance and the RBI purpose code are mandatory fields in Form 145 (formerly Form 15CA), the nature of </w:t>
            </w:r>
            <w:r w:rsidRPr="00E643CB">
              <w:rPr>
                <w:rFonts w:ascii="Calibri" w:hAnsi="Calibri" w:cs="Calibri"/>
              </w:rPr>
              <w:t>remittance</w:t>
            </w:r>
            <w:r w:rsidRPr="00E643CB">
              <w:rPr>
                <w:rFonts w:ascii="Calibri" w:eastAsia="Times New Roman" w:hAnsi="Calibri" w:cs="Calibri"/>
                <w:color w:val="000000"/>
                <w:kern w:val="0"/>
                <w:lang w:eastAsia="en-IN"/>
                <w14:ligatures w14:val="none"/>
              </w:rPr>
              <w:t xml:space="preserve"> be provided through a standardized dropdown aligned with the RBI purpose code descriptions. This will ensure consistency and facilitate accurate reporting.</w:t>
            </w:r>
          </w:p>
        </w:tc>
      </w:tr>
      <w:tr w:rsidR="00CC422C" w:rsidRPr="00E643CB" w14:paraId="13C3D61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2CED2334"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E0340C5" w14:textId="77777777" w:rsidR="00CC422C" w:rsidRPr="0009782B" w:rsidRDefault="00CC422C" w:rsidP="00CC422C">
            <w:pPr>
              <w:spacing w:after="120" w:line="276" w:lineRule="auto"/>
              <w:jc w:val="both"/>
              <w:rPr>
                <w:rFonts w:ascii="Calibri" w:eastAsia="Times New Roman" w:hAnsi="Calibri" w:cs="Calibri"/>
                <w:b/>
                <w:color w:val="353435"/>
                <w:lang w:eastAsia="en-IN"/>
              </w:rPr>
            </w:pPr>
            <w:r w:rsidRPr="0009782B">
              <w:rPr>
                <w:rFonts w:ascii="Calibri" w:eastAsia="Times New Roman" w:hAnsi="Calibri" w:cs="Calibri"/>
                <w:b/>
                <w:color w:val="353435"/>
                <w:lang w:eastAsia="en-IN"/>
              </w:rPr>
              <w:t>Form 36 of Old Form – Appeal to Appellate Tribunal</w:t>
            </w:r>
          </w:p>
          <w:p w14:paraId="2DD873A6" w14:textId="77777777" w:rsidR="00CC422C" w:rsidRPr="0009782B" w:rsidRDefault="00CC422C" w:rsidP="00CC422C">
            <w:pPr>
              <w:spacing w:after="120" w:line="276" w:lineRule="auto"/>
              <w:jc w:val="both"/>
              <w:rPr>
                <w:rFonts w:ascii="Calibri" w:eastAsia="Times New Roman" w:hAnsi="Calibri" w:cs="Calibri"/>
                <w:b/>
                <w:color w:val="353435"/>
                <w:lang w:eastAsia="en-IN"/>
              </w:rPr>
            </w:pPr>
          </w:p>
          <w:p w14:paraId="63D975FA" w14:textId="77777777" w:rsidR="00CC422C" w:rsidRPr="0009782B" w:rsidRDefault="00CC422C" w:rsidP="00CC422C">
            <w:pPr>
              <w:spacing w:after="120" w:line="276" w:lineRule="auto"/>
              <w:jc w:val="both"/>
              <w:rPr>
                <w:rFonts w:ascii="Calibri" w:eastAsia="Times New Roman" w:hAnsi="Calibri" w:cs="Calibri"/>
                <w:b/>
                <w:color w:val="353435"/>
                <w:lang w:eastAsia="en-IN"/>
              </w:rPr>
            </w:pPr>
            <w:r w:rsidRPr="0009782B">
              <w:rPr>
                <w:rFonts w:ascii="Calibri" w:eastAsia="Times New Roman" w:hAnsi="Calibri" w:cs="Calibri"/>
                <w:b/>
                <w:color w:val="353435"/>
                <w:lang w:eastAsia="en-IN"/>
              </w:rPr>
              <w:t>Form 115 of the New Draft Forms – Appeal to Appellate Tribunal</w:t>
            </w:r>
          </w:p>
          <w:p w14:paraId="3C4CD537" w14:textId="77777777" w:rsidR="00CC422C" w:rsidRPr="0009782B" w:rsidRDefault="00CC422C" w:rsidP="00CC422C">
            <w:pPr>
              <w:spacing w:after="120" w:line="276" w:lineRule="auto"/>
              <w:jc w:val="both"/>
              <w:rPr>
                <w:rFonts w:ascii="Calibri" w:eastAsia="Times New Roman" w:hAnsi="Calibri" w:cs="Calibri"/>
                <w:b/>
                <w:color w:val="353435"/>
                <w:lang w:eastAsia="en-IN"/>
              </w:rPr>
            </w:pPr>
          </w:p>
          <w:p w14:paraId="206C4C5F" w14:textId="18426BEB" w:rsidR="00CC422C" w:rsidRPr="0009782B" w:rsidRDefault="00CC422C" w:rsidP="00CC422C">
            <w:pPr>
              <w:spacing w:after="120" w:line="276" w:lineRule="auto"/>
              <w:jc w:val="both"/>
              <w:rPr>
                <w:rFonts w:ascii="Calibri" w:eastAsia="Times New Roman" w:hAnsi="Calibri" w:cs="Calibri"/>
                <w:b/>
                <w:color w:val="353435"/>
                <w:lang w:eastAsia="en-IN"/>
              </w:rPr>
            </w:pPr>
          </w:p>
        </w:tc>
        <w:tc>
          <w:tcPr>
            <w:tcW w:w="10404" w:type="dxa"/>
            <w:tcBorders>
              <w:top w:val="single" w:sz="4" w:space="0" w:color="auto"/>
              <w:left w:val="single" w:sz="4" w:space="0" w:color="auto"/>
              <w:bottom w:val="single" w:sz="4" w:space="0" w:color="auto"/>
              <w:right w:val="single" w:sz="4" w:space="0" w:color="auto"/>
            </w:tcBorders>
          </w:tcPr>
          <w:p w14:paraId="629AD82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347FED0C" w14:textId="4EC59CC4" w:rsidR="00CC422C" w:rsidRPr="00E643CB" w:rsidRDefault="00CC422C" w:rsidP="00CC422C">
            <w:pPr>
              <w:numPr>
                <w:ilvl w:val="0"/>
                <w:numId w:val="3"/>
              </w:numPr>
              <w:spacing w:after="120" w:line="276" w:lineRule="auto"/>
              <w:rPr>
                <w:rFonts w:ascii="Calibri" w:eastAsia="Times New Roman" w:hAnsi="Calibri" w:cs="Calibri"/>
                <w:color w:val="353435"/>
                <w:lang w:eastAsia="en-IN"/>
              </w:rPr>
            </w:pPr>
            <w:r w:rsidRPr="00E643CB">
              <w:rPr>
                <w:rFonts w:ascii="Calibri" w:eastAsia="Times New Roman" w:hAnsi="Calibri" w:cs="Calibri"/>
                <w:color w:val="353435"/>
                <w:lang w:eastAsia="en-IN"/>
              </w:rPr>
              <w:t xml:space="preserve">Recently, </w:t>
            </w:r>
            <w:r w:rsidRPr="00E643CB">
              <w:rPr>
                <w:rFonts w:ascii="Calibri" w:hAnsi="Calibri" w:cs="Calibri"/>
              </w:rPr>
              <w:t>certain</w:t>
            </w:r>
            <w:r w:rsidRPr="00E643CB">
              <w:rPr>
                <w:rFonts w:ascii="Calibri" w:eastAsia="Times New Roman" w:hAnsi="Calibri" w:cs="Calibri"/>
                <w:color w:val="353435"/>
                <w:lang w:eastAsia="en-IN"/>
              </w:rPr>
              <w:t xml:space="preserve"> amendments have been notified to the Income-tax (Appellate Tribunal) Rules, 1963, in the Gazette vide notification No. 71-Ad(AT)/2025 dated 19</w:t>
            </w:r>
            <w:r w:rsidRPr="00E643CB">
              <w:rPr>
                <w:rFonts w:ascii="Calibri" w:eastAsia="Times New Roman" w:hAnsi="Calibri" w:cs="Calibri"/>
                <w:color w:val="353435"/>
                <w:vertAlign w:val="superscript"/>
                <w:lang w:eastAsia="en-IN"/>
              </w:rPr>
              <w:t>th</w:t>
            </w:r>
            <w:r w:rsidRPr="00E643CB">
              <w:rPr>
                <w:rFonts w:ascii="Calibri" w:eastAsia="Times New Roman" w:hAnsi="Calibri" w:cs="Calibri"/>
                <w:color w:val="353435"/>
                <w:lang w:eastAsia="en-IN"/>
              </w:rPr>
              <w:t xml:space="preserve"> December 2025 wherein changes have been made to the number of sets of Memorandum of appeal to be submitted, number of copies and orders to be </w:t>
            </w:r>
            <w:r w:rsidRPr="00E643CB">
              <w:rPr>
                <w:rFonts w:ascii="Calibri" w:hAnsi="Calibri" w:cs="Calibri"/>
              </w:rPr>
              <w:t>enclosed</w:t>
            </w:r>
            <w:r w:rsidRPr="00E643CB">
              <w:rPr>
                <w:rFonts w:ascii="Calibri" w:eastAsia="Times New Roman" w:hAnsi="Calibri" w:cs="Calibri"/>
                <w:color w:val="353435"/>
                <w:lang w:eastAsia="en-IN"/>
              </w:rPr>
              <w:t xml:space="preserve"> with memorandum</w:t>
            </w:r>
          </w:p>
          <w:p w14:paraId="60429C40" w14:textId="77777777" w:rsidR="00CC422C" w:rsidRPr="00E643CB" w:rsidRDefault="00CC422C" w:rsidP="00CC422C">
            <w:pPr>
              <w:numPr>
                <w:ilvl w:val="0"/>
                <w:numId w:val="3"/>
              </w:numPr>
              <w:spacing w:after="120" w:line="276" w:lineRule="auto"/>
              <w:rPr>
                <w:rFonts w:ascii="Calibri" w:eastAsia="Times New Roman" w:hAnsi="Calibri" w:cs="Calibri"/>
                <w:color w:val="353435"/>
                <w:lang w:eastAsia="en-IN"/>
              </w:rPr>
            </w:pPr>
            <w:r w:rsidRPr="00E643CB">
              <w:rPr>
                <w:rFonts w:ascii="Calibri" w:eastAsia="Times New Roman" w:hAnsi="Calibri" w:cs="Calibri"/>
                <w:color w:val="353435"/>
                <w:lang w:eastAsia="en-IN"/>
              </w:rPr>
              <w:t>The notes to the New Draft Form 115 prescribes enclosure if two copies of orders and other documents as existed prior to notification of the recent ITAT amendment rules.</w:t>
            </w:r>
          </w:p>
          <w:p w14:paraId="2587814C"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75BAA11D" w14:textId="14EEF3B9" w:rsidR="00CC422C" w:rsidRPr="00E643CB" w:rsidRDefault="00CC422C" w:rsidP="00CC422C">
            <w:pPr>
              <w:numPr>
                <w:ilvl w:val="0"/>
                <w:numId w:val="3"/>
              </w:numPr>
              <w:spacing w:after="120" w:line="276" w:lineRule="auto"/>
              <w:rPr>
                <w:rFonts w:ascii="Calibri" w:hAnsi="Calibri" w:cs="Calibri"/>
                <w:b/>
              </w:rPr>
            </w:pPr>
            <w:r w:rsidRPr="00E643CB">
              <w:rPr>
                <w:rFonts w:ascii="Calibri" w:eastAsia="Times New Roman" w:hAnsi="Calibri" w:cs="Calibri"/>
                <w:color w:val="353435"/>
                <w:lang w:eastAsia="en-IN"/>
              </w:rPr>
              <w:t xml:space="preserve">It is suggested to </w:t>
            </w:r>
            <w:r w:rsidRPr="00E643CB">
              <w:rPr>
                <w:rFonts w:ascii="Calibri" w:hAnsi="Calibri" w:cs="Calibri"/>
              </w:rPr>
              <w:t>align</w:t>
            </w:r>
            <w:r w:rsidRPr="00E643CB">
              <w:rPr>
                <w:rFonts w:ascii="Calibri" w:eastAsia="Times New Roman" w:hAnsi="Calibri" w:cs="Calibri"/>
                <w:color w:val="353435"/>
                <w:lang w:eastAsia="en-IN"/>
              </w:rPr>
              <w:t xml:space="preserve"> the Notes to new Form 115 in line with ITAT amendment rules notified on 19</w:t>
            </w:r>
            <w:r w:rsidRPr="00E643CB">
              <w:rPr>
                <w:rFonts w:ascii="Calibri" w:eastAsia="Times New Roman" w:hAnsi="Calibri" w:cs="Calibri"/>
                <w:color w:val="353435"/>
                <w:vertAlign w:val="superscript"/>
                <w:lang w:eastAsia="en-IN"/>
              </w:rPr>
              <w:t>th</w:t>
            </w:r>
            <w:r w:rsidRPr="00E643CB">
              <w:rPr>
                <w:rFonts w:ascii="Calibri" w:eastAsia="Times New Roman" w:hAnsi="Calibri" w:cs="Calibri"/>
                <w:color w:val="353435"/>
                <w:lang w:eastAsia="en-IN"/>
              </w:rPr>
              <w:t xml:space="preserve"> December 2025.</w:t>
            </w:r>
          </w:p>
        </w:tc>
      </w:tr>
      <w:tr w:rsidR="00CC422C" w:rsidRPr="00E643CB" w14:paraId="3F10B5E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945461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B852960" w14:textId="77777777" w:rsidR="00CC422C" w:rsidRPr="00CF50A7" w:rsidRDefault="00CC422C" w:rsidP="00CC422C">
            <w:pPr>
              <w:spacing w:after="120" w:line="276" w:lineRule="auto"/>
              <w:jc w:val="both"/>
              <w:rPr>
                <w:rFonts w:ascii="Calibri" w:hAnsi="Calibri" w:cs="Calibri"/>
                <w:b/>
              </w:rPr>
            </w:pPr>
            <w:r w:rsidRPr="00CF50A7">
              <w:rPr>
                <w:rFonts w:ascii="Calibri" w:hAnsi="Calibri" w:cs="Calibri"/>
                <w:b/>
              </w:rPr>
              <w:t>Rule 159 of draft IT rules 2026 (Rule 114B of IT rules 1962)</w:t>
            </w:r>
          </w:p>
          <w:p w14:paraId="2B57BAE2" w14:textId="77777777" w:rsidR="00CC422C" w:rsidRPr="0009782B" w:rsidRDefault="00CC422C" w:rsidP="00CC422C">
            <w:pPr>
              <w:spacing w:after="120" w:line="276" w:lineRule="auto"/>
              <w:jc w:val="both"/>
              <w:rPr>
                <w:rFonts w:ascii="Calibri" w:hAnsi="Calibri" w:cs="Calibri"/>
                <w:b/>
                <w:u w:val="single"/>
              </w:rPr>
            </w:pPr>
          </w:p>
          <w:p w14:paraId="219EF28B" w14:textId="4732D3BD" w:rsidR="00CC422C" w:rsidRPr="0009782B" w:rsidRDefault="00CC422C" w:rsidP="00CC422C">
            <w:pPr>
              <w:spacing w:after="120" w:line="276" w:lineRule="auto"/>
              <w:jc w:val="both"/>
              <w:rPr>
                <w:rFonts w:ascii="Calibri" w:hAnsi="Calibri" w:cs="Calibri"/>
                <w:b/>
                <w:u w:val="single"/>
              </w:rPr>
            </w:pPr>
          </w:p>
        </w:tc>
        <w:tc>
          <w:tcPr>
            <w:tcW w:w="10404" w:type="dxa"/>
            <w:tcBorders>
              <w:top w:val="single" w:sz="4" w:space="0" w:color="auto"/>
              <w:left w:val="single" w:sz="4" w:space="0" w:color="auto"/>
              <w:bottom w:val="single" w:sz="4" w:space="0" w:color="auto"/>
              <w:right w:val="single" w:sz="4" w:space="0" w:color="auto"/>
            </w:tcBorders>
          </w:tcPr>
          <w:p w14:paraId="7EA32762"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0562264E" w14:textId="6FC79EBD"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Rule 159 prescribes a list of transactions in respect of which quoting of PAN is mandatory. Rule 159 is parallel to Rule 114B of IT rules 1962.</w:t>
            </w:r>
          </w:p>
          <w:p w14:paraId="1AAFB78F"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Rule 114B interalia requires quoting of PAN in case of payment for life insurance exceeding INR 50,000 in a tax year. The new rule 159 however requires quoting of PAN on commencement of account based relationship with insurer without any threshold limits in respect of the premium paid.</w:t>
            </w:r>
          </w:p>
          <w:p w14:paraId="2A750281" w14:textId="66F85FD9"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With enhanced government focus to ensure that insurance coverage is extended to every person in India, more and more people would now take up insurance. Under the proposed rules all such persons would be required to quote PAN which would lead to a case that even rural and small consumers of insurance service may be required to obtain PAN, even in case where otherwise they earn income which may either have income below maximum taxable limit or may have income which may not be taxable in India.</w:t>
            </w:r>
          </w:p>
          <w:p w14:paraId="65EDE734" w14:textId="3AC54B1B"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In general, small Taxpayers who have very small income or in case of Taxpayers earning only exempt income say like agricultural income would not be required to file income tax return and may not have applied for PAN. If such persons avail the insurance service, they will have to submit Form 60 giving the particulars of the transaction. Thus, the amended Rule 159 creates onerous compliance burden for small taxpayers.</w:t>
            </w:r>
          </w:p>
          <w:p w14:paraId="0B667F2B" w14:textId="6214C45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69CB8095" w14:textId="3D6DDD08" w:rsidR="00CC422C" w:rsidRPr="00E643CB" w:rsidRDefault="00CC422C" w:rsidP="00CC422C">
            <w:pPr>
              <w:numPr>
                <w:ilvl w:val="0"/>
                <w:numId w:val="3"/>
              </w:numPr>
              <w:spacing w:after="120" w:line="276" w:lineRule="auto"/>
              <w:rPr>
                <w:rFonts w:ascii="Calibri" w:hAnsi="Calibri" w:cs="Calibri"/>
                <w:b/>
              </w:rPr>
            </w:pPr>
            <w:r w:rsidRPr="00E643CB">
              <w:rPr>
                <w:rFonts w:ascii="Calibri" w:hAnsi="Calibri" w:cs="Calibri"/>
              </w:rPr>
              <w:t>Thus, as one option threshold limit may be introduced for collecting PAN from policyholders. As another option, specific set of customers may be excluded from PAN requirement.</w:t>
            </w:r>
          </w:p>
        </w:tc>
      </w:tr>
      <w:tr w:rsidR="00CC422C" w:rsidRPr="00532E7E" w14:paraId="5ADFBFB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1A77399"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680A9AD" w14:textId="135078AC" w:rsidR="00CC422C" w:rsidRPr="00CF50A7" w:rsidRDefault="00CC422C" w:rsidP="00CC422C">
            <w:pPr>
              <w:spacing w:after="120" w:line="276" w:lineRule="auto"/>
              <w:jc w:val="both"/>
              <w:rPr>
                <w:rFonts w:ascii="Calibri" w:hAnsi="Calibri" w:cs="Calibri"/>
                <w:b/>
              </w:rPr>
            </w:pPr>
            <w:r w:rsidRPr="00CF50A7">
              <w:rPr>
                <w:rFonts w:ascii="Calibri" w:hAnsi="Calibri" w:cs="Calibri"/>
                <w:b/>
              </w:rPr>
              <w:t>“Merchant banker” definition in draft Income Tax Rules 2026</w:t>
            </w:r>
          </w:p>
          <w:p w14:paraId="00FA2B64" w14:textId="77777777" w:rsidR="00CC422C" w:rsidRPr="0009782B" w:rsidRDefault="00CC422C" w:rsidP="00CC422C">
            <w:pPr>
              <w:spacing w:after="120" w:line="276" w:lineRule="auto"/>
              <w:jc w:val="both"/>
              <w:rPr>
                <w:rFonts w:ascii="Calibri" w:hAnsi="Calibri" w:cs="Calibri"/>
                <w:b/>
                <w:u w:val="single"/>
              </w:rPr>
            </w:pPr>
          </w:p>
          <w:p w14:paraId="200A953E" w14:textId="77777777" w:rsidR="00CC422C" w:rsidRPr="0009782B" w:rsidRDefault="00CC422C" w:rsidP="00CC422C">
            <w:pPr>
              <w:spacing w:after="120" w:line="276" w:lineRule="auto"/>
              <w:jc w:val="both"/>
              <w:rPr>
                <w:rFonts w:ascii="Calibri" w:hAnsi="Calibri" w:cs="Calibri"/>
                <w:b/>
                <w:u w:val="single"/>
              </w:rPr>
            </w:pPr>
          </w:p>
        </w:tc>
        <w:tc>
          <w:tcPr>
            <w:tcW w:w="10404" w:type="dxa"/>
            <w:tcBorders>
              <w:top w:val="single" w:sz="4" w:space="0" w:color="auto"/>
              <w:left w:val="single" w:sz="4" w:space="0" w:color="auto"/>
              <w:bottom w:val="single" w:sz="4" w:space="0" w:color="auto"/>
              <w:right w:val="single" w:sz="4" w:space="0" w:color="auto"/>
            </w:tcBorders>
          </w:tcPr>
          <w:p w14:paraId="33339DD5"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Rationale:</w:t>
            </w:r>
          </w:p>
          <w:p w14:paraId="5E3ACCA5"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drat Income Tax Rules, 2026 provide for valuation of shares and other assets by Category I Merchant Banker (MB) regulated under SEBI Guidelines. These provisions have been carried over from Income-tax Rules 1962. For this purpose, “merchant banker” is defined to mean </w:t>
            </w:r>
            <w:r w:rsidRPr="00E643CB">
              <w:rPr>
                <w:rFonts w:ascii="Calibri" w:hAnsi="Calibri" w:cs="Calibri"/>
                <w:b/>
              </w:rPr>
              <w:t>Category I</w:t>
            </w:r>
            <w:r w:rsidRPr="00E643CB">
              <w:rPr>
                <w:rFonts w:ascii="Calibri" w:hAnsi="Calibri" w:cs="Calibri"/>
              </w:rPr>
              <w:t xml:space="preserve"> merchant banker registered with SEBI. </w:t>
            </w:r>
          </w:p>
          <w:p w14:paraId="10C9AEBC"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Recent amendments have been made by SEBI to the Merchant Bankers Regulations, 1992 titled SEBI (Merchant Bankers) (Amendment) Regulations, 2025 which have been published in Gazette of India and made effective from 02 January 2026. </w:t>
            </w:r>
          </w:p>
          <w:p w14:paraId="24411F24"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Under these amendments, SEBI has classified MBs under two categories:</w:t>
            </w:r>
          </w:p>
          <w:p w14:paraId="71546E6F" w14:textId="77777777" w:rsidR="00CC422C" w:rsidRPr="00E643CB" w:rsidRDefault="00CC422C" w:rsidP="00CC422C">
            <w:pPr>
              <w:pStyle w:val="ListParagraph"/>
              <w:numPr>
                <w:ilvl w:val="0"/>
                <w:numId w:val="27"/>
              </w:numPr>
              <w:spacing w:before="120" w:after="120" w:line="276" w:lineRule="auto"/>
              <w:ind w:left="1325" w:hanging="426"/>
              <w:contextualSpacing w:val="0"/>
              <w:jc w:val="both"/>
              <w:rPr>
                <w:rFonts w:ascii="Calibri" w:hAnsi="Calibri" w:cs="Calibri"/>
              </w:rPr>
            </w:pPr>
            <w:r w:rsidRPr="00E643CB">
              <w:rPr>
                <w:rFonts w:ascii="Calibri" w:hAnsi="Calibri" w:cs="Calibri"/>
                <w:b/>
              </w:rPr>
              <w:t xml:space="preserve">Category – I: </w:t>
            </w:r>
            <w:r w:rsidRPr="00E643CB">
              <w:rPr>
                <w:rFonts w:ascii="Calibri" w:hAnsi="Calibri" w:cs="Calibri"/>
              </w:rPr>
              <w:t xml:space="preserve">carry out all the permitted activities with </w:t>
            </w:r>
            <w:r w:rsidRPr="00E643CB">
              <w:rPr>
                <w:rFonts w:ascii="Calibri" w:hAnsi="Calibri" w:cs="Calibri"/>
                <w:b/>
              </w:rPr>
              <w:t>net worth of</w:t>
            </w:r>
            <w:r w:rsidRPr="00E643CB">
              <w:rPr>
                <w:rFonts w:ascii="Calibri" w:hAnsi="Calibri" w:cs="Calibri"/>
              </w:rPr>
              <w:t xml:space="preserve"> </w:t>
            </w:r>
            <w:r w:rsidRPr="00E643CB">
              <w:rPr>
                <w:rFonts w:ascii="Calibri" w:hAnsi="Calibri" w:cs="Calibri"/>
                <w:b/>
              </w:rPr>
              <w:t>not less than INR 50 crores.</w:t>
            </w:r>
            <w:r w:rsidRPr="00E643CB">
              <w:rPr>
                <w:rFonts w:ascii="Calibri" w:hAnsi="Calibri" w:cs="Calibri"/>
              </w:rPr>
              <w:t xml:space="preserve"> </w:t>
            </w:r>
          </w:p>
          <w:p w14:paraId="4F1D87AB" w14:textId="77777777" w:rsidR="00CC422C" w:rsidRPr="00E643CB" w:rsidRDefault="00CC422C" w:rsidP="00CC422C">
            <w:pPr>
              <w:pStyle w:val="ListParagraph"/>
              <w:numPr>
                <w:ilvl w:val="0"/>
                <w:numId w:val="27"/>
              </w:numPr>
              <w:spacing w:before="120" w:after="120" w:line="276" w:lineRule="auto"/>
              <w:ind w:left="1325" w:hanging="426"/>
              <w:contextualSpacing w:val="0"/>
              <w:jc w:val="both"/>
              <w:rPr>
                <w:rFonts w:ascii="Calibri" w:hAnsi="Calibri" w:cs="Calibri"/>
              </w:rPr>
            </w:pPr>
            <w:r w:rsidRPr="00E643CB">
              <w:rPr>
                <w:rFonts w:ascii="Calibri" w:hAnsi="Calibri" w:cs="Calibri"/>
                <w:b/>
              </w:rPr>
              <w:t xml:space="preserve">Category – II: </w:t>
            </w:r>
            <w:r w:rsidRPr="00E643CB">
              <w:rPr>
                <w:rFonts w:ascii="Calibri" w:hAnsi="Calibri" w:cs="Calibri"/>
              </w:rPr>
              <w:t xml:space="preserve">carry out all permitted activities except public issues of equity shares to be listed on main board of a recognized stock exchange with </w:t>
            </w:r>
            <w:r w:rsidRPr="00E643CB">
              <w:rPr>
                <w:rFonts w:ascii="Calibri" w:hAnsi="Calibri" w:cs="Calibri"/>
                <w:b/>
              </w:rPr>
              <w:t>net worth of not less than INR 10 crores.</w:t>
            </w:r>
            <w:r w:rsidRPr="00E643CB">
              <w:rPr>
                <w:rFonts w:ascii="Calibri" w:hAnsi="Calibri" w:cs="Calibri"/>
              </w:rPr>
              <w:t xml:space="preserve">  </w:t>
            </w:r>
          </w:p>
          <w:p w14:paraId="3AEA81F7"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The current net worth requirement for all merchant bankers is </w:t>
            </w:r>
            <w:r w:rsidRPr="00E643CB">
              <w:rPr>
                <w:rFonts w:ascii="Calibri" w:hAnsi="Calibri" w:cs="Calibri"/>
                <w:b/>
              </w:rPr>
              <w:t>INR 5 crores.</w:t>
            </w:r>
          </w:p>
          <w:p w14:paraId="5188A836" w14:textId="77777777" w:rsidR="00CC422C" w:rsidRPr="00E643CB" w:rsidRDefault="00CC422C" w:rsidP="00CC422C">
            <w:pPr>
              <w:numPr>
                <w:ilvl w:val="0"/>
                <w:numId w:val="3"/>
              </w:numPr>
              <w:spacing w:after="120" w:line="276" w:lineRule="auto"/>
              <w:rPr>
                <w:rFonts w:ascii="Calibri" w:hAnsi="Calibri" w:cs="Calibri"/>
                <w:color w:val="000000"/>
              </w:rPr>
            </w:pPr>
            <w:r w:rsidRPr="00E643CB">
              <w:rPr>
                <w:rFonts w:ascii="Calibri" w:hAnsi="Calibri" w:cs="Calibri"/>
                <w:color w:val="000000"/>
              </w:rPr>
              <w:t xml:space="preserve">By </w:t>
            </w:r>
            <w:r w:rsidRPr="00E643CB">
              <w:rPr>
                <w:rFonts w:ascii="Calibri" w:hAnsi="Calibri" w:cs="Calibri"/>
              </w:rPr>
              <w:t>dividing</w:t>
            </w:r>
            <w:r w:rsidRPr="00E643CB">
              <w:rPr>
                <w:rFonts w:ascii="Calibri" w:hAnsi="Calibri" w:cs="Calibri"/>
                <w:color w:val="000000"/>
              </w:rPr>
              <w:t xml:space="preserve"> MBs into two classes, SEBI’s intent is that only main board listings be restricted to Category I MBs, and all other activities be open to all MBs. Hence, the Income Tax Rules should also be complementary and open valuations to all categories. </w:t>
            </w:r>
          </w:p>
          <w:p w14:paraId="02AA0466" w14:textId="77777777" w:rsidR="00CC422C" w:rsidRPr="00E643CB" w:rsidRDefault="00CC422C" w:rsidP="00CC422C">
            <w:pPr>
              <w:numPr>
                <w:ilvl w:val="0"/>
                <w:numId w:val="3"/>
              </w:numPr>
              <w:spacing w:after="120" w:line="276" w:lineRule="auto"/>
              <w:rPr>
                <w:rFonts w:ascii="Calibri" w:hAnsi="Calibri" w:cs="Calibri"/>
                <w:color w:val="000000"/>
              </w:rPr>
            </w:pPr>
            <w:r w:rsidRPr="00E643CB">
              <w:rPr>
                <w:rFonts w:ascii="Calibri" w:hAnsi="Calibri" w:cs="Calibri"/>
                <w:color w:val="000000"/>
              </w:rPr>
              <w:t xml:space="preserve">Besides, SEBI has set a minimum net worth criteria of INR 50 crores for Category I and INR 10 crores for Category II. The reason for </w:t>
            </w:r>
            <w:r w:rsidRPr="00E643CB">
              <w:rPr>
                <w:rFonts w:ascii="Calibri" w:hAnsi="Calibri" w:cs="Calibri"/>
              </w:rPr>
              <w:t>high</w:t>
            </w:r>
            <w:r w:rsidRPr="00E643CB">
              <w:rPr>
                <w:rFonts w:ascii="Calibri" w:hAnsi="Calibri" w:cs="Calibri"/>
                <w:color w:val="000000"/>
              </w:rPr>
              <w:t xml:space="preserve"> net worth for Category I presumably is to protect investors in IPOs. However, this will act as a deterrent many MBs not in the main board IPOs and especially those focusing on valuation and other consulting services. This will restrict the availability of valuation services providers to taxpayers raising cost exorbitantly. </w:t>
            </w:r>
          </w:p>
          <w:p w14:paraId="4F777C4B" w14:textId="7777777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 xml:space="preserve">Considering the SEBI amendments done this year, it would not be prudent to replicate the clauses of 1961 rules into 2026 rules. The draft 2026 rules in the current form will have immediate and significant detrimental impact on income tax compliances concerning valuation. </w:t>
            </w:r>
          </w:p>
          <w:p w14:paraId="35E82EC7" w14:textId="77777777" w:rsidR="00CC422C" w:rsidRPr="00E643CB" w:rsidRDefault="00CC422C" w:rsidP="00CC422C">
            <w:pPr>
              <w:spacing w:after="120" w:line="276" w:lineRule="auto"/>
              <w:rPr>
                <w:rFonts w:ascii="Calibri" w:hAnsi="Calibri" w:cs="Calibri"/>
                <w:b/>
              </w:rPr>
            </w:pPr>
            <w:r w:rsidRPr="00E643CB">
              <w:rPr>
                <w:rFonts w:ascii="Calibri" w:hAnsi="Calibri" w:cs="Calibri"/>
                <w:b/>
              </w:rPr>
              <w:t>Recommendations:</w:t>
            </w:r>
          </w:p>
          <w:p w14:paraId="642E1DF5" w14:textId="4370C4E7"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For reference, the Reserve Bank of India does not make such category-based distinctions for valuation under FEMA regulations.</w:t>
            </w:r>
          </w:p>
          <w:p w14:paraId="5CF30C45" w14:textId="6EAA22B1" w:rsidR="00CC422C" w:rsidRPr="00E643CB" w:rsidRDefault="00CC422C" w:rsidP="00CC422C">
            <w:pPr>
              <w:numPr>
                <w:ilvl w:val="0"/>
                <w:numId w:val="3"/>
              </w:numPr>
              <w:spacing w:after="120" w:line="276" w:lineRule="auto"/>
              <w:rPr>
                <w:rFonts w:ascii="Calibri" w:hAnsi="Calibri" w:cs="Calibri"/>
              </w:rPr>
            </w:pPr>
            <w:r w:rsidRPr="00E643CB">
              <w:rPr>
                <w:rFonts w:ascii="Calibri" w:hAnsi="Calibri" w:cs="Calibri"/>
              </w:rPr>
              <w:t>Amendment to the Income Tax Rules 2026 which by amending the definition of “merchant banker” by removing reference to any particular category of merchant banker who can carry out such valuations. List of such rules is tabulated below</w:t>
            </w:r>
            <w:r w:rsidRPr="00E643CB">
              <w:rPr>
                <w:rFonts w:ascii="Calibri" w:hAnsi="Calibri" w:cs="Calibri"/>
                <w:b/>
              </w:rPr>
              <w:t>.</w:t>
            </w:r>
          </w:p>
          <w:tbl>
            <w:tblPr>
              <w:tblW w:w="0" w:type="auto"/>
              <w:tblCellMar>
                <w:left w:w="0" w:type="dxa"/>
                <w:right w:w="0" w:type="dxa"/>
              </w:tblCellMar>
              <w:tblLook w:val="04A0" w:firstRow="1" w:lastRow="0" w:firstColumn="1" w:lastColumn="0" w:noHBand="0" w:noVBand="1"/>
            </w:tblPr>
            <w:tblGrid>
              <w:gridCol w:w="1578"/>
              <w:gridCol w:w="1531"/>
              <w:gridCol w:w="3429"/>
              <w:gridCol w:w="2468"/>
            </w:tblGrid>
            <w:tr w:rsidR="00CC422C" w:rsidRPr="00E643CB" w14:paraId="7AD37167" w14:textId="77777777">
              <w:trPr>
                <w:tblHeader/>
              </w:trPr>
              <w:tc>
                <w:tcPr>
                  <w:tcW w:w="157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B0B034F" w14:textId="77777777" w:rsidR="00CC422C" w:rsidRPr="00D17EFE" w:rsidRDefault="00CC422C" w:rsidP="00CC422C">
                  <w:pPr>
                    <w:spacing w:after="120" w:line="276" w:lineRule="auto"/>
                    <w:jc w:val="center"/>
                    <w:rPr>
                      <w:rFonts w:ascii="Calibri" w:hAnsi="Calibri" w:cs="Calibri"/>
                      <w:b/>
                    </w:rPr>
                  </w:pPr>
                  <w:r w:rsidRPr="00D17EFE">
                    <w:rPr>
                      <w:rFonts w:ascii="Calibri" w:hAnsi="Calibri" w:cs="Calibri"/>
                      <w:b/>
                    </w:rPr>
                    <w:t xml:space="preserve">1962 Rules </w:t>
                  </w:r>
                </w:p>
              </w:tc>
              <w:tc>
                <w:tcPr>
                  <w:tcW w:w="1531" w:type="dxa"/>
                  <w:tcBorders>
                    <w:top w:val="single" w:sz="8" w:space="0" w:color="auto"/>
                    <w:left w:val="nil"/>
                    <w:bottom w:val="single" w:sz="8" w:space="0" w:color="auto"/>
                    <w:right w:val="single" w:sz="4" w:space="0" w:color="auto"/>
                  </w:tcBorders>
                  <w:shd w:val="clear" w:color="auto" w:fill="D9D9D9"/>
                </w:tcPr>
                <w:p w14:paraId="008AC359" w14:textId="77777777" w:rsidR="00CC422C" w:rsidRPr="00D17EFE" w:rsidRDefault="00CC422C" w:rsidP="00CC422C">
                  <w:pPr>
                    <w:spacing w:after="120" w:line="276" w:lineRule="auto"/>
                    <w:jc w:val="center"/>
                    <w:rPr>
                      <w:rFonts w:ascii="Calibri" w:hAnsi="Calibri" w:cs="Calibri"/>
                      <w:b/>
                    </w:rPr>
                  </w:pPr>
                  <w:r w:rsidRPr="00D17EFE">
                    <w:rPr>
                      <w:rFonts w:ascii="Calibri" w:hAnsi="Calibri" w:cs="Calibri"/>
                      <w:b/>
                    </w:rPr>
                    <w:t>Draft Rules 2026</w:t>
                  </w:r>
                </w:p>
              </w:tc>
              <w:tc>
                <w:tcPr>
                  <w:tcW w:w="3429"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74D20B" w14:textId="77777777" w:rsidR="00CC422C" w:rsidRPr="00D17EFE" w:rsidRDefault="00CC422C" w:rsidP="00CC422C">
                  <w:pPr>
                    <w:spacing w:after="120" w:line="276" w:lineRule="auto"/>
                    <w:jc w:val="center"/>
                    <w:rPr>
                      <w:rFonts w:ascii="Calibri" w:hAnsi="Calibri" w:cs="Calibri"/>
                      <w:b/>
                    </w:rPr>
                  </w:pPr>
                  <w:r w:rsidRPr="00D17EFE">
                    <w:rPr>
                      <w:rFonts w:ascii="Calibri" w:hAnsi="Calibri" w:cs="Calibri"/>
                      <w:b/>
                    </w:rPr>
                    <w:t>Context</w:t>
                  </w:r>
                </w:p>
              </w:tc>
              <w:tc>
                <w:tcPr>
                  <w:tcW w:w="24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AAAF05A" w14:textId="77777777" w:rsidR="00CC422C" w:rsidRPr="00D17EFE" w:rsidRDefault="00CC422C" w:rsidP="00CC422C">
                  <w:pPr>
                    <w:spacing w:after="120" w:line="276" w:lineRule="auto"/>
                    <w:jc w:val="center"/>
                    <w:rPr>
                      <w:rFonts w:ascii="Calibri" w:hAnsi="Calibri" w:cs="Calibri"/>
                      <w:b/>
                    </w:rPr>
                  </w:pPr>
                  <w:r w:rsidRPr="00D17EFE">
                    <w:rPr>
                      <w:rFonts w:ascii="Calibri" w:hAnsi="Calibri" w:cs="Calibri"/>
                      <w:b/>
                    </w:rPr>
                    <w:t>Eligible valuer</w:t>
                  </w:r>
                </w:p>
              </w:tc>
            </w:tr>
            <w:tr w:rsidR="00CC422C" w:rsidRPr="00E643CB" w14:paraId="2299057E" w14:textId="77777777">
              <w:tc>
                <w:tcPr>
                  <w:tcW w:w="9006" w:type="dxa"/>
                  <w:gridSpan w:val="4"/>
                  <w:tcBorders>
                    <w:top w:val="nil"/>
                    <w:left w:val="single" w:sz="8" w:space="0" w:color="auto"/>
                    <w:bottom w:val="single" w:sz="8" w:space="0" w:color="auto"/>
                    <w:right w:val="single" w:sz="8" w:space="0" w:color="auto"/>
                  </w:tcBorders>
                </w:tcPr>
                <w:p w14:paraId="2A448B19" w14:textId="77777777" w:rsidR="00CC422C" w:rsidRPr="00D17EFE" w:rsidRDefault="00CC422C" w:rsidP="00CC422C">
                  <w:pPr>
                    <w:spacing w:after="120" w:line="276" w:lineRule="auto"/>
                    <w:rPr>
                      <w:rFonts w:ascii="Calibri" w:hAnsi="Calibri" w:cs="Calibri"/>
                      <w:b/>
                    </w:rPr>
                  </w:pPr>
                  <w:r w:rsidRPr="00D17EFE">
                    <w:rPr>
                      <w:rFonts w:ascii="Calibri" w:hAnsi="Calibri" w:cs="Calibri"/>
                      <w:b/>
                    </w:rPr>
                    <w:t xml:space="preserve">Gift taxation </w:t>
                  </w:r>
                </w:p>
              </w:tc>
            </w:tr>
            <w:tr w:rsidR="00CC422C" w:rsidRPr="00E643CB" w14:paraId="6ECC1F81" w14:textId="77777777">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746A38"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11U</w:t>
                  </w:r>
                </w:p>
              </w:tc>
              <w:tc>
                <w:tcPr>
                  <w:tcW w:w="1531" w:type="dxa"/>
                  <w:tcBorders>
                    <w:top w:val="nil"/>
                    <w:left w:val="nil"/>
                    <w:bottom w:val="single" w:sz="8" w:space="0" w:color="auto"/>
                    <w:right w:val="single" w:sz="4" w:space="0" w:color="auto"/>
                  </w:tcBorders>
                </w:tcPr>
                <w:p w14:paraId="041BD012"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56(b)</w:t>
                  </w:r>
                </w:p>
              </w:tc>
              <w:tc>
                <w:tcPr>
                  <w:tcW w:w="342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A0A0154" w14:textId="77777777" w:rsidR="00CC422C" w:rsidRPr="00D17EFE" w:rsidRDefault="00CC422C" w:rsidP="00CC422C">
                  <w:pPr>
                    <w:spacing w:after="120" w:line="276" w:lineRule="auto"/>
                    <w:rPr>
                      <w:rFonts w:ascii="Calibri" w:hAnsi="Calibri" w:cs="Calibri"/>
                    </w:rPr>
                  </w:pPr>
                  <w:r w:rsidRPr="00D17EFE">
                    <w:rPr>
                      <w:rFonts w:ascii="Calibri" w:hAnsi="Calibri" w:cs="Calibri"/>
                    </w:rPr>
                    <w:t xml:space="preserve">Definition of merchant banker for the purposes </w:t>
                  </w:r>
                </w:p>
              </w:tc>
              <w:tc>
                <w:tcPr>
                  <w:tcW w:w="2468" w:type="dxa"/>
                  <w:tcBorders>
                    <w:top w:val="nil"/>
                    <w:left w:val="nil"/>
                    <w:bottom w:val="single" w:sz="8" w:space="0" w:color="auto"/>
                    <w:right w:val="single" w:sz="8" w:space="0" w:color="auto"/>
                  </w:tcBorders>
                  <w:tcMar>
                    <w:top w:w="0" w:type="dxa"/>
                    <w:left w:w="108" w:type="dxa"/>
                    <w:bottom w:w="0" w:type="dxa"/>
                    <w:right w:w="108" w:type="dxa"/>
                  </w:tcMar>
                </w:tcPr>
                <w:p w14:paraId="2CE1D599" w14:textId="77777777" w:rsidR="00CC422C" w:rsidRPr="00D17EFE" w:rsidRDefault="00CC422C" w:rsidP="00CC422C">
                  <w:pPr>
                    <w:spacing w:after="120" w:line="276" w:lineRule="auto"/>
                    <w:rPr>
                      <w:rFonts w:ascii="Calibri" w:hAnsi="Calibri" w:cs="Calibri"/>
                    </w:rPr>
                  </w:pPr>
                  <w:r w:rsidRPr="00D17EFE">
                    <w:rPr>
                      <w:rFonts w:ascii="Calibri" w:hAnsi="Calibri" w:cs="Calibri"/>
                      <w:b/>
                    </w:rPr>
                    <w:t xml:space="preserve">Category I merchant banker registered with SEBI. </w:t>
                  </w:r>
                </w:p>
              </w:tc>
            </w:tr>
            <w:tr w:rsidR="00CC422C" w:rsidRPr="00E643CB" w14:paraId="0FD0CCC3" w14:textId="77777777">
              <w:tc>
                <w:tcPr>
                  <w:tcW w:w="9006" w:type="dxa"/>
                  <w:gridSpan w:val="4"/>
                  <w:tcBorders>
                    <w:top w:val="nil"/>
                    <w:left w:val="single" w:sz="8" w:space="0" w:color="auto"/>
                    <w:bottom w:val="single" w:sz="8" w:space="0" w:color="auto"/>
                    <w:right w:val="single" w:sz="8" w:space="0" w:color="auto"/>
                  </w:tcBorders>
                </w:tcPr>
                <w:p w14:paraId="27E1784C" w14:textId="77777777" w:rsidR="00CC422C" w:rsidRPr="00D17EFE" w:rsidRDefault="00CC422C" w:rsidP="00CC422C">
                  <w:pPr>
                    <w:spacing w:after="120" w:line="276" w:lineRule="auto"/>
                    <w:rPr>
                      <w:rFonts w:ascii="Calibri" w:hAnsi="Calibri" w:cs="Calibri"/>
                      <w:b/>
                    </w:rPr>
                  </w:pPr>
                  <w:r w:rsidRPr="00D17EFE">
                    <w:rPr>
                      <w:rFonts w:ascii="Calibri" w:hAnsi="Calibri" w:cs="Calibri"/>
                      <w:b/>
                    </w:rPr>
                    <w:t>Exit tax for charity</w:t>
                  </w:r>
                </w:p>
              </w:tc>
            </w:tr>
            <w:tr w:rsidR="00CC422C" w:rsidRPr="00E643CB" w14:paraId="5745B352" w14:textId="77777777">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BFD73"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17CB</w:t>
                  </w:r>
                </w:p>
              </w:tc>
              <w:tc>
                <w:tcPr>
                  <w:tcW w:w="1531" w:type="dxa"/>
                  <w:tcBorders>
                    <w:top w:val="nil"/>
                    <w:left w:val="nil"/>
                    <w:bottom w:val="single" w:sz="8" w:space="0" w:color="auto"/>
                    <w:right w:val="single" w:sz="4" w:space="0" w:color="auto"/>
                  </w:tcBorders>
                </w:tcPr>
                <w:p w14:paraId="76470FD9"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189(4)(C)</w:t>
                  </w:r>
                </w:p>
              </w:tc>
              <w:tc>
                <w:tcPr>
                  <w:tcW w:w="342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F37E754" w14:textId="77777777" w:rsidR="00CC422C" w:rsidRPr="00D17EFE" w:rsidRDefault="00CC422C" w:rsidP="00CC422C">
                  <w:pPr>
                    <w:spacing w:after="120" w:line="276" w:lineRule="auto"/>
                    <w:rPr>
                      <w:rFonts w:ascii="Calibri" w:hAnsi="Calibri" w:cs="Calibri"/>
                    </w:rPr>
                  </w:pPr>
                  <w:r w:rsidRPr="00D17EFE">
                    <w:rPr>
                      <w:rFonts w:ascii="Calibri" w:hAnsi="Calibri" w:cs="Calibri"/>
                    </w:rPr>
                    <w:t>Value of any other share or securities (other than equity shares)</w:t>
                  </w:r>
                </w:p>
              </w:tc>
              <w:tc>
                <w:tcPr>
                  <w:tcW w:w="2468" w:type="dxa"/>
                  <w:tcBorders>
                    <w:top w:val="nil"/>
                    <w:left w:val="nil"/>
                    <w:bottom w:val="single" w:sz="8" w:space="0" w:color="auto"/>
                    <w:right w:val="single" w:sz="8" w:space="0" w:color="auto"/>
                  </w:tcBorders>
                  <w:tcMar>
                    <w:top w:w="0" w:type="dxa"/>
                    <w:left w:w="108" w:type="dxa"/>
                    <w:bottom w:w="0" w:type="dxa"/>
                    <w:right w:w="108" w:type="dxa"/>
                  </w:tcMar>
                  <w:hideMark/>
                </w:tcPr>
                <w:p w14:paraId="3EB23FC8" w14:textId="77777777" w:rsidR="00CC422C" w:rsidRPr="00D17EFE" w:rsidRDefault="00CC422C" w:rsidP="00CC422C">
                  <w:pPr>
                    <w:spacing w:after="120" w:line="276" w:lineRule="auto"/>
                    <w:rPr>
                      <w:rFonts w:ascii="Calibri" w:hAnsi="Calibri" w:cs="Calibri"/>
                    </w:rPr>
                  </w:pPr>
                  <w:r w:rsidRPr="00D17EFE">
                    <w:rPr>
                      <w:rFonts w:ascii="Calibri" w:hAnsi="Calibri" w:cs="Calibri"/>
                    </w:rPr>
                    <w:t xml:space="preserve">Open market value determined by </w:t>
                  </w:r>
                  <w:r w:rsidRPr="00D17EFE">
                    <w:rPr>
                      <w:rFonts w:ascii="Calibri" w:hAnsi="Calibri" w:cs="Calibri"/>
                      <w:b/>
                    </w:rPr>
                    <w:t>merchant banker</w:t>
                  </w:r>
                  <w:r w:rsidRPr="00D17EFE">
                    <w:rPr>
                      <w:rFonts w:ascii="Calibri" w:hAnsi="Calibri" w:cs="Calibri"/>
                    </w:rPr>
                    <w:t xml:space="preserve">. Defined to mean </w:t>
                  </w:r>
                  <w:r w:rsidRPr="00D17EFE">
                    <w:rPr>
                      <w:rFonts w:ascii="Calibri" w:hAnsi="Calibri" w:cs="Calibri"/>
                      <w:b/>
                    </w:rPr>
                    <w:t>Category I merchant banker registered with SEBI.</w:t>
                  </w:r>
                </w:p>
              </w:tc>
            </w:tr>
            <w:tr w:rsidR="00CC422C" w:rsidRPr="00E643CB" w14:paraId="3955D1C3" w14:textId="77777777">
              <w:tc>
                <w:tcPr>
                  <w:tcW w:w="9006" w:type="dxa"/>
                  <w:gridSpan w:val="4"/>
                  <w:tcBorders>
                    <w:top w:val="nil"/>
                    <w:left w:val="single" w:sz="8" w:space="0" w:color="auto"/>
                    <w:bottom w:val="single" w:sz="8" w:space="0" w:color="auto"/>
                    <w:right w:val="single" w:sz="8" w:space="0" w:color="auto"/>
                  </w:tcBorders>
                </w:tcPr>
                <w:p w14:paraId="27FD3E90" w14:textId="77777777" w:rsidR="00CC422C" w:rsidRPr="00D17EFE" w:rsidRDefault="00CC422C" w:rsidP="00CC422C">
                  <w:pPr>
                    <w:spacing w:after="120" w:line="276" w:lineRule="auto"/>
                    <w:rPr>
                      <w:rFonts w:ascii="Calibri" w:hAnsi="Calibri" w:cs="Calibri"/>
                      <w:b/>
                    </w:rPr>
                  </w:pPr>
                  <w:r w:rsidRPr="00D17EFE">
                    <w:rPr>
                      <w:rFonts w:ascii="Calibri" w:hAnsi="Calibri" w:cs="Calibri"/>
                      <w:b/>
                    </w:rPr>
                    <w:t>ESOP perquisite taxation</w:t>
                  </w:r>
                </w:p>
              </w:tc>
            </w:tr>
            <w:tr w:rsidR="00CC422C" w:rsidRPr="00E55391" w14:paraId="1B63AB0E" w14:textId="77777777">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CE934"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3(8)</w:t>
                  </w:r>
                </w:p>
              </w:tc>
              <w:tc>
                <w:tcPr>
                  <w:tcW w:w="1531" w:type="dxa"/>
                  <w:tcBorders>
                    <w:top w:val="nil"/>
                    <w:left w:val="nil"/>
                    <w:bottom w:val="single" w:sz="8" w:space="0" w:color="auto"/>
                    <w:right w:val="single" w:sz="4" w:space="0" w:color="auto"/>
                  </w:tcBorders>
                </w:tcPr>
                <w:p w14:paraId="036B2EAF" w14:textId="77777777" w:rsidR="00CC422C" w:rsidRPr="00D17EFE" w:rsidRDefault="00CC422C" w:rsidP="00CC422C">
                  <w:pPr>
                    <w:spacing w:after="120" w:line="276" w:lineRule="auto"/>
                    <w:rPr>
                      <w:rFonts w:ascii="Calibri" w:hAnsi="Calibri" w:cs="Calibri"/>
                    </w:rPr>
                  </w:pPr>
                  <w:r w:rsidRPr="00D17EFE">
                    <w:rPr>
                      <w:rFonts w:ascii="Calibri" w:hAnsi="Calibri" w:cs="Calibri"/>
                    </w:rPr>
                    <w:t>Rule 15(8)(g)</w:t>
                  </w:r>
                </w:p>
              </w:tc>
              <w:tc>
                <w:tcPr>
                  <w:tcW w:w="342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1EAAB4B" w14:textId="77777777" w:rsidR="00CC422C" w:rsidRPr="00D17EFE" w:rsidRDefault="00CC422C" w:rsidP="00CC422C">
                  <w:pPr>
                    <w:spacing w:after="120" w:line="276" w:lineRule="auto"/>
                    <w:rPr>
                      <w:rFonts w:ascii="Calibri" w:hAnsi="Calibri" w:cs="Calibri"/>
                    </w:rPr>
                  </w:pPr>
                  <w:r w:rsidRPr="00D17EFE">
                    <w:rPr>
                      <w:rFonts w:ascii="Calibri" w:hAnsi="Calibri" w:cs="Calibri"/>
                    </w:rPr>
                    <w:t>Value of unlisted shares issued under ESOP scheme</w:t>
                  </w:r>
                </w:p>
              </w:tc>
              <w:tc>
                <w:tcPr>
                  <w:tcW w:w="2468" w:type="dxa"/>
                  <w:tcBorders>
                    <w:top w:val="nil"/>
                    <w:left w:val="nil"/>
                    <w:bottom w:val="single" w:sz="8" w:space="0" w:color="auto"/>
                    <w:right w:val="single" w:sz="8" w:space="0" w:color="auto"/>
                  </w:tcBorders>
                  <w:tcMar>
                    <w:top w:w="0" w:type="dxa"/>
                    <w:left w:w="108" w:type="dxa"/>
                    <w:bottom w:w="0" w:type="dxa"/>
                    <w:right w:w="108" w:type="dxa"/>
                  </w:tcMar>
                  <w:hideMark/>
                </w:tcPr>
                <w:p w14:paraId="62BA2D2B" w14:textId="77777777" w:rsidR="00CC422C" w:rsidRPr="00D17EFE" w:rsidRDefault="00CC422C" w:rsidP="00CC422C">
                  <w:pPr>
                    <w:spacing w:after="120" w:line="276" w:lineRule="auto"/>
                    <w:rPr>
                      <w:rFonts w:ascii="Calibri" w:hAnsi="Calibri" w:cs="Calibri"/>
                    </w:rPr>
                  </w:pPr>
                  <w:r w:rsidRPr="00D17EFE">
                    <w:rPr>
                      <w:rFonts w:ascii="Calibri" w:hAnsi="Calibri" w:cs="Calibri"/>
                    </w:rPr>
                    <w:t xml:space="preserve">FMV to be determined by </w:t>
                  </w:r>
                  <w:r w:rsidRPr="00D17EFE">
                    <w:rPr>
                      <w:rFonts w:ascii="Calibri" w:hAnsi="Calibri" w:cs="Calibri"/>
                      <w:b/>
                    </w:rPr>
                    <w:t>merchant banker</w:t>
                  </w:r>
                  <w:r w:rsidRPr="00D17EFE">
                    <w:rPr>
                      <w:rFonts w:ascii="Calibri" w:hAnsi="Calibri" w:cs="Calibri"/>
                    </w:rPr>
                    <w:t xml:space="preserve"> only. Defined to mean </w:t>
                  </w:r>
                  <w:r w:rsidRPr="00D17EFE">
                    <w:rPr>
                      <w:rFonts w:ascii="Calibri" w:hAnsi="Calibri" w:cs="Calibri"/>
                      <w:b/>
                    </w:rPr>
                    <w:t>Category I merchant banker registered with SEBI.</w:t>
                  </w:r>
                  <w:r w:rsidRPr="00D17EFE">
                    <w:rPr>
                      <w:rFonts w:ascii="Calibri" w:hAnsi="Calibri" w:cs="Calibri"/>
                    </w:rPr>
                    <w:t xml:space="preserve"> </w:t>
                  </w:r>
                </w:p>
              </w:tc>
            </w:tr>
          </w:tbl>
          <w:p w14:paraId="510C2B23" w14:textId="05C397DE" w:rsidR="00CC422C" w:rsidRPr="00E643CB" w:rsidRDefault="00CC422C" w:rsidP="00CC422C">
            <w:pPr>
              <w:spacing w:after="120" w:line="276" w:lineRule="auto"/>
              <w:rPr>
                <w:rFonts w:ascii="Calibri" w:hAnsi="Calibri" w:cs="Calibri"/>
              </w:rPr>
            </w:pPr>
          </w:p>
        </w:tc>
      </w:tr>
      <w:tr w:rsidR="00CC422C" w:rsidRPr="00532E7E" w14:paraId="33B8E477"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0117472"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2EC581E8"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Electronical verification of Form 5</w:t>
            </w:r>
          </w:p>
          <w:p w14:paraId="6A15690F"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Rule 6ABBB of IT Rules 1962 (referred in S. 35D of ITA 1961)</w:t>
            </w:r>
          </w:p>
          <w:p w14:paraId="28AD052B" w14:textId="34BF3409"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Rule 27 of Draft IT Rules 2026 (referred in S. 44 of ITA 2025)</w:t>
            </w:r>
          </w:p>
        </w:tc>
        <w:tc>
          <w:tcPr>
            <w:tcW w:w="10404" w:type="dxa"/>
            <w:tcBorders>
              <w:top w:val="single" w:sz="4" w:space="0" w:color="auto"/>
              <w:left w:val="single" w:sz="4" w:space="0" w:color="auto"/>
              <w:bottom w:val="single" w:sz="4" w:space="0" w:color="auto"/>
              <w:right w:val="single" w:sz="4" w:space="0" w:color="auto"/>
            </w:tcBorders>
          </w:tcPr>
          <w:p w14:paraId="047E5A58"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Rationale:</w:t>
            </w:r>
          </w:p>
          <w:p w14:paraId="7E5C8C13" w14:textId="77777777" w:rsidR="00CC422C" w:rsidRPr="00221C26" w:rsidRDefault="00CC422C" w:rsidP="00CC422C">
            <w:pPr>
              <w:pStyle w:val="ListParagraph"/>
              <w:numPr>
                <w:ilvl w:val="0"/>
                <w:numId w:val="4"/>
              </w:numPr>
              <w:spacing w:after="120" w:line="276" w:lineRule="auto"/>
              <w:contextualSpacing w:val="0"/>
              <w:rPr>
                <w:rFonts w:ascii="Calibri" w:hAnsi="Calibri" w:cs="Calibri"/>
                <w:lang w:bidi="en-US"/>
              </w:rPr>
            </w:pPr>
            <w:r w:rsidRPr="00221C26">
              <w:rPr>
                <w:rFonts w:ascii="Calibri" w:hAnsi="Calibri" w:cs="Calibri"/>
                <w:lang w:bidi="en-US"/>
              </w:rPr>
              <w:t>Under Rule 27 of Draft IT Rules 2026, Form 5 is required to be furnished. Under the old rules, Form 5 (corresponding to Form 3AF) had to be filed electronically; however, the draft new rules no longer specify electronic filing as a requirement.</w:t>
            </w:r>
          </w:p>
          <w:p w14:paraId="3F76B841"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10AC0E9A" w14:textId="48875920" w:rsidR="00CC422C" w:rsidRPr="00E643CB" w:rsidRDefault="00CC422C" w:rsidP="00CC422C">
            <w:pPr>
              <w:pStyle w:val="ListParagraph"/>
              <w:numPr>
                <w:ilvl w:val="0"/>
                <w:numId w:val="3"/>
              </w:numPr>
              <w:spacing w:after="120" w:line="276" w:lineRule="auto"/>
              <w:contextualSpacing w:val="0"/>
              <w:rPr>
                <w:rFonts w:ascii="Calibri" w:hAnsi="Calibri" w:cs="Calibri"/>
                <w:b/>
              </w:rPr>
            </w:pPr>
            <w:r w:rsidRPr="00221C26">
              <w:rPr>
                <w:rFonts w:ascii="Calibri" w:hAnsi="Calibri" w:cs="Calibri"/>
                <w:lang w:bidi="en-US"/>
              </w:rPr>
              <w:t>It is recommended to clarify that Form 5 should be filed electronically rather than manually.</w:t>
            </w:r>
          </w:p>
        </w:tc>
      </w:tr>
      <w:tr w:rsidR="00CC422C" w:rsidRPr="00532E7E" w14:paraId="4FD72362"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7973852E"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A41DBB6"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Certificate of foreign inward remittance</w:t>
            </w:r>
          </w:p>
          <w:p w14:paraId="5B96A690"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Rule 29A read with Section 80QQB, 80R, 80RR and 80RRA - Form 10H</w:t>
            </w:r>
          </w:p>
          <w:p w14:paraId="5FC9298C" w14:textId="0BD551FC"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Rule 72 read with Section 151(6) and Section 152(6) - Form 38</w:t>
            </w:r>
          </w:p>
        </w:tc>
        <w:tc>
          <w:tcPr>
            <w:tcW w:w="10404" w:type="dxa"/>
            <w:tcBorders>
              <w:top w:val="single" w:sz="4" w:space="0" w:color="auto"/>
              <w:left w:val="single" w:sz="4" w:space="0" w:color="auto"/>
              <w:bottom w:val="single" w:sz="4" w:space="0" w:color="auto"/>
              <w:right w:val="single" w:sz="4" w:space="0" w:color="auto"/>
            </w:tcBorders>
          </w:tcPr>
          <w:p w14:paraId="1759F7AE"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Rationale:</w:t>
            </w:r>
          </w:p>
          <w:p w14:paraId="717F7E63" w14:textId="77777777" w:rsidR="00CC422C" w:rsidRPr="00221C26" w:rsidRDefault="00CC422C" w:rsidP="00CC422C">
            <w:pPr>
              <w:pStyle w:val="ListParagraph"/>
              <w:numPr>
                <w:ilvl w:val="0"/>
                <w:numId w:val="17"/>
              </w:numPr>
              <w:spacing w:after="120" w:line="276" w:lineRule="auto"/>
              <w:contextualSpacing w:val="0"/>
              <w:rPr>
                <w:rFonts w:ascii="Calibri" w:hAnsi="Calibri" w:cs="Calibri"/>
                <w:b/>
                <w:lang w:bidi="en-US"/>
              </w:rPr>
            </w:pPr>
            <w:r w:rsidRPr="00221C26">
              <w:rPr>
                <w:rFonts w:ascii="Calibri" w:hAnsi="Calibri" w:cs="Calibri"/>
                <w:lang w:bidi="en-US"/>
              </w:rPr>
              <w:t>Form 10H requires manual input as regards purpose of remittance.</w:t>
            </w:r>
          </w:p>
          <w:p w14:paraId="4320944D"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434BD92B" w14:textId="53E61D05" w:rsidR="00CC422C" w:rsidRPr="00221C26" w:rsidRDefault="00CC422C" w:rsidP="00CC422C">
            <w:pPr>
              <w:pStyle w:val="ListParagraph"/>
              <w:numPr>
                <w:ilvl w:val="0"/>
                <w:numId w:val="3"/>
              </w:numPr>
              <w:spacing w:after="120" w:line="276" w:lineRule="auto"/>
              <w:contextualSpacing w:val="0"/>
              <w:rPr>
                <w:rFonts w:ascii="Calibri" w:hAnsi="Calibri" w:cs="Calibri"/>
                <w:b/>
                <w:lang w:bidi="en-US"/>
              </w:rPr>
            </w:pPr>
            <w:r w:rsidRPr="00221C26">
              <w:rPr>
                <w:rFonts w:ascii="Calibri" w:hAnsi="Calibri" w:cs="Calibri"/>
                <w:lang w:bidi="en-US"/>
              </w:rPr>
              <w:t xml:space="preserve">It is recommended to define through a drop down the purpose of remittance e.g. Author royalty under Sec 151, Patent royalty </w:t>
            </w:r>
            <w:r w:rsidRPr="00492508">
              <w:rPr>
                <w:rFonts w:ascii="Calibri" w:eastAsia="Times New Roman" w:hAnsi="Calibri" w:cs="Calibri"/>
                <w:color w:val="000000"/>
                <w:kern w:val="0"/>
                <w:lang w:eastAsia="en-IN"/>
                <w14:ligatures w14:val="none"/>
              </w:rPr>
              <w:t>under</w:t>
            </w:r>
            <w:r w:rsidRPr="00221C26">
              <w:rPr>
                <w:rFonts w:ascii="Calibri" w:hAnsi="Calibri" w:cs="Calibri"/>
                <w:lang w:bidi="en-US"/>
              </w:rPr>
              <w:t xml:space="preserve"> Sec 152 etc, to ensure uniform tagging, help analytics and reduces queries.</w:t>
            </w:r>
          </w:p>
        </w:tc>
      </w:tr>
      <w:tr w:rsidR="00CC422C" w:rsidRPr="00532E7E" w14:paraId="361A8325"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10D01E5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5BF702BE" w14:textId="77777777" w:rsidR="00CC422C" w:rsidRPr="00221C26" w:rsidRDefault="00CC422C" w:rsidP="00CC422C">
            <w:pPr>
              <w:spacing w:after="120" w:line="276" w:lineRule="auto"/>
              <w:rPr>
                <w:rFonts w:ascii="Calibri" w:eastAsia="Times New Roman" w:hAnsi="Calibri" w:cs="Calibri"/>
                <w:b/>
                <w:color w:val="000000"/>
                <w:kern w:val="0"/>
                <w:lang w:eastAsia="en-IN"/>
                <w14:ligatures w14:val="none"/>
              </w:rPr>
            </w:pPr>
            <w:r w:rsidRPr="00221C26">
              <w:rPr>
                <w:rFonts w:ascii="Calibri" w:eastAsia="Times New Roman" w:hAnsi="Calibri" w:cs="Calibri"/>
                <w:b/>
                <w:color w:val="000000"/>
                <w:kern w:val="0"/>
                <w:lang w:eastAsia="en-IN"/>
                <w14:ligatures w14:val="none"/>
              </w:rPr>
              <w:t>Rule 47 issued under Section 253 of ITA 1961 -</w:t>
            </w:r>
          </w:p>
          <w:p w14:paraId="2E311495" w14:textId="77777777" w:rsidR="00CC422C" w:rsidRPr="00221C26" w:rsidRDefault="00CC422C" w:rsidP="00CC422C">
            <w:pPr>
              <w:spacing w:after="120" w:line="276" w:lineRule="auto"/>
              <w:rPr>
                <w:rFonts w:ascii="Calibri" w:eastAsia="Times New Roman" w:hAnsi="Calibri" w:cs="Calibri"/>
                <w:b/>
                <w:color w:val="000000"/>
                <w:kern w:val="0"/>
                <w:lang w:eastAsia="en-IN"/>
                <w14:ligatures w14:val="none"/>
              </w:rPr>
            </w:pPr>
            <w:r w:rsidRPr="00221C26">
              <w:rPr>
                <w:rFonts w:ascii="Calibri" w:eastAsia="Times New Roman" w:hAnsi="Calibri" w:cs="Calibri"/>
                <w:b/>
                <w:color w:val="000000"/>
                <w:kern w:val="0"/>
                <w:lang w:eastAsia="en-IN"/>
                <w14:ligatures w14:val="none"/>
              </w:rPr>
              <w:t>Appeal to ITAT in Form 36, Cross-objection in Form 36A, Signing authority linked to Rule 45(3)</w:t>
            </w:r>
          </w:p>
          <w:p w14:paraId="190E6A22" w14:textId="77777777" w:rsidR="00CC422C" w:rsidRPr="00221C26" w:rsidRDefault="00CC422C" w:rsidP="00CC422C">
            <w:pPr>
              <w:spacing w:after="120" w:line="276" w:lineRule="auto"/>
              <w:rPr>
                <w:rFonts w:ascii="Calibri" w:hAnsi="Calibri" w:cs="Calibri"/>
                <w:b/>
              </w:rPr>
            </w:pPr>
            <w:r w:rsidRPr="00221C26">
              <w:rPr>
                <w:rFonts w:ascii="Calibri" w:eastAsia="Times New Roman" w:hAnsi="Calibri" w:cs="Calibri"/>
                <w:b/>
                <w:color w:val="000000"/>
                <w:kern w:val="0"/>
                <w:lang w:eastAsia="en-IN"/>
                <w14:ligatures w14:val="none"/>
              </w:rPr>
              <w:t>Rule 193, issued under Section 362 of ITA 2025 -</w:t>
            </w:r>
          </w:p>
          <w:p w14:paraId="1B28C421" w14:textId="590A68CD" w:rsidR="00CC422C" w:rsidRPr="00221C26" w:rsidRDefault="00CC422C" w:rsidP="00CC422C">
            <w:pPr>
              <w:spacing w:after="120" w:line="276" w:lineRule="auto"/>
              <w:rPr>
                <w:rFonts w:ascii="Calibri" w:hAnsi="Calibri" w:cs="Calibri"/>
                <w:b/>
                <w:lang w:bidi="en-US"/>
              </w:rPr>
            </w:pPr>
            <w:r w:rsidRPr="00221C26">
              <w:rPr>
                <w:rFonts w:ascii="Calibri" w:eastAsia="Times New Roman" w:hAnsi="Calibri" w:cs="Calibri"/>
                <w:b/>
                <w:color w:val="000000"/>
                <w:kern w:val="0"/>
                <w:lang w:eastAsia="en-IN"/>
                <w14:ligatures w14:val="none"/>
              </w:rPr>
              <w:t>Appeal to ITAT in Form 115, Cross-objection in Form 116, Signing authority linked to Rule 167(3))</w:t>
            </w:r>
          </w:p>
        </w:tc>
        <w:tc>
          <w:tcPr>
            <w:tcW w:w="10404" w:type="dxa"/>
            <w:tcBorders>
              <w:top w:val="single" w:sz="4" w:space="0" w:color="auto"/>
              <w:left w:val="single" w:sz="4" w:space="0" w:color="auto"/>
              <w:bottom w:val="single" w:sz="4" w:space="0" w:color="auto"/>
              <w:right w:val="single" w:sz="4" w:space="0" w:color="auto"/>
            </w:tcBorders>
          </w:tcPr>
          <w:p w14:paraId="7F636120"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 xml:space="preserve">Rationale </w:t>
            </w:r>
          </w:p>
          <w:p w14:paraId="229214F8" w14:textId="77777777" w:rsidR="00CC422C" w:rsidRPr="00221C26" w:rsidRDefault="00CC422C" w:rsidP="00CC422C">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221C26">
              <w:rPr>
                <w:rFonts w:ascii="Calibri" w:eastAsia="Times New Roman" w:hAnsi="Calibri" w:cs="Calibri"/>
                <w:color w:val="000000"/>
                <w:kern w:val="0"/>
                <w:lang w:eastAsia="en-IN"/>
                <w14:ligatures w14:val="none"/>
              </w:rPr>
              <w:t>There is no substantive change.</w:t>
            </w:r>
          </w:p>
          <w:p w14:paraId="593B29CF" w14:textId="77777777" w:rsidR="00CC422C" w:rsidRPr="00221C26" w:rsidRDefault="00CC422C" w:rsidP="00CC422C">
            <w:pPr>
              <w:pStyle w:val="ListParagraph"/>
              <w:numPr>
                <w:ilvl w:val="0"/>
                <w:numId w:val="3"/>
              </w:numPr>
              <w:spacing w:after="120" w:line="276" w:lineRule="auto"/>
              <w:contextualSpacing w:val="0"/>
              <w:rPr>
                <w:rFonts w:ascii="Calibri" w:eastAsia="Times New Roman" w:hAnsi="Calibri" w:cs="Calibri"/>
                <w:color w:val="000000"/>
                <w:kern w:val="0"/>
                <w:lang w:eastAsia="en-IN"/>
                <w14:ligatures w14:val="none"/>
              </w:rPr>
            </w:pPr>
            <w:r w:rsidRPr="00221C26">
              <w:rPr>
                <w:rFonts w:ascii="Calibri" w:eastAsia="Times New Roman" w:hAnsi="Calibri" w:cs="Calibri"/>
                <w:color w:val="000000"/>
                <w:kern w:val="0"/>
                <w:lang w:eastAsia="en-IN"/>
                <w14:ligatures w14:val="none"/>
              </w:rPr>
              <w:t xml:space="preserve">The erstwhile Form 36 provided an illustration of computing tax effect in the case of payment under Section 115JB/JC, however, such illustration has been removed. </w:t>
            </w:r>
          </w:p>
          <w:p w14:paraId="4DBFE17C" w14:textId="77777777" w:rsidR="00CC422C" w:rsidRPr="00221C26" w:rsidRDefault="00CC422C" w:rsidP="00CC422C">
            <w:pPr>
              <w:spacing w:after="120" w:line="276" w:lineRule="auto"/>
              <w:rPr>
                <w:rFonts w:ascii="Calibri" w:eastAsia="Times New Roman" w:hAnsi="Calibri" w:cs="Calibri"/>
                <w:b/>
                <w:color w:val="000000"/>
                <w:kern w:val="0"/>
                <w:lang w:eastAsia="en-IN"/>
                <w14:ligatures w14:val="none"/>
              </w:rPr>
            </w:pPr>
            <w:r w:rsidRPr="00221C26">
              <w:rPr>
                <w:rFonts w:ascii="Calibri" w:eastAsia="Times New Roman" w:hAnsi="Calibri" w:cs="Calibri"/>
                <w:b/>
                <w:color w:val="000000"/>
                <w:kern w:val="0"/>
                <w:lang w:eastAsia="en-IN"/>
                <w14:ligatures w14:val="none"/>
              </w:rPr>
              <w:t>Recommendation</w:t>
            </w:r>
          </w:p>
          <w:p w14:paraId="05F8D546" w14:textId="553A327B" w:rsidR="00CC422C" w:rsidRPr="00221C26" w:rsidRDefault="00CC422C" w:rsidP="00CC422C">
            <w:pPr>
              <w:pStyle w:val="ListParagraph"/>
              <w:numPr>
                <w:ilvl w:val="0"/>
                <w:numId w:val="3"/>
              </w:numPr>
              <w:spacing w:after="120" w:line="276" w:lineRule="auto"/>
              <w:contextualSpacing w:val="0"/>
              <w:rPr>
                <w:rFonts w:ascii="Calibri" w:hAnsi="Calibri" w:cs="Calibri"/>
                <w:b/>
                <w:lang w:bidi="en-US"/>
              </w:rPr>
            </w:pPr>
            <w:r w:rsidRPr="00221C26">
              <w:rPr>
                <w:rFonts w:ascii="Calibri" w:eastAsia="Times New Roman" w:hAnsi="Calibri" w:cs="Calibri"/>
                <w:color w:val="000000"/>
                <w:kern w:val="0"/>
                <w:lang w:eastAsia="en-IN"/>
                <w14:ligatures w14:val="none"/>
              </w:rPr>
              <w:t xml:space="preserve">The </w:t>
            </w:r>
            <w:r w:rsidRPr="00492508">
              <w:rPr>
                <w:rFonts w:ascii="Calibri" w:eastAsia="Times New Roman" w:hAnsi="Calibri" w:cs="Calibri"/>
                <w:color w:val="000000"/>
                <w:kern w:val="0"/>
                <w:lang w:eastAsia="en-IN"/>
                <w14:ligatures w14:val="none"/>
              </w:rPr>
              <w:t>reinstatement</w:t>
            </w:r>
            <w:r w:rsidRPr="00221C26">
              <w:rPr>
                <w:rFonts w:ascii="Calibri" w:eastAsia="Times New Roman" w:hAnsi="Calibri" w:cs="Calibri"/>
                <w:color w:val="000000"/>
                <w:kern w:val="0"/>
                <w:lang w:eastAsia="en-IN"/>
                <w14:ligatures w14:val="none"/>
              </w:rPr>
              <w:t xml:space="preserve"> of such illustration can be considered.</w:t>
            </w:r>
          </w:p>
        </w:tc>
      </w:tr>
      <w:tr w:rsidR="00CC422C" w:rsidRPr="00532E7E" w14:paraId="14F8C6E0"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FF685E5"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1BD4454D"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Application for obtaining an advance ruling under section 383 of ITA 2025</w:t>
            </w:r>
          </w:p>
          <w:p w14:paraId="397362E8" w14:textId="77777777" w:rsidR="00CC422C" w:rsidRPr="00221C26" w:rsidRDefault="00CC422C" w:rsidP="00CC422C">
            <w:pPr>
              <w:spacing w:after="120" w:line="276" w:lineRule="auto"/>
              <w:rPr>
                <w:rFonts w:ascii="Calibri" w:hAnsi="Calibri" w:cs="Calibri"/>
                <w:b/>
              </w:rPr>
            </w:pPr>
          </w:p>
          <w:p w14:paraId="1AA62025"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Rule 44E of IT Rules 1962</w:t>
            </w:r>
          </w:p>
          <w:p w14:paraId="722BF851"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(Section 245Q of ITA 1961)</w:t>
            </w:r>
          </w:p>
          <w:p w14:paraId="1BE22334" w14:textId="77777777" w:rsidR="00CC422C" w:rsidRPr="00221C26" w:rsidRDefault="00CC422C" w:rsidP="00CC422C">
            <w:pPr>
              <w:spacing w:after="120" w:line="276" w:lineRule="auto"/>
              <w:rPr>
                <w:rFonts w:ascii="Calibri" w:hAnsi="Calibri" w:cs="Calibri"/>
                <w:b/>
                <w:lang w:bidi="en-US"/>
              </w:rPr>
            </w:pPr>
          </w:p>
          <w:p w14:paraId="4D6D4B65"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Rule 200 of Draft IT Rules 2026 (Section 383 of ITA 2025)</w:t>
            </w:r>
          </w:p>
          <w:p w14:paraId="74F242CC" w14:textId="77777777" w:rsidR="00CC422C" w:rsidRPr="00221C26" w:rsidRDefault="00CC422C" w:rsidP="00CC422C">
            <w:pPr>
              <w:spacing w:after="120" w:line="276" w:lineRule="auto"/>
              <w:rPr>
                <w:rFonts w:ascii="Calibri" w:hAnsi="Calibri" w:cs="Calibri"/>
                <w:b/>
              </w:rPr>
            </w:pPr>
          </w:p>
          <w:p w14:paraId="6F7B797B" w14:textId="6D700929" w:rsidR="00CC422C" w:rsidRPr="00221C26" w:rsidRDefault="00CC422C" w:rsidP="00CC422C">
            <w:pPr>
              <w:spacing w:after="120" w:line="276" w:lineRule="auto"/>
              <w:rPr>
                <w:rFonts w:ascii="Calibri" w:eastAsia="Times New Roman" w:hAnsi="Calibri" w:cs="Calibri"/>
                <w:b/>
                <w:color w:val="000000"/>
                <w:kern w:val="0"/>
                <w:lang w:eastAsia="en-IN"/>
                <w14:ligatures w14:val="none"/>
              </w:rPr>
            </w:pPr>
          </w:p>
        </w:tc>
        <w:tc>
          <w:tcPr>
            <w:tcW w:w="10404" w:type="dxa"/>
            <w:tcBorders>
              <w:top w:val="single" w:sz="4" w:space="0" w:color="auto"/>
              <w:left w:val="single" w:sz="4" w:space="0" w:color="auto"/>
              <w:bottom w:val="single" w:sz="4" w:space="0" w:color="auto"/>
              <w:right w:val="single" w:sz="4" w:space="0" w:color="auto"/>
            </w:tcBorders>
          </w:tcPr>
          <w:p w14:paraId="591ED220"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 xml:space="preserve">Rationale </w:t>
            </w:r>
          </w:p>
          <w:p w14:paraId="0E6FE8CC" w14:textId="77777777" w:rsidR="00CC422C" w:rsidRPr="00221C26" w:rsidRDefault="00CC422C" w:rsidP="00CC422C">
            <w:pPr>
              <w:spacing w:after="120" w:line="276" w:lineRule="auto"/>
              <w:ind w:right="279"/>
              <w:rPr>
                <w:rFonts w:ascii="Calibri" w:hAnsi="Calibri" w:cs="Calibri"/>
                <w:b/>
                <w:u w:val="single"/>
              </w:rPr>
            </w:pPr>
            <w:r w:rsidRPr="00221C26">
              <w:rPr>
                <w:rFonts w:ascii="Calibri" w:hAnsi="Calibri" w:cs="Calibri"/>
                <w:b/>
                <w:u w:val="single"/>
              </w:rPr>
              <w:t>Ambiguity in reference made to Rule 167 in Rule 200(3)</w:t>
            </w:r>
          </w:p>
          <w:p w14:paraId="7642A569"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hAnsi="Calibri" w:cs="Calibri"/>
              </w:rPr>
              <w:t>Rule 200(3) prescribes the manner in which advance ruling application is to be signed/ furnished before the IT authorities. An extract of the same is reproduced below for reference:</w:t>
            </w:r>
          </w:p>
          <w:p w14:paraId="75D09C09"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“…the application … shall be signed or digitally signed and furnished through registered email address by the person as provided in rule 167.”</w:t>
            </w:r>
          </w:p>
          <w:p w14:paraId="5EFEFEE0"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eastAsia="Times New Roman" w:hAnsi="Calibri" w:cs="Calibri"/>
                <w:color w:val="000000"/>
                <w:kern w:val="0"/>
                <w:lang w:eastAsia="en-IN"/>
                <w14:ligatures w14:val="none"/>
              </w:rPr>
              <w:t>However</w:t>
            </w:r>
            <w:r w:rsidRPr="00221C26">
              <w:rPr>
                <w:rFonts w:ascii="Calibri" w:hAnsi="Calibri" w:cs="Calibri"/>
              </w:rPr>
              <w:t>, on reference to Rule 167 we understand that it applies exclusively to appeals filed in Form No. 99 under section 358 before the JCIT(A)/CIT(A). Extract of Rule 167 is captured below for ease of reference:</w:t>
            </w:r>
          </w:p>
          <w:p w14:paraId="7784D015"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“(1) An appeal to the Joint Commissioner (Appeals) or the Commissioner (Appeals) shall be made in Form No. 99. </w:t>
            </w:r>
          </w:p>
          <w:p w14:paraId="3D2FA75F"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(2) Form No. 99 shall be furnished in the following manner, namely: — </w:t>
            </w:r>
          </w:p>
          <w:p w14:paraId="6834B729"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(a) in the case of a person who is required to furnish return of income </w:t>
            </w:r>
          </w:p>
          <w:p w14:paraId="49637CF5"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electronically under rule 164 and rule 180, — </w:t>
            </w:r>
          </w:p>
          <w:p w14:paraId="08BD8D69"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(i) by furnishing the form electronically under digital signature, if </w:t>
            </w:r>
          </w:p>
          <w:p w14:paraId="6AE6B6C8"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the return of income is furnished under digital signature; </w:t>
            </w:r>
          </w:p>
          <w:p w14:paraId="2FFEF4FE"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(ii) by furnishing the form electronically through electronic </w:t>
            </w:r>
          </w:p>
          <w:p w14:paraId="6309821F"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verification code in a case not covered under item (i); </w:t>
            </w:r>
          </w:p>
          <w:p w14:paraId="7ED1D4E5"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(b) in a case where the assessee has the option to furnish the return of </w:t>
            </w:r>
          </w:p>
          <w:p w14:paraId="52E15C23"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income in paper form, by furnishing the form electronically in accordance with clause (a).</w:t>
            </w:r>
          </w:p>
          <w:p w14:paraId="2A9889CD"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 xml:space="preserve">(3) The form of appeal referred to in sub-rule (1), shall be verified by the person who is authorised to verify the return of income under section 265 of the Act, as applicable to the assessee. </w:t>
            </w:r>
          </w:p>
          <w:p w14:paraId="38EB4435" w14:textId="77777777" w:rsidR="00CC422C" w:rsidRPr="00221C26" w:rsidRDefault="00CC422C" w:rsidP="00CC422C">
            <w:pPr>
              <w:spacing w:after="120" w:line="276" w:lineRule="auto"/>
              <w:ind w:left="1083" w:right="279"/>
              <w:rPr>
                <w:rFonts w:ascii="Calibri" w:hAnsi="Calibri" w:cs="Calibri"/>
                <w:i/>
              </w:rPr>
            </w:pPr>
            <w:r w:rsidRPr="00221C26">
              <w:rPr>
                <w:rFonts w:ascii="Calibri" w:hAnsi="Calibri" w:cs="Calibri"/>
                <w:i/>
              </w:rPr>
              <w:t>(4) Any document accompanying Form No. 99 shall be furnished in the manner in which the said form is furnished.”</w:t>
            </w:r>
          </w:p>
          <w:p w14:paraId="34A46AB7"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hAnsi="Calibri" w:cs="Calibri"/>
              </w:rPr>
              <w:t>None of the provisions in Rule 167 relate to advance ruling applications which are governed by section 383 of IT Act 2025 therefore such cross reference creates a structural mismatch within the Rules. Rule 167(3) requires verification by person authorised to verify the return, applying this to advance ruling applicants especially: non-residents who do not file return in India, foreign entities without DSC may create arbitrary compliance conditions. Furthermore, Rule 167 does not define signatory requirements for Form 120 (Advance Ruling Application) or permitted modes of filing advance ruling applications, or procedures for filing through registered email.</w:t>
            </w:r>
          </w:p>
          <w:p w14:paraId="229EB092"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eastAsia="Times New Roman" w:hAnsi="Calibri" w:cs="Calibri"/>
                <w:color w:val="000000"/>
                <w:kern w:val="0"/>
                <w:lang w:eastAsia="en-IN"/>
                <w14:ligatures w14:val="none"/>
              </w:rPr>
              <w:t>Historically</w:t>
            </w:r>
            <w:r w:rsidRPr="00221C26">
              <w:rPr>
                <w:rFonts w:ascii="Calibri" w:hAnsi="Calibri" w:cs="Calibri"/>
              </w:rPr>
              <w:t>, erstwhile Rule 44E prescribed dedicated signature and verification provisions and did not rely on appeal-related procedural rules. This new cross-reference contradicts an otherwise established legislative architecture.</w:t>
            </w:r>
          </w:p>
          <w:p w14:paraId="3CE88C75"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40613FEB"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eastAsia="Times New Roman" w:hAnsi="Calibri" w:cs="Calibri"/>
                <w:color w:val="000000"/>
                <w:kern w:val="0"/>
                <w:lang w:eastAsia="en-IN"/>
                <w14:ligatures w14:val="none"/>
              </w:rPr>
              <w:t>Delete</w:t>
            </w:r>
            <w:r w:rsidRPr="00221C26">
              <w:rPr>
                <w:rFonts w:ascii="Calibri" w:hAnsi="Calibri" w:cs="Calibri"/>
              </w:rPr>
              <w:t xml:space="preserve"> the reference to Rule 167 and insert an independent, self</w:t>
            </w:r>
            <w:r w:rsidRPr="00221C26">
              <w:rPr>
                <w:rFonts w:ascii="Calibri" w:hAnsi="Calibri" w:cs="Calibri"/>
              </w:rPr>
              <w:noBreakHyphen/>
              <w:t>contained verification and filing provision appropriate for advance ruling applications.</w:t>
            </w:r>
          </w:p>
          <w:p w14:paraId="6DDDE4EC" w14:textId="77777777" w:rsidR="00CC422C" w:rsidRPr="00221C26" w:rsidRDefault="00CC422C" w:rsidP="00CC422C">
            <w:pPr>
              <w:pStyle w:val="ListParagraph"/>
              <w:numPr>
                <w:ilvl w:val="0"/>
                <w:numId w:val="3"/>
              </w:numPr>
              <w:spacing w:after="120" w:line="276" w:lineRule="auto"/>
              <w:contextualSpacing w:val="0"/>
              <w:rPr>
                <w:rFonts w:ascii="Calibri" w:hAnsi="Calibri" w:cs="Calibri"/>
              </w:rPr>
            </w:pPr>
            <w:r w:rsidRPr="00221C26">
              <w:rPr>
                <w:rFonts w:ascii="Calibri" w:eastAsia="Times New Roman" w:hAnsi="Calibri" w:cs="Calibri"/>
                <w:color w:val="000000"/>
                <w:kern w:val="0"/>
                <w:lang w:eastAsia="en-IN"/>
                <w14:ligatures w14:val="none"/>
              </w:rPr>
              <w:t>Proposed</w:t>
            </w:r>
            <w:r w:rsidRPr="00221C26">
              <w:rPr>
                <w:rFonts w:ascii="Calibri" w:hAnsi="Calibri" w:cs="Calibri"/>
              </w:rPr>
              <w:t xml:space="preserve"> revised text for Rule 200(3):</w:t>
            </w:r>
          </w:p>
          <w:p w14:paraId="74A427AB" w14:textId="77777777" w:rsidR="00CC422C" w:rsidRPr="00221C26" w:rsidRDefault="00CC422C" w:rsidP="00CC422C">
            <w:pPr>
              <w:spacing w:after="120" w:line="276" w:lineRule="auto"/>
              <w:ind w:left="1225"/>
              <w:rPr>
                <w:rFonts w:ascii="Calibri" w:hAnsi="Calibri" w:cs="Calibri"/>
                <w:i/>
              </w:rPr>
            </w:pPr>
            <w:r w:rsidRPr="00221C26">
              <w:rPr>
                <w:rFonts w:ascii="Calibri" w:hAnsi="Calibri" w:cs="Calibri"/>
                <w:i/>
              </w:rPr>
              <w:t>“(3) The application referred to in sub</w:t>
            </w:r>
            <w:r w:rsidRPr="00221C26">
              <w:rPr>
                <w:rFonts w:ascii="Calibri" w:hAnsi="Calibri" w:cs="Calibri"/>
                <w:i/>
              </w:rPr>
              <w:noBreakHyphen/>
              <w:t>rule (1), the verification appended thereto, the annexures and the statements and documents accompanying the application shall be furnished electronically and shall be signed or digitally signed in the following manner:—</w:t>
            </w:r>
          </w:p>
          <w:p w14:paraId="5892C7BA" w14:textId="77777777" w:rsidR="00CC422C" w:rsidRPr="00221C26" w:rsidRDefault="00CC422C" w:rsidP="00CC422C">
            <w:pPr>
              <w:spacing w:after="120" w:line="276" w:lineRule="auto"/>
              <w:ind w:left="1225"/>
              <w:rPr>
                <w:rFonts w:ascii="Calibri" w:hAnsi="Calibri" w:cs="Calibri"/>
                <w:i/>
              </w:rPr>
            </w:pPr>
            <w:r w:rsidRPr="00221C26">
              <w:rPr>
                <w:rFonts w:ascii="Calibri" w:hAnsi="Calibri" w:cs="Calibri"/>
                <w:i/>
              </w:rPr>
              <w:t>(a) where the applicant is a person required to furnish a return of income under the Act, the application and accompanying documents shall be signed or digitally signed by the person who is authorised to verify such return under section 265, and shall be furnished electronically—</w:t>
            </w:r>
            <w:r w:rsidRPr="00221C26">
              <w:rPr>
                <w:rFonts w:ascii="Calibri" w:hAnsi="Calibri" w:cs="Calibri"/>
                <w:i/>
              </w:rPr>
              <w:br/>
              <w:t>(i) under digital signature, if the return of income is required to be furnished under digital signature; or</w:t>
            </w:r>
            <w:r w:rsidRPr="00221C26">
              <w:rPr>
                <w:rFonts w:ascii="Calibri" w:hAnsi="Calibri" w:cs="Calibri"/>
                <w:i/>
              </w:rPr>
              <w:br/>
              <w:t>(ii) through electronic verification code, in any other case.</w:t>
            </w:r>
          </w:p>
          <w:p w14:paraId="1205071C" w14:textId="77777777" w:rsidR="00CC422C" w:rsidRPr="00221C26" w:rsidRDefault="00CC422C" w:rsidP="00CC422C">
            <w:pPr>
              <w:spacing w:after="120" w:line="276" w:lineRule="auto"/>
              <w:ind w:left="1225"/>
              <w:rPr>
                <w:rFonts w:ascii="Calibri" w:hAnsi="Calibri" w:cs="Calibri"/>
                <w:i/>
              </w:rPr>
            </w:pPr>
            <w:r w:rsidRPr="00221C26">
              <w:rPr>
                <w:rFonts w:ascii="Calibri" w:hAnsi="Calibri" w:cs="Calibri"/>
                <w:i/>
              </w:rPr>
              <w:t>(b) where the applicant is not a person required to furnish a return of income under the Act, the application and accompanying documents shall be signed or digitally signed by any person duly authorised by the applicant for this purpose and holding a valid power of attorney, and may be furnished using digital signature or electronic verification code as specified by the Board.”</w:t>
            </w:r>
          </w:p>
          <w:p w14:paraId="6EF054F9" w14:textId="65EE7D29" w:rsidR="00CC422C" w:rsidRPr="00221C26" w:rsidRDefault="00CC422C" w:rsidP="00CC422C">
            <w:pPr>
              <w:pStyle w:val="ListParagraph"/>
              <w:numPr>
                <w:ilvl w:val="0"/>
                <w:numId w:val="3"/>
              </w:numPr>
              <w:spacing w:after="120" w:line="276" w:lineRule="auto"/>
              <w:contextualSpacing w:val="0"/>
              <w:rPr>
                <w:rFonts w:ascii="Calibri" w:hAnsi="Calibri" w:cs="Calibri"/>
                <w:b/>
                <w:lang w:bidi="en-US"/>
              </w:rPr>
            </w:pPr>
            <w:r w:rsidRPr="00221C26">
              <w:rPr>
                <w:rFonts w:ascii="Calibri" w:eastAsia="Times New Roman" w:hAnsi="Calibri" w:cs="Calibri"/>
                <w:color w:val="000000"/>
                <w:kern w:val="0"/>
                <w:lang w:eastAsia="en-IN"/>
                <w14:ligatures w14:val="none"/>
              </w:rPr>
              <w:t>Alternatively</w:t>
            </w:r>
            <w:r w:rsidRPr="00221C26">
              <w:rPr>
                <w:rFonts w:ascii="Calibri" w:hAnsi="Calibri" w:cs="Calibri"/>
              </w:rPr>
              <w:t>, if alignment with general e-filing rules is required, cross reference may be made.</w:t>
            </w:r>
          </w:p>
        </w:tc>
      </w:tr>
      <w:tr w:rsidR="00CC422C" w:rsidRPr="00532E7E" w14:paraId="00A4D5E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2A21637"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EAE2800"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Due diligence requirement -</w:t>
            </w:r>
          </w:p>
          <w:p w14:paraId="0A416D3C"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Rule 114H(3)(b) of IT Rules 1962</w:t>
            </w:r>
          </w:p>
          <w:p w14:paraId="7F3B216E" w14:textId="02FF1C5D" w:rsidR="00CC422C" w:rsidRPr="00221C26" w:rsidRDefault="00CC422C" w:rsidP="00CC422C">
            <w:pPr>
              <w:spacing w:after="120" w:line="276" w:lineRule="auto"/>
              <w:rPr>
                <w:rFonts w:ascii="Calibri" w:hAnsi="Calibri" w:cs="Calibri"/>
                <w:b/>
              </w:rPr>
            </w:pPr>
            <w:r w:rsidRPr="00221C26">
              <w:rPr>
                <w:rFonts w:ascii="Calibri" w:hAnsi="Calibri" w:cs="Calibri"/>
                <w:b/>
              </w:rPr>
              <w:t>Rule 240(3)(b) of Draft IT Rules 2026</w:t>
            </w:r>
          </w:p>
        </w:tc>
        <w:tc>
          <w:tcPr>
            <w:tcW w:w="10404" w:type="dxa"/>
            <w:tcBorders>
              <w:top w:val="single" w:sz="4" w:space="0" w:color="auto"/>
              <w:left w:val="single" w:sz="4" w:space="0" w:color="auto"/>
              <w:bottom w:val="single" w:sz="4" w:space="0" w:color="auto"/>
              <w:right w:val="single" w:sz="4" w:space="0" w:color="auto"/>
            </w:tcBorders>
          </w:tcPr>
          <w:p w14:paraId="79127196"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 xml:space="preserve">Recommendation </w:t>
            </w:r>
          </w:p>
          <w:p w14:paraId="539C8B37"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sub-rule should be redrafted as to reduce the compliance burden and litigation by simplifying the due diligence procedure.</w:t>
            </w:r>
          </w:p>
          <w:p w14:paraId="3795A369"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sub-rule should additionally include the following before clause (i)-</w:t>
            </w:r>
          </w:p>
          <w:p w14:paraId="02AAB23D" w14:textId="77777777" w:rsidR="00CC422C" w:rsidRPr="00221C26" w:rsidRDefault="00CC422C" w:rsidP="00CC422C">
            <w:pPr>
              <w:spacing w:after="120" w:line="276" w:lineRule="auto"/>
              <w:ind w:left="941" w:right="117"/>
              <w:rPr>
                <w:rFonts w:ascii="Calibri" w:hAnsi="Calibri" w:cs="Calibri"/>
                <w:i/>
              </w:rPr>
            </w:pPr>
            <w:r w:rsidRPr="00221C26">
              <w:rPr>
                <w:rFonts w:ascii="Calibri" w:hAnsi="Calibri" w:cs="Calibri"/>
                <w:i/>
              </w:rPr>
              <w:t>“a reporting financial institution has in its records a current residence address for the individual account holder based on documentary evidence, the institution may treat the individual account holder as a resident for tax purposes of the jurisdiction in which the address is located for the purpose of determining whether the individual account holder is a reportable person;”</w:t>
            </w:r>
          </w:p>
          <w:p w14:paraId="69847F63"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And clause (i) should be redrafted as-</w:t>
            </w:r>
          </w:p>
          <w:p w14:paraId="1B17DFC5" w14:textId="77777777" w:rsidR="00CC422C" w:rsidRPr="00221C26" w:rsidRDefault="00CC422C" w:rsidP="00CC422C">
            <w:pPr>
              <w:spacing w:after="120" w:line="276" w:lineRule="auto"/>
              <w:ind w:left="1083" w:right="117"/>
              <w:rPr>
                <w:rFonts w:ascii="Calibri" w:hAnsi="Calibri" w:cs="Calibri"/>
                <w:i/>
              </w:rPr>
            </w:pPr>
            <w:r w:rsidRPr="00221C26">
              <w:rPr>
                <w:rFonts w:ascii="Calibri" w:hAnsi="Calibri" w:cs="Calibri"/>
                <w:i/>
              </w:rPr>
              <w:t xml:space="preserve">“a reporting financial institution does not rely on the current residence address for the individual account holder based on documentary evidence as mentioned above, the reporting financial institution must review electronically searchable data maintained by the reporting financial institution for any of the following indicia, and apply provisions contained in sub-clauses (ii) to (v), namely:- </w:t>
            </w:r>
          </w:p>
          <w:p w14:paraId="7DF05B22"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 xml:space="preserve">identification of the account holder as a resident of any country or territory outside India for tax purposes or unambiguous indication of a place of birth in the United States of America; or </w:t>
            </w:r>
          </w:p>
          <w:p w14:paraId="08E52E00"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 xml:space="preserve">current mailing or residence address (including a post office box) in any country or territory outside India; or </w:t>
            </w:r>
          </w:p>
          <w:p w14:paraId="5B227936"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 xml:space="preserve">one or more telephone numbers in a country or territory outside India and no telephone number in India; or </w:t>
            </w:r>
          </w:p>
          <w:p w14:paraId="5490E3D5"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 xml:space="preserve">in case of U.S. reportable account, any standing instructions to transfer funds to an account maintained in a country or territory outside India and in case of other reportable account, any standing instructions (other than with respect to a depository account) to transfer funds to an account maintained in a country or territory outside India; or </w:t>
            </w:r>
          </w:p>
          <w:p w14:paraId="55814CB3"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 xml:space="preserve">currently effective power of attorney or signatory authority granted to a person with an address in a country or territory outside India; or </w:t>
            </w:r>
          </w:p>
          <w:p w14:paraId="5C686590" w14:textId="77777777" w:rsidR="00CC422C" w:rsidRPr="00221C26" w:rsidRDefault="00CC422C" w:rsidP="00CC422C">
            <w:pPr>
              <w:pStyle w:val="ListParagraph"/>
              <w:numPr>
                <w:ilvl w:val="0"/>
                <w:numId w:val="41"/>
              </w:numPr>
              <w:spacing w:after="120" w:line="276" w:lineRule="auto"/>
              <w:ind w:left="1083" w:right="117"/>
              <w:contextualSpacing w:val="0"/>
              <w:rPr>
                <w:rFonts w:ascii="Calibri" w:hAnsi="Calibri" w:cs="Calibri"/>
                <w:i/>
              </w:rPr>
            </w:pPr>
            <w:r w:rsidRPr="00221C26">
              <w:rPr>
                <w:rFonts w:ascii="Calibri" w:hAnsi="Calibri" w:cs="Calibri"/>
                <w:i/>
              </w:rPr>
              <w:t>a "hold mail" instruction or "in-care-of" address in a country or territory outside India if the reporting financial institution does not have any other address on file for the account holder;”</w:t>
            </w:r>
          </w:p>
          <w:p w14:paraId="1A7E76EB" w14:textId="2C0D2CCA" w:rsidR="00CC422C" w:rsidRPr="00221C26" w:rsidRDefault="00CC422C" w:rsidP="00CC422C">
            <w:pPr>
              <w:numPr>
                <w:ilvl w:val="0"/>
                <w:numId w:val="3"/>
              </w:numPr>
              <w:spacing w:after="120" w:line="276" w:lineRule="auto"/>
              <w:rPr>
                <w:rFonts w:ascii="Calibri" w:hAnsi="Calibri" w:cs="Calibri"/>
                <w:b/>
                <w:lang w:bidi="en-US"/>
              </w:rPr>
            </w:pPr>
            <w:r w:rsidRPr="00221C26">
              <w:rPr>
                <w:rFonts w:ascii="Calibri" w:hAnsi="Calibri" w:cs="Calibri"/>
              </w:rPr>
              <w:t>The proposed amendments aim to make the pre-existing accounts due</w:t>
            </w:r>
            <w:r w:rsidRPr="00221C26">
              <w:rPr>
                <w:rFonts w:ascii="Calibri" w:hAnsi="Calibri" w:cs="Calibri"/>
              </w:rPr>
              <w:noBreakHyphen/>
              <w:t>diligence process easier, more practical, and less burdensome for reporting financial institutions. The suggestion is to let institutions rely on a customer’s current, documentary evidence based residence address as a simple and straightforward way to determine tax residency. This avoids unnecessary checks when reliable information is already available. Only if the institution chooses not to rely on this address, should it be required to look for specific indicators in its electronic records to decide whether further review is needed. Overall, the redraft introduces a simpler first step and reserves detailed checks only for cases where the current residence address test is not used, thereby reducing complexity and compliance effort.</w:t>
            </w:r>
          </w:p>
        </w:tc>
      </w:tr>
      <w:tr w:rsidR="00CC422C" w:rsidRPr="00532E7E" w14:paraId="297F25F9"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0A11388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67A12C58"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Clause (a) of the Explanation to Rule 114F(1) of IT Rules 1962</w:t>
            </w:r>
          </w:p>
          <w:p w14:paraId="2D2F1671" w14:textId="77777777" w:rsidR="00CC422C" w:rsidRPr="00221C26" w:rsidRDefault="00CC422C" w:rsidP="00CC422C">
            <w:pPr>
              <w:spacing w:after="120" w:line="276" w:lineRule="auto"/>
              <w:rPr>
                <w:rFonts w:ascii="Calibri" w:eastAsia="Times New Roman" w:hAnsi="Calibri" w:cs="Calibri"/>
                <w:b/>
                <w:color w:val="000000"/>
                <w:kern w:val="0"/>
                <w:lang w:eastAsia="en-IN"/>
                <w14:ligatures w14:val="none"/>
              </w:rPr>
            </w:pPr>
          </w:p>
          <w:p w14:paraId="51B33AB6" w14:textId="5E123F7C" w:rsidR="00CC422C" w:rsidRPr="00221C26" w:rsidRDefault="00CC422C" w:rsidP="00CC422C">
            <w:pPr>
              <w:spacing w:after="120" w:line="276" w:lineRule="auto"/>
              <w:rPr>
                <w:rFonts w:ascii="Calibri" w:hAnsi="Calibri" w:cs="Calibri"/>
                <w:b/>
              </w:rPr>
            </w:pPr>
            <w:r w:rsidRPr="00221C26">
              <w:rPr>
                <w:rFonts w:ascii="Calibri" w:hAnsi="Calibri" w:cs="Calibri"/>
                <w:b/>
              </w:rPr>
              <w:t>Additional Explanation to clause (a) of the Explanation to Rule 238(1) of Draft IT Rules 2026</w:t>
            </w:r>
          </w:p>
        </w:tc>
        <w:tc>
          <w:tcPr>
            <w:tcW w:w="10404" w:type="dxa"/>
            <w:tcBorders>
              <w:top w:val="single" w:sz="4" w:space="0" w:color="auto"/>
              <w:left w:val="single" w:sz="4" w:space="0" w:color="auto"/>
              <w:bottom w:val="single" w:sz="4" w:space="0" w:color="auto"/>
              <w:right w:val="single" w:sz="4" w:space="0" w:color="auto"/>
            </w:tcBorders>
          </w:tcPr>
          <w:p w14:paraId="4E6C9DA9"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 xml:space="preserve">Rationale </w:t>
            </w:r>
          </w:p>
          <w:p w14:paraId="37E9309B"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eastAsia="Times New Roman" w:hAnsi="Calibri" w:cs="Calibri"/>
                <w:color w:val="000000"/>
                <w:kern w:val="0"/>
                <w:lang w:eastAsia="en-IN"/>
                <w14:ligatures w14:val="none"/>
              </w:rPr>
              <w:t>Explanation</w:t>
            </w:r>
            <w:r w:rsidRPr="00221C26">
              <w:rPr>
                <w:rFonts w:ascii="Calibri" w:hAnsi="Calibri" w:cs="Calibri"/>
              </w:rPr>
              <w:t xml:space="preserve"> to the said explanation contains -</w:t>
            </w:r>
          </w:p>
          <w:p w14:paraId="07FA7B29" w14:textId="77777777" w:rsidR="00CC422C" w:rsidRPr="00221C26" w:rsidRDefault="00CC422C" w:rsidP="00CC422C">
            <w:pPr>
              <w:spacing w:after="120" w:line="276" w:lineRule="auto"/>
              <w:ind w:left="941"/>
              <w:rPr>
                <w:rFonts w:ascii="Calibri" w:hAnsi="Calibri" w:cs="Calibri"/>
                <w:i/>
              </w:rPr>
            </w:pPr>
            <w:r w:rsidRPr="00221C26">
              <w:rPr>
                <w:rFonts w:ascii="Calibri" w:hAnsi="Calibri" w:cs="Calibri"/>
              </w:rPr>
              <w:t>“</w:t>
            </w:r>
            <w:r w:rsidRPr="00221C26">
              <w:rPr>
                <w:rFonts w:ascii="Calibri" w:hAnsi="Calibri" w:cs="Calibri"/>
                <w:i/>
              </w:rPr>
              <w:t>Explanation. — For the purposes of sub-clause (v), “central bank digital currencies” shall have the same meaning as assigned in rule 241;”</w:t>
            </w:r>
          </w:p>
          <w:p w14:paraId="2F5386FF"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eastAsia="Times New Roman" w:hAnsi="Calibri" w:cs="Calibri"/>
                <w:color w:val="000000"/>
                <w:kern w:val="0"/>
                <w:lang w:eastAsia="en-IN"/>
                <w14:ligatures w14:val="none"/>
              </w:rPr>
              <w:t>Herein</w:t>
            </w:r>
            <w:r w:rsidRPr="00221C26">
              <w:rPr>
                <w:rFonts w:ascii="Calibri" w:hAnsi="Calibri" w:cs="Calibri"/>
              </w:rPr>
              <w:t>, the reference to “sub-clause (v)” is incorrect as this refers to the cash value insurance contract, etc. Whilst this relates to depository account which is referred to in the clause (a) of the Explanation above.</w:t>
            </w:r>
          </w:p>
          <w:p w14:paraId="326EB9D5"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 xml:space="preserve">Based on the drafting of the said rule, it can be misinterpreted that, the explanation is applicable to sub-clause (v) of Rule 238(1) only which relates to the cash value insurance contract. The explanation pertains to </w:t>
            </w:r>
            <w:r w:rsidRPr="00221C26">
              <w:rPr>
                <w:rFonts w:ascii="Calibri" w:hAnsi="Calibri" w:cs="Calibri"/>
                <w:i/>
              </w:rPr>
              <w:t xml:space="preserve">“central bank digital currencies” </w:t>
            </w:r>
            <w:r w:rsidRPr="00221C26">
              <w:rPr>
                <w:rFonts w:ascii="Calibri" w:hAnsi="Calibri" w:cs="Calibri"/>
              </w:rPr>
              <w:t>should be applicable to the depository account for the purpose of FATCA and CRS and same is explained in Clause (a) of the Explanation to Rule 238(1)).</w:t>
            </w:r>
          </w:p>
          <w:p w14:paraId="5CDBE802"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7B608770"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 xml:space="preserve">The </w:t>
            </w:r>
            <w:r w:rsidRPr="00221C26">
              <w:rPr>
                <w:rFonts w:ascii="Calibri" w:eastAsia="Times New Roman" w:hAnsi="Calibri" w:cs="Calibri"/>
                <w:color w:val="000000"/>
                <w:kern w:val="0"/>
                <w:lang w:eastAsia="en-IN"/>
                <w14:ligatures w14:val="none"/>
              </w:rPr>
              <w:t>wordings</w:t>
            </w:r>
            <w:r w:rsidRPr="00221C26">
              <w:rPr>
                <w:rFonts w:ascii="Calibri" w:hAnsi="Calibri" w:cs="Calibri"/>
              </w:rPr>
              <w:t xml:space="preserve"> “sub-clause (v)” should be replaced by “clause (a) of the Explanation above” and should be redrafted as follows-</w:t>
            </w:r>
          </w:p>
          <w:p w14:paraId="63E02883" w14:textId="4138D769" w:rsidR="00CC422C" w:rsidRPr="00221C26" w:rsidRDefault="00CC422C" w:rsidP="00CC422C">
            <w:pPr>
              <w:spacing w:after="120" w:line="276" w:lineRule="auto"/>
              <w:rPr>
                <w:rFonts w:ascii="Calibri" w:hAnsi="Calibri" w:cs="Calibri"/>
                <w:b/>
                <w:lang w:bidi="en-US"/>
              </w:rPr>
            </w:pPr>
            <w:r w:rsidRPr="00221C26">
              <w:rPr>
                <w:rFonts w:ascii="Calibri" w:hAnsi="Calibri" w:cs="Calibri"/>
              </w:rPr>
              <w:t>“</w:t>
            </w:r>
            <w:r w:rsidRPr="00221C26">
              <w:rPr>
                <w:rFonts w:ascii="Calibri" w:hAnsi="Calibri" w:cs="Calibri"/>
                <w:i/>
              </w:rPr>
              <w:t xml:space="preserve">Explanation. — For the purposes of </w:t>
            </w:r>
            <w:r w:rsidRPr="00221C26">
              <w:rPr>
                <w:rFonts w:ascii="Calibri" w:hAnsi="Calibri" w:cs="Calibri"/>
                <w:b/>
                <w:i/>
              </w:rPr>
              <w:t>clause (a) of the Explanation to Rule 114F(1)</w:t>
            </w:r>
            <w:r w:rsidRPr="00221C26" w:rsidDel="002C4F88">
              <w:rPr>
                <w:rFonts w:ascii="Calibri" w:hAnsi="Calibri" w:cs="Calibri"/>
                <w:b/>
                <w:i/>
              </w:rPr>
              <w:t xml:space="preserve"> </w:t>
            </w:r>
            <w:r w:rsidRPr="00221C26">
              <w:rPr>
                <w:rFonts w:ascii="Calibri" w:hAnsi="Calibri" w:cs="Calibri"/>
                <w:i/>
              </w:rPr>
              <w:t>, “central bank digital currencies” shall have the same meaning as assigned in rule 241;”</w:t>
            </w:r>
          </w:p>
        </w:tc>
      </w:tr>
      <w:tr w:rsidR="00CC422C" w:rsidRPr="00532E7E" w14:paraId="637622D4"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2B8DE68"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9390E0D" w14:textId="737FD922" w:rsidR="00CC422C" w:rsidRPr="00221C26" w:rsidRDefault="00CC422C" w:rsidP="00CC422C">
            <w:pPr>
              <w:spacing w:after="120" w:line="276" w:lineRule="auto"/>
              <w:rPr>
                <w:rFonts w:ascii="Calibri" w:hAnsi="Calibri" w:cs="Calibri"/>
                <w:b/>
              </w:rPr>
            </w:pPr>
            <w:r w:rsidRPr="00221C26">
              <w:rPr>
                <w:rFonts w:ascii="Calibri" w:hAnsi="Calibri" w:cs="Calibri"/>
                <w:b/>
              </w:rPr>
              <w:t>Clause (h)(viii) of the Explanation to Rule 238(1) of Draft IT Rules 2026</w:t>
            </w:r>
          </w:p>
        </w:tc>
        <w:tc>
          <w:tcPr>
            <w:tcW w:w="10404" w:type="dxa"/>
            <w:tcBorders>
              <w:top w:val="single" w:sz="4" w:space="0" w:color="auto"/>
              <w:left w:val="single" w:sz="4" w:space="0" w:color="auto"/>
              <w:bottom w:val="single" w:sz="4" w:space="0" w:color="auto"/>
              <w:right w:val="single" w:sz="4" w:space="0" w:color="auto"/>
            </w:tcBorders>
          </w:tcPr>
          <w:p w14:paraId="76EA8E8D"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 xml:space="preserve">Rationale </w:t>
            </w:r>
          </w:p>
          <w:p w14:paraId="1F6BBE9F"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 xml:space="preserve">The clause (h)(viii) of the Explanation to Rule 238(1) should specifically relate to depository account in line with OECD CRS Consolidated Text. </w:t>
            </w:r>
          </w:p>
          <w:p w14:paraId="037C95EF"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 xml:space="preserve">The existing language (without reference to depository account) does not clearly identify the type of account to which the exclusion applies, creating ambiguity in interpretation. </w:t>
            </w:r>
          </w:p>
          <w:p w14:paraId="5D909FD4"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10507617"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Clause (h)(viii) of the Explanation to Rule 238(1) should include (Text highlighted in bold below) and should be redrafted as follows –</w:t>
            </w:r>
          </w:p>
          <w:p w14:paraId="79CEFD4F" w14:textId="77777777" w:rsidR="00CC422C" w:rsidRPr="00221C26" w:rsidRDefault="00CC422C" w:rsidP="00CC422C">
            <w:pPr>
              <w:spacing w:after="120" w:line="276" w:lineRule="auto"/>
              <w:ind w:left="1083"/>
              <w:rPr>
                <w:rFonts w:ascii="Calibri" w:hAnsi="Calibri" w:cs="Calibri"/>
                <w:i/>
              </w:rPr>
            </w:pPr>
            <w:r w:rsidRPr="00221C26">
              <w:rPr>
                <w:rFonts w:ascii="Calibri" w:hAnsi="Calibri" w:cs="Calibri"/>
                <w:i/>
              </w:rPr>
              <w:t>“</w:t>
            </w:r>
            <w:r w:rsidRPr="00221C26">
              <w:rPr>
                <w:rFonts w:ascii="Calibri" w:hAnsi="Calibri" w:cs="Calibri"/>
                <w:b/>
                <w:i/>
              </w:rPr>
              <w:t>a depository account, other than U.S. reportable account</w:t>
            </w:r>
            <w:r w:rsidRPr="00221C26">
              <w:rPr>
                <w:rFonts w:ascii="Calibri" w:hAnsi="Calibri" w:cs="Calibri"/>
                <w:i/>
              </w:rPr>
              <w:t>, which represents all specified electronic money products held for the benefit of a customer, if the rolling average 90 day end-of-day aggregate account balance or value during any period of 90 consecutive days did not exceed USD 10,000 at any day during the calendar year or other appropriate reporting period”.</w:t>
            </w:r>
          </w:p>
          <w:p w14:paraId="1CDCF37F" w14:textId="14D8BF4E" w:rsidR="00CC422C" w:rsidRPr="00221C26" w:rsidRDefault="00CC422C" w:rsidP="00CC422C">
            <w:pPr>
              <w:numPr>
                <w:ilvl w:val="0"/>
                <w:numId w:val="3"/>
              </w:numPr>
              <w:spacing w:after="120" w:line="276" w:lineRule="auto"/>
              <w:rPr>
                <w:rFonts w:ascii="Calibri" w:hAnsi="Calibri" w:cs="Calibri"/>
                <w:b/>
                <w:lang w:bidi="en-US"/>
              </w:rPr>
            </w:pPr>
            <w:r w:rsidRPr="00221C26">
              <w:rPr>
                <w:rFonts w:ascii="Calibri" w:hAnsi="Calibri" w:cs="Calibri"/>
              </w:rPr>
              <w:t>The proposed redraft—identifying a depository account for CRS purposes—provides the necessary clarity and ensures that the rule accurately reflects the CRS framework and its intended scope.</w:t>
            </w:r>
          </w:p>
        </w:tc>
      </w:tr>
      <w:tr w:rsidR="00CC422C" w:rsidRPr="00532E7E" w14:paraId="1E54B0F3"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283B7E5"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AE3E7CF" w14:textId="77777777" w:rsidR="00CC422C" w:rsidRPr="00221C26" w:rsidRDefault="00CC422C" w:rsidP="00CC422C">
            <w:pPr>
              <w:spacing w:after="120" w:line="276" w:lineRule="auto"/>
              <w:ind w:left="61"/>
              <w:rPr>
                <w:rFonts w:ascii="Calibri" w:hAnsi="Calibri" w:cs="Calibri"/>
                <w:b/>
              </w:rPr>
            </w:pPr>
            <w:r w:rsidRPr="00221C26">
              <w:rPr>
                <w:rFonts w:ascii="Calibri" w:hAnsi="Calibri" w:cs="Calibri"/>
                <w:b/>
              </w:rPr>
              <w:t>Explanation (h) to Rule 114F(1) of IT Rules 1962</w:t>
            </w:r>
          </w:p>
          <w:p w14:paraId="6440B20F" w14:textId="77777777" w:rsidR="00CC422C" w:rsidRPr="00221C26" w:rsidRDefault="00CC422C" w:rsidP="00CC422C">
            <w:pPr>
              <w:spacing w:after="120" w:line="276" w:lineRule="auto"/>
              <w:ind w:left="61"/>
              <w:rPr>
                <w:rFonts w:ascii="Calibri" w:eastAsia="Times New Roman" w:hAnsi="Calibri" w:cs="Calibri"/>
                <w:b/>
                <w:color w:val="000000"/>
                <w:kern w:val="0"/>
                <w:lang w:eastAsia="en-IN"/>
                <w14:ligatures w14:val="none"/>
              </w:rPr>
            </w:pPr>
          </w:p>
          <w:p w14:paraId="7232BAEF" w14:textId="1E17E4B5" w:rsidR="00CC422C" w:rsidRPr="00221C26" w:rsidRDefault="00CC422C" w:rsidP="00CC422C">
            <w:pPr>
              <w:spacing w:after="120" w:line="276" w:lineRule="auto"/>
              <w:rPr>
                <w:rFonts w:ascii="Calibri" w:hAnsi="Calibri" w:cs="Calibri"/>
                <w:b/>
              </w:rPr>
            </w:pPr>
            <w:r w:rsidRPr="00221C26">
              <w:rPr>
                <w:rFonts w:ascii="Calibri" w:hAnsi="Calibri" w:cs="Calibri"/>
                <w:b/>
              </w:rPr>
              <w:t>Explanation (h) to Rule 238(1) of Draft IT Rules 2026</w:t>
            </w:r>
          </w:p>
        </w:tc>
        <w:tc>
          <w:tcPr>
            <w:tcW w:w="10404" w:type="dxa"/>
            <w:tcBorders>
              <w:top w:val="single" w:sz="4" w:space="0" w:color="auto"/>
              <w:left w:val="single" w:sz="4" w:space="0" w:color="auto"/>
              <w:bottom w:val="single" w:sz="4" w:space="0" w:color="auto"/>
              <w:right w:val="single" w:sz="4" w:space="0" w:color="auto"/>
            </w:tcBorders>
          </w:tcPr>
          <w:p w14:paraId="77B610C8"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Rationale</w:t>
            </w:r>
          </w:p>
          <w:p w14:paraId="1EAEB634"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explanation should be expanded to include an additional clause on dormant accounts, consistent with the OECD CRS Consolidated Text. Incorporating this provision will streamline compliance obligations, particularly given the large volume of dormant accounts in India, where conducting full due</w:t>
            </w:r>
            <w:r w:rsidRPr="00221C26">
              <w:rPr>
                <w:rFonts w:ascii="Calibri" w:hAnsi="Calibri" w:cs="Calibri"/>
              </w:rPr>
              <w:noBreakHyphen/>
              <w:t>diligence procedures has become increasingly challenging.</w:t>
            </w:r>
          </w:p>
          <w:p w14:paraId="2F90B1F2"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5D076E93"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explanation should additionally include the clause for dormant account as follows-</w:t>
            </w:r>
          </w:p>
          <w:p w14:paraId="0129D932" w14:textId="77777777" w:rsidR="00CC422C" w:rsidRPr="00221C26" w:rsidRDefault="00CC422C" w:rsidP="00CC422C">
            <w:pPr>
              <w:spacing w:after="120" w:line="276" w:lineRule="auto"/>
              <w:ind w:left="714"/>
              <w:rPr>
                <w:rFonts w:ascii="Calibri" w:hAnsi="Calibri" w:cs="Calibri"/>
                <w:i/>
              </w:rPr>
            </w:pPr>
            <w:r w:rsidRPr="00221C26">
              <w:rPr>
                <w:rFonts w:ascii="Calibri" w:hAnsi="Calibri" w:cs="Calibri"/>
                <w:i/>
              </w:rPr>
              <w:t>“An account (other than an annuity contract) with a balance that does not exceed one thousand U.S. dollars is an excluded account if— </w:t>
            </w:r>
          </w:p>
          <w:p w14:paraId="3D7DF3D5" w14:textId="77777777" w:rsidR="00CC422C" w:rsidRPr="00221C26" w:rsidRDefault="00CC422C" w:rsidP="00CC422C">
            <w:pPr>
              <w:pStyle w:val="ListParagraph"/>
              <w:numPr>
                <w:ilvl w:val="0"/>
                <w:numId w:val="39"/>
              </w:numPr>
              <w:spacing w:after="120" w:line="276" w:lineRule="auto"/>
              <w:ind w:left="1281"/>
              <w:contextualSpacing w:val="0"/>
              <w:rPr>
                <w:rFonts w:ascii="Calibri" w:hAnsi="Calibri" w:cs="Calibri"/>
                <w:i/>
              </w:rPr>
            </w:pPr>
            <w:r w:rsidRPr="00221C26">
              <w:rPr>
                <w:rFonts w:ascii="Calibri" w:hAnsi="Calibri" w:cs="Calibri"/>
                <w:i/>
              </w:rPr>
              <w:t>the account holder has not initiated a transaction with regard to the account or any other account held by the account holder with a reporting financial institution in the previous 3 years;</w:t>
            </w:r>
          </w:p>
          <w:p w14:paraId="240013B7" w14:textId="77777777" w:rsidR="00CC422C" w:rsidRPr="00221C26" w:rsidRDefault="00CC422C" w:rsidP="00CC422C">
            <w:pPr>
              <w:pStyle w:val="ListParagraph"/>
              <w:numPr>
                <w:ilvl w:val="0"/>
                <w:numId w:val="39"/>
              </w:numPr>
              <w:spacing w:after="120" w:line="276" w:lineRule="auto"/>
              <w:ind w:left="1281"/>
              <w:contextualSpacing w:val="0"/>
              <w:rPr>
                <w:rFonts w:ascii="Calibri" w:hAnsi="Calibri" w:cs="Calibri"/>
                <w:i/>
              </w:rPr>
            </w:pPr>
            <w:r w:rsidRPr="00221C26">
              <w:rPr>
                <w:rFonts w:ascii="Calibri" w:hAnsi="Calibri" w:cs="Calibri"/>
                <w:i/>
              </w:rPr>
              <w:t>the account holder has not communicated with the reporting financial institution regarding the account or any other account held by the account holder with the reporting financial institution in the previous 6 years; and </w:t>
            </w:r>
          </w:p>
          <w:p w14:paraId="3201108C" w14:textId="77777777" w:rsidR="00CC422C" w:rsidRPr="00221C26" w:rsidRDefault="00CC422C" w:rsidP="00CC422C">
            <w:pPr>
              <w:spacing w:after="120" w:line="276" w:lineRule="auto"/>
              <w:ind w:left="1281"/>
              <w:rPr>
                <w:rFonts w:ascii="Calibri" w:hAnsi="Calibri" w:cs="Calibri"/>
                <w:i/>
              </w:rPr>
            </w:pPr>
            <w:r w:rsidRPr="00221C26">
              <w:rPr>
                <w:rFonts w:ascii="Calibri" w:hAnsi="Calibri" w:cs="Calibri"/>
                <w:i/>
              </w:rPr>
              <w:t xml:space="preserve"> (for the account being a cash value insurance contract) the reporting financial institution has not communicated with the account holder regarding the account or any other account held by the account holder with the reporting financial institution in the previous 6 years.</w:t>
            </w:r>
          </w:p>
          <w:p w14:paraId="1F3A6580" w14:textId="6DE4A61F" w:rsidR="00CC422C" w:rsidRPr="00221C26" w:rsidRDefault="00CC422C" w:rsidP="00CC422C">
            <w:pPr>
              <w:numPr>
                <w:ilvl w:val="0"/>
                <w:numId w:val="3"/>
              </w:numPr>
              <w:spacing w:after="120" w:line="276" w:lineRule="auto"/>
              <w:rPr>
                <w:rFonts w:ascii="Calibri" w:hAnsi="Calibri" w:cs="Calibri"/>
                <w:b/>
              </w:rPr>
            </w:pPr>
            <w:r w:rsidRPr="00221C26">
              <w:rPr>
                <w:rFonts w:ascii="Calibri" w:hAnsi="Calibri" w:cs="Calibri"/>
              </w:rPr>
              <w:t>The clause should be included to align the law with the OECD CRS Consolidated Text and the proposed CRS 2.0 amendments concerning dormant accounts. During the dormancy period, such accounts are considered low risk for tax evasion, as alternative safeguards already provide equivalent assurance. Incorporating this provision into the IT Rules, 2026 will ensure consistency with global standards and help alleviate the compliance challenges arising from remediating and consequential reporting of large number of dormant accounts in India.</w:t>
            </w:r>
          </w:p>
        </w:tc>
      </w:tr>
      <w:tr w:rsidR="00CC422C" w:rsidRPr="00532E7E" w14:paraId="0280439D"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F9E0B69"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452D042A"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Explanation (a) to Rule 114F(3) of IT Rules 1962</w:t>
            </w:r>
          </w:p>
          <w:p w14:paraId="6B059FD7" w14:textId="77777777" w:rsidR="00CC422C" w:rsidRPr="00221C26" w:rsidRDefault="00CC422C" w:rsidP="00CC422C">
            <w:pPr>
              <w:spacing w:after="120" w:line="276" w:lineRule="auto"/>
              <w:ind w:left="61"/>
              <w:rPr>
                <w:rFonts w:ascii="Calibri" w:eastAsia="Times New Roman" w:hAnsi="Calibri" w:cs="Calibri"/>
                <w:b/>
                <w:color w:val="000000"/>
                <w:kern w:val="0"/>
                <w:lang w:eastAsia="en-IN"/>
                <w14:ligatures w14:val="none"/>
              </w:rPr>
            </w:pPr>
          </w:p>
          <w:p w14:paraId="4D289462" w14:textId="22D16DFE" w:rsidR="00CC422C" w:rsidRPr="00221C26" w:rsidRDefault="00CC422C" w:rsidP="00CC422C">
            <w:pPr>
              <w:spacing w:after="120" w:line="276" w:lineRule="auto"/>
              <w:rPr>
                <w:rFonts w:ascii="Calibri" w:hAnsi="Calibri" w:cs="Calibri"/>
                <w:b/>
              </w:rPr>
            </w:pPr>
            <w:r w:rsidRPr="00221C26">
              <w:rPr>
                <w:rFonts w:ascii="Calibri" w:hAnsi="Calibri" w:cs="Calibri"/>
                <w:b/>
              </w:rPr>
              <w:t>Explanation (a) to Rule 238(3) of Draft IT Rules 2026</w:t>
            </w:r>
          </w:p>
        </w:tc>
        <w:tc>
          <w:tcPr>
            <w:tcW w:w="10404" w:type="dxa"/>
            <w:tcBorders>
              <w:top w:val="single" w:sz="4" w:space="0" w:color="auto"/>
              <w:left w:val="single" w:sz="4" w:space="0" w:color="auto"/>
              <w:bottom w:val="single" w:sz="4" w:space="0" w:color="auto"/>
              <w:right w:val="single" w:sz="4" w:space="0" w:color="auto"/>
            </w:tcBorders>
          </w:tcPr>
          <w:p w14:paraId="1CAB1278"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 xml:space="preserve">Rationale </w:t>
            </w:r>
          </w:p>
          <w:p w14:paraId="69F05278"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Explanation for the Custodial Institution is not in line with the OECD CRS Consolidated Text.</w:t>
            </w:r>
          </w:p>
          <w:p w14:paraId="4398AD5F" w14:textId="77777777" w:rsidR="00CC422C" w:rsidRPr="00221C26" w:rsidRDefault="00CC422C" w:rsidP="00CC422C">
            <w:pPr>
              <w:spacing w:after="120" w:line="276" w:lineRule="auto"/>
              <w:rPr>
                <w:rFonts w:ascii="Calibri" w:hAnsi="Calibri" w:cs="Calibri"/>
                <w:b/>
                <w:lang w:bidi="en-US"/>
              </w:rPr>
            </w:pPr>
            <w:r w:rsidRPr="00221C26">
              <w:rPr>
                <w:rFonts w:ascii="Calibri" w:hAnsi="Calibri" w:cs="Calibri"/>
                <w:b/>
                <w:lang w:bidi="en-US"/>
              </w:rPr>
              <w:t>Recommendation</w:t>
            </w:r>
          </w:p>
          <w:p w14:paraId="533FDEF1"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said explanation should additionally include (Text highlighted in bold below) and should be redrafted as follows-</w:t>
            </w:r>
          </w:p>
          <w:p w14:paraId="54589DB0" w14:textId="77777777" w:rsidR="00CC422C" w:rsidRPr="00221C26" w:rsidRDefault="00CC422C" w:rsidP="00CC422C">
            <w:pPr>
              <w:spacing w:after="120" w:line="276" w:lineRule="auto"/>
              <w:ind w:left="1139"/>
              <w:rPr>
                <w:rFonts w:ascii="Calibri" w:hAnsi="Calibri" w:cs="Calibri"/>
                <w:i/>
              </w:rPr>
            </w:pPr>
            <w:r w:rsidRPr="00221C26">
              <w:rPr>
                <w:rFonts w:ascii="Calibri" w:hAnsi="Calibri" w:cs="Calibri"/>
              </w:rPr>
              <w:t>“</w:t>
            </w:r>
            <w:r w:rsidRPr="00221C26">
              <w:rPr>
                <w:rFonts w:ascii="Calibri" w:hAnsi="Calibri" w:cs="Calibri"/>
                <w:i/>
              </w:rPr>
              <w:t>"custodial institution" means any entity that holds, as a substantial portion of its business, financial assets for the account of others and where its income attributable to the holding of financial assets and related financial services equals or exceeds twenty per cent of its gross income during the three financial years preceding the year in which determination is made or the period during which the entity has been in existence, whichever is less.</w:t>
            </w:r>
          </w:p>
          <w:p w14:paraId="66A6567B" w14:textId="77777777" w:rsidR="00CC422C" w:rsidRPr="00221C26" w:rsidRDefault="00CC422C" w:rsidP="00CC422C">
            <w:pPr>
              <w:spacing w:after="120" w:line="276" w:lineRule="auto"/>
              <w:ind w:left="1139"/>
              <w:rPr>
                <w:rFonts w:ascii="Calibri" w:hAnsi="Calibri" w:cs="Calibri"/>
                <w:b/>
                <w:i/>
                <w:u w:val="single"/>
              </w:rPr>
            </w:pPr>
            <w:r w:rsidRPr="00221C26">
              <w:rPr>
                <w:rFonts w:ascii="Calibri" w:hAnsi="Calibri" w:cs="Calibri"/>
                <w:b/>
                <w:i/>
                <w:u w:val="single"/>
              </w:rPr>
              <w:t>Income attributable to holding Financial Assets and related financial services” means custody, account maintenance, and transfer fees; commissions and fees earned from executing and pricing securities transactions with respect to Financial Assets held in custody; income earned from extending credit to customers with respect to Financial Assets held in custody (or acquired through such extension of credit); income earned on the bid-ask spread of Financial Assets held in custody; and fees for providing financial advice with respect to Financial Assets held in (or potentially to be held in) custody by the entity; and for clearance and settlement services.</w:t>
            </w:r>
          </w:p>
          <w:p w14:paraId="16509BF4" w14:textId="77777777" w:rsidR="00CC422C" w:rsidRPr="00221C26" w:rsidRDefault="00CC422C" w:rsidP="00CC422C">
            <w:pPr>
              <w:spacing w:after="120" w:line="276" w:lineRule="auto"/>
              <w:ind w:left="1139"/>
              <w:rPr>
                <w:rFonts w:ascii="Calibri" w:hAnsi="Calibri" w:cs="Calibri"/>
              </w:rPr>
            </w:pPr>
            <w:r w:rsidRPr="00221C26">
              <w:rPr>
                <w:rFonts w:ascii="Calibri" w:hAnsi="Calibri" w:cs="Calibri"/>
                <w:b/>
                <w:i/>
                <w:u w:val="single"/>
              </w:rPr>
              <w:t>Income attributable to related financial services also includes commissions and fees from holding, transferring and exchanging of Relevant Crypto-Assets held in custody;</w:t>
            </w:r>
            <w:r w:rsidRPr="00221C26">
              <w:rPr>
                <w:rFonts w:ascii="Calibri" w:hAnsi="Calibri" w:cs="Calibri"/>
              </w:rPr>
              <w:t>”</w:t>
            </w:r>
          </w:p>
          <w:p w14:paraId="2D7BAF5E"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proposed addition expands the explanation clause to expressly define the term “custodial institution” in line with the OECD CRS consolidated text. It clarifies the financial threshold for determining when an entity is considered to hold financial assets as a substantial portion of its business and specifies the categories of income that qualify as “income attributable to holding financial assets and related financial services.”</w:t>
            </w:r>
          </w:p>
          <w:p w14:paraId="28D15A41" w14:textId="7D0366D0" w:rsidR="00CC422C" w:rsidRPr="00221C26" w:rsidRDefault="00CC422C" w:rsidP="00CC422C">
            <w:pPr>
              <w:numPr>
                <w:ilvl w:val="0"/>
                <w:numId w:val="3"/>
              </w:numPr>
              <w:spacing w:after="120" w:line="276" w:lineRule="auto"/>
              <w:rPr>
                <w:rFonts w:ascii="Calibri" w:hAnsi="Calibri" w:cs="Calibri"/>
                <w:b/>
                <w:lang w:bidi="en-US"/>
              </w:rPr>
            </w:pPr>
            <w:r w:rsidRPr="00221C26">
              <w:rPr>
                <w:rFonts w:ascii="Calibri" w:hAnsi="Calibri" w:cs="Calibri"/>
              </w:rPr>
              <w:t>This ensures that the definition remains comprehensive, contemporary, and consistent with OECD CRS.</w:t>
            </w:r>
          </w:p>
        </w:tc>
      </w:tr>
      <w:tr w:rsidR="00CC422C" w:rsidRPr="00532E7E" w14:paraId="02792C98"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3728C650"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339AEF56"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Information to be maintained and reported –</w:t>
            </w:r>
          </w:p>
          <w:p w14:paraId="324CC55A" w14:textId="5E490F3B" w:rsidR="00CC422C" w:rsidRPr="00221C26" w:rsidRDefault="00CC422C" w:rsidP="00CC422C">
            <w:pPr>
              <w:spacing w:after="120" w:line="276" w:lineRule="auto"/>
              <w:rPr>
                <w:rFonts w:ascii="Calibri" w:hAnsi="Calibri" w:cs="Calibri"/>
                <w:b/>
              </w:rPr>
            </w:pPr>
            <w:r w:rsidRPr="00221C26">
              <w:rPr>
                <w:rFonts w:ascii="Calibri" w:hAnsi="Calibri" w:cs="Calibri"/>
                <w:b/>
              </w:rPr>
              <w:t>Rule 239 of Draft IT Rules 2026</w:t>
            </w:r>
          </w:p>
        </w:tc>
        <w:tc>
          <w:tcPr>
            <w:tcW w:w="10404" w:type="dxa"/>
            <w:tcBorders>
              <w:top w:val="single" w:sz="4" w:space="0" w:color="auto"/>
              <w:left w:val="single" w:sz="4" w:space="0" w:color="auto"/>
              <w:bottom w:val="single" w:sz="4" w:space="0" w:color="auto"/>
              <w:right w:val="single" w:sz="4" w:space="0" w:color="auto"/>
            </w:tcBorders>
          </w:tcPr>
          <w:p w14:paraId="3AF6E517"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Rationale</w:t>
            </w:r>
          </w:p>
          <w:p w14:paraId="2CBF84FD"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OECD CRS Consolidated text additionally proposes reporting requirement in relation to trust as follows –</w:t>
            </w:r>
          </w:p>
          <w:p w14:paraId="4A5DAB63" w14:textId="77777777" w:rsidR="00CC422C" w:rsidRPr="00221C26" w:rsidRDefault="00CC422C" w:rsidP="00CC422C">
            <w:pPr>
              <w:spacing w:after="120" w:line="276" w:lineRule="auto"/>
              <w:ind w:left="1083"/>
              <w:rPr>
                <w:rFonts w:ascii="Calibri" w:hAnsi="Calibri" w:cs="Calibri"/>
                <w:i/>
              </w:rPr>
            </w:pPr>
            <w:r w:rsidRPr="00221C26">
              <w:rPr>
                <w:rFonts w:ascii="Calibri" w:hAnsi="Calibri" w:cs="Calibri"/>
                <w:i/>
              </w:rPr>
              <w:t>“Where a discretionary beneficiary of a trust that is a Financial Institution receives a distribution from the trust in a given year, but not in a following year, the absence of a distribution does not constitute an account closure, as long as the beneficiary is not permanently excluded from receiving future distributions from the trust.”</w:t>
            </w:r>
          </w:p>
          <w:p w14:paraId="0684C7C4"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clause clarifies that, in the case of a discretionary beneficiary of a trust classified as a Financial Institution, the mere absence of a distribution in a subsequent year does not constitute an account closure, provided the beneficiary has not been permanently excluded from future distributions. The objective is to ensure uniform interpretation and consistent reporting treatment across reporting periods.</w:t>
            </w:r>
          </w:p>
          <w:p w14:paraId="2EF052AA"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In practice, Reporting Financial Institutions may misinterpret non</w:t>
            </w:r>
            <w:r w:rsidRPr="00221C26">
              <w:rPr>
                <w:rFonts w:ascii="Calibri" w:hAnsi="Calibri" w:cs="Calibri"/>
              </w:rPr>
              <w:noBreakHyphen/>
              <w:t xml:space="preserve">distribution year with account inactivity or closure, resulting in: </w:t>
            </w:r>
          </w:p>
          <w:p w14:paraId="54A020E5" w14:textId="77777777" w:rsidR="00CC422C" w:rsidRPr="00221C26" w:rsidRDefault="00CC422C" w:rsidP="00CC422C">
            <w:pPr>
              <w:pStyle w:val="ListParagraph"/>
              <w:numPr>
                <w:ilvl w:val="0"/>
                <w:numId w:val="40"/>
              </w:numPr>
              <w:spacing w:after="120" w:line="276" w:lineRule="auto"/>
              <w:ind w:left="1225" w:hanging="284"/>
              <w:contextualSpacing w:val="0"/>
              <w:rPr>
                <w:rFonts w:ascii="Calibri" w:hAnsi="Calibri" w:cs="Calibri"/>
              </w:rPr>
            </w:pPr>
            <w:r w:rsidRPr="00221C26">
              <w:rPr>
                <w:rFonts w:ascii="Calibri" w:hAnsi="Calibri" w:cs="Calibri"/>
              </w:rPr>
              <w:t>inconsistent year</w:t>
            </w:r>
            <w:r w:rsidRPr="00221C26">
              <w:rPr>
                <w:rFonts w:ascii="Calibri" w:hAnsi="Calibri" w:cs="Calibri"/>
              </w:rPr>
              <w:noBreakHyphen/>
              <w:t>on</w:t>
            </w:r>
            <w:r w:rsidRPr="00221C26">
              <w:rPr>
                <w:rFonts w:ascii="Calibri" w:hAnsi="Calibri" w:cs="Calibri"/>
              </w:rPr>
              <w:noBreakHyphen/>
              <w:t xml:space="preserve">year reporting of the same beneficiary cohort; </w:t>
            </w:r>
          </w:p>
          <w:p w14:paraId="1E1AC291" w14:textId="77777777" w:rsidR="00CC422C" w:rsidRPr="00221C26" w:rsidRDefault="00CC422C" w:rsidP="00CC422C">
            <w:pPr>
              <w:pStyle w:val="ListParagraph"/>
              <w:numPr>
                <w:ilvl w:val="0"/>
                <w:numId w:val="40"/>
              </w:numPr>
              <w:spacing w:after="120" w:line="276" w:lineRule="auto"/>
              <w:ind w:left="1225" w:hanging="284"/>
              <w:contextualSpacing w:val="0"/>
              <w:rPr>
                <w:rFonts w:ascii="Calibri" w:hAnsi="Calibri" w:cs="Calibri"/>
              </w:rPr>
            </w:pPr>
            <w:r w:rsidRPr="00221C26">
              <w:rPr>
                <w:rFonts w:ascii="Calibri" w:hAnsi="Calibri" w:cs="Calibri"/>
              </w:rPr>
              <w:t>unwarranted closure</w:t>
            </w:r>
            <w:r w:rsidRPr="00221C26">
              <w:rPr>
                <w:rFonts w:ascii="Calibri" w:hAnsi="Calibri" w:cs="Calibri"/>
              </w:rPr>
              <w:noBreakHyphen/>
              <w:t xml:space="preserve">related due diligence; and </w:t>
            </w:r>
          </w:p>
          <w:p w14:paraId="03A6F232" w14:textId="77777777" w:rsidR="00CC422C" w:rsidRPr="00221C26" w:rsidRDefault="00CC422C" w:rsidP="00CC422C">
            <w:pPr>
              <w:pStyle w:val="ListParagraph"/>
              <w:numPr>
                <w:ilvl w:val="0"/>
                <w:numId w:val="40"/>
              </w:numPr>
              <w:spacing w:after="120" w:line="276" w:lineRule="auto"/>
              <w:ind w:left="1225" w:hanging="284"/>
              <w:contextualSpacing w:val="0"/>
              <w:rPr>
                <w:rFonts w:ascii="Calibri" w:hAnsi="Calibri" w:cs="Calibri"/>
              </w:rPr>
            </w:pPr>
            <w:r w:rsidRPr="00221C26">
              <w:rPr>
                <w:rFonts w:ascii="Calibri" w:hAnsi="Calibri" w:cs="Calibri"/>
              </w:rPr>
              <w:t xml:space="preserve">potential misstatements in annual information submissions. </w:t>
            </w:r>
          </w:p>
          <w:p w14:paraId="36A62083"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The clause removes this ambiguity.</w:t>
            </w:r>
          </w:p>
          <w:p w14:paraId="1E3A0BD9" w14:textId="77777777" w:rsidR="00CC422C" w:rsidRPr="00221C26" w:rsidRDefault="00CC422C" w:rsidP="00CC422C">
            <w:pPr>
              <w:tabs>
                <w:tab w:val="left" w:pos="2847"/>
              </w:tabs>
              <w:spacing w:after="120" w:line="276" w:lineRule="auto"/>
              <w:rPr>
                <w:rFonts w:ascii="Calibri" w:hAnsi="Calibri" w:cs="Calibri"/>
                <w:b/>
              </w:rPr>
            </w:pPr>
            <w:r w:rsidRPr="00221C26">
              <w:rPr>
                <w:rFonts w:ascii="Calibri" w:hAnsi="Calibri" w:cs="Calibri"/>
                <w:b/>
              </w:rPr>
              <w:t>Recommendation</w:t>
            </w:r>
            <w:r w:rsidRPr="00221C26">
              <w:rPr>
                <w:rFonts w:ascii="Calibri" w:hAnsi="Calibri" w:cs="Calibri"/>
                <w:b/>
              </w:rPr>
              <w:tab/>
            </w:r>
          </w:p>
          <w:p w14:paraId="463BE2D0" w14:textId="33E53789" w:rsidR="00CC422C" w:rsidRPr="00221C26" w:rsidRDefault="00CC422C" w:rsidP="00CC422C">
            <w:pPr>
              <w:numPr>
                <w:ilvl w:val="0"/>
                <w:numId w:val="3"/>
              </w:numPr>
              <w:spacing w:after="120" w:line="276" w:lineRule="auto"/>
              <w:rPr>
                <w:rFonts w:ascii="Calibri" w:hAnsi="Calibri" w:cs="Calibri"/>
                <w:b/>
                <w:lang w:bidi="en-US"/>
              </w:rPr>
            </w:pPr>
            <w:r w:rsidRPr="00221C26">
              <w:rPr>
                <w:rFonts w:ascii="Calibri" w:hAnsi="Calibri" w:cs="Calibri"/>
              </w:rPr>
              <w:t>The rule should additionally contain the reporting requirements in relation to a discretionary beneficiary of the trust.</w:t>
            </w:r>
          </w:p>
        </w:tc>
      </w:tr>
      <w:tr w:rsidR="00CC422C" w:rsidRPr="00532E7E" w14:paraId="69DE3F2C"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66B176DD"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0E2A6E4D"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Rule 114H(5)(d)(iii)(B) of IT Rules 1962</w:t>
            </w:r>
          </w:p>
          <w:p w14:paraId="0CD6485B" w14:textId="77777777" w:rsidR="00CC422C" w:rsidRPr="00221C26" w:rsidRDefault="00CC422C" w:rsidP="00CC422C">
            <w:pPr>
              <w:spacing w:after="120" w:line="276" w:lineRule="auto"/>
              <w:rPr>
                <w:rFonts w:ascii="Calibri" w:hAnsi="Calibri" w:cs="Calibri"/>
                <w:b/>
              </w:rPr>
            </w:pPr>
          </w:p>
          <w:p w14:paraId="4129DD8B" w14:textId="4C5291D3" w:rsidR="00CC422C" w:rsidRPr="00221C26" w:rsidRDefault="00CC422C" w:rsidP="00CC422C">
            <w:pPr>
              <w:spacing w:after="120" w:line="276" w:lineRule="auto"/>
              <w:rPr>
                <w:rFonts w:ascii="Calibri" w:hAnsi="Calibri" w:cs="Calibri"/>
                <w:b/>
              </w:rPr>
            </w:pPr>
            <w:r w:rsidRPr="00221C26">
              <w:rPr>
                <w:rFonts w:ascii="Calibri" w:hAnsi="Calibri" w:cs="Calibri"/>
                <w:b/>
              </w:rPr>
              <w:t>Rule 240(5)(d)(iii)(B) of Draft IT Rules 2026</w:t>
            </w:r>
          </w:p>
        </w:tc>
        <w:tc>
          <w:tcPr>
            <w:tcW w:w="10404" w:type="dxa"/>
            <w:tcBorders>
              <w:top w:val="single" w:sz="4" w:space="0" w:color="auto"/>
              <w:left w:val="single" w:sz="4" w:space="0" w:color="auto"/>
              <w:bottom w:val="single" w:sz="4" w:space="0" w:color="auto"/>
              <w:right w:val="single" w:sz="4" w:space="0" w:color="auto"/>
            </w:tcBorders>
          </w:tcPr>
          <w:p w14:paraId="4BC90140" w14:textId="77777777" w:rsidR="00CC422C" w:rsidRPr="00836676" w:rsidRDefault="00CC422C" w:rsidP="00CC422C">
            <w:pPr>
              <w:spacing w:after="120" w:line="276" w:lineRule="auto"/>
              <w:rPr>
                <w:rFonts w:ascii="Calibri" w:hAnsi="Calibri" w:cs="Calibri"/>
                <w:b/>
                <w:bCs/>
              </w:rPr>
            </w:pPr>
            <w:r w:rsidRPr="00836676">
              <w:rPr>
                <w:rFonts w:ascii="Calibri" w:hAnsi="Calibri" w:cs="Calibri"/>
                <w:b/>
                <w:bCs/>
              </w:rPr>
              <w:t xml:space="preserve">Rationale </w:t>
            </w:r>
          </w:p>
          <w:p w14:paraId="7941D13C" w14:textId="77777777" w:rsidR="00CC422C" w:rsidRPr="00836676" w:rsidRDefault="00CC422C" w:rsidP="00CC422C">
            <w:pPr>
              <w:numPr>
                <w:ilvl w:val="0"/>
                <w:numId w:val="3"/>
              </w:numPr>
              <w:spacing w:after="120" w:line="276" w:lineRule="auto"/>
              <w:rPr>
                <w:rFonts w:ascii="Calibri" w:hAnsi="Calibri" w:cs="Calibri"/>
              </w:rPr>
            </w:pPr>
            <w:r w:rsidRPr="00836676">
              <w:rPr>
                <w:rFonts w:ascii="Calibri" w:hAnsi="Calibri" w:cs="Calibri"/>
              </w:rPr>
              <w:t>The Rule is not drafted in accordance with the OECD CRS Consolidated Text in the context of the Passive non-financial entity that are controlled by a listed entity (Pre-existing account).</w:t>
            </w:r>
          </w:p>
          <w:p w14:paraId="6D04D498" w14:textId="77777777" w:rsidR="00CC422C" w:rsidRPr="00836676" w:rsidRDefault="00CC422C" w:rsidP="00CC422C">
            <w:pPr>
              <w:spacing w:after="120" w:line="276" w:lineRule="auto"/>
              <w:rPr>
                <w:rFonts w:ascii="Calibri" w:hAnsi="Calibri" w:cs="Calibri"/>
                <w:b/>
                <w:bCs/>
              </w:rPr>
            </w:pPr>
            <w:r w:rsidRPr="00836676">
              <w:rPr>
                <w:rFonts w:ascii="Calibri" w:hAnsi="Calibri" w:cs="Calibri"/>
                <w:b/>
                <w:bCs/>
              </w:rPr>
              <w:t>Recommendation</w:t>
            </w:r>
          </w:p>
          <w:p w14:paraId="6D5CB756" w14:textId="77777777" w:rsidR="00CC422C" w:rsidRPr="00836676" w:rsidRDefault="00CC422C" w:rsidP="00CC422C">
            <w:pPr>
              <w:numPr>
                <w:ilvl w:val="0"/>
                <w:numId w:val="3"/>
              </w:numPr>
              <w:spacing w:after="120" w:line="276" w:lineRule="auto"/>
              <w:rPr>
                <w:rFonts w:ascii="Calibri" w:hAnsi="Calibri" w:cs="Calibri"/>
              </w:rPr>
            </w:pPr>
            <w:r w:rsidRPr="00836676">
              <w:rPr>
                <w:rFonts w:ascii="Calibri" w:hAnsi="Calibri" w:cs="Calibri"/>
              </w:rPr>
              <w:t>Based on the OECD CRS consolidated text, rule shall additionally include (Text highlighted in the bold below) the following –</w:t>
            </w:r>
          </w:p>
          <w:p w14:paraId="18F262A5" w14:textId="77777777" w:rsidR="00CC422C" w:rsidRPr="00836676" w:rsidRDefault="00CC422C" w:rsidP="00CC422C">
            <w:pPr>
              <w:spacing w:after="120" w:line="276" w:lineRule="auto"/>
              <w:ind w:left="720"/>
              <w:rPr>
                <w:rFonts w:ascii="Calibri" w:hAnsi="Calibri" w:cs="Calibri"/>
              </w:rPr>
            </w:pPr>
            <w:r w:rsidRPr="00836676">
              <w:rPr>
                <w:rFonts w:ascii="Calibri" w:hAnsi="Calibri" w:cs="Calibri"/>
                <w:i/>
                <w:iCs/>
              </w:rPr>
              <w:t xml:space="preserve">“for purposes of determining the controlling persons of an account holder, a reporting financial institution may rely on information collected and maintained in accordance with the rules made under the Prevention of Money-laundering Act, 2002 (15 of 2003). </w:t>
            </w:r>
            <w:r w:rsidRPr="00836676">
              <w:rPr>
                <w:rFonts w:ascii="Calibri" w:hAnsi="Calibri" w:cs="Calibri"/>
                <w:b/>
                <w:bCs/>
                <w:i/>
                <w:iCs/>
              </w:rPr>
              <w:t xml:space="preserve">Where a publicly </w:t>
            </w:r>
            <w:r w:rsidRPr="00492508">
              <w:rPr>
                <w:rFonts w:ascii="Calibri" w:hAnsi="Calibri" w:cs="Calibri"/>
                <w:b/>
                <w:i/>
                <w:u w:val="single"/>
              </w:rPr>
              <w:t>listed company</w:t>
            </w:r>
            <w:r w:rsidRPr="00836676">
              <w:rPr>
                <w:rFonts w:ascii="Calibri" w:hAnsi="Calibri" w:cs="Calibri"/>
                <w:b/>
                <w:bCs/>
                <w:i/>
                <w:iCs/>
              </w:rPr>
              <w:t xml:space="preserve"> exercises control over an Account Holder that is a Passive NFE, there is no requirement to determine the Controlling Persons of such company, if such company is already subject to disclosure requirements ensuring adequate transparency of beneficial ownership information;</w:t>
            </w:r>
            <w:r w:rsidRPr="00836676">
              <w:rPr>
                <w:rFonts w:ascii="Calibri" w:hAnsi="Calibri" w:cs="Calibri"/>
                <w:i/>
                <w:iCs/>
              </w:rPr>
              <w:t>”</w:t>
            </w:r>
          </w:p>
          <w:p w14:paraId="7E24EE7D" w14:textId="25BF05EC" w:rsidR="00CC422C" w:rsidRPr="00492508" w:rsidRDefault="00CC422C" w:rsidP="00CC422C">
            <w:pPr>
              <w:numPr>
                <w:ilvl w:val="0"/>
                <w:numId w:val="3"/>
              </w:numPr>
              <w:spacing w:after="120" w:line="276" w:lineRule="auto"/>
              <w:rPr>
                <w:rFonts w:ascii="Calibri" w:hAnsi="Calibri" w:cs="Calibri"/>
                <w:b/>
              </w:rPr>
            </w:pPr>
            <w:r w:rsidRPr="00836676">
              <w:rPr>
                <w:rFonts w:ascii="Calibri" w:hAnsi="Calibri" w:cs="Calibri"/>
              </w:rPr>
              <w:t>This clause clarifies that when a publicly listed company controls an Account Holder that is classified as a Passive NFE, the Reporting Financial Institution is not required to identify the company’s Controlling Persons, provided the company is already subject to public disclosure and beneficial ownership transparency requirements. The intent is to avoid duplicative due diligence where adequate transparency already exists, while maintaining alignment with the OECD CRS framework.</w:t>
            </w:r>
          </w:p>
        </w:tc>
      </w:tr>
      <w:tr w:rsidR="00CC422C" w:rsidRPr="00532E7E" w14:paraId="71BBCB6B" w14:textId="77777777" w:rsidTr="00B7062A">
        <w:trPr>
          <w:trHeight w:val="20"/>
        </w:trPr>
        <w:tc>
          <w:tcPr>
            <w:tcW w:w="924" w:type="dxa"/>
            <w:tcBorders>
              <w:top w:val="single" w:sz="4" w:space="0" w:color="auto"/>
              <w:left w:val="single" w:sz="4" w:space="0" w:color="auto"/>
              <w:bottom w:val="single" w:sz="4" w:space="0" w:color="auto"/>
              <w:right w:val="single" w:sz="4" w:space="0" w:color="auto"/>
            </w:tcBorders>
          </w:tcPr>
          <w:p w14:paraId="5EBB376C" w14:textId="77777777" w:rsidR="00CC422C" w:rsidRPr="00E643CB" w:rsidRDefault="00CC422C" w:rsidP="00CC422C">
            <w:pPr>
              <w:numPr>
                <w:ilvl w:val="0"/>
                <w:numId w:val="2"/>
              </w:numPr>
              <w:spacing w:after="120" w:line="276" w:lineRule="auto"/>
              <w:rPr>
                <w:rFonts w:ascii="Calibri" w:hAnsi="Calibri" w:cs="Calibri"/>
                <w:lang w:bidi="en-US"/>
              </w:rPr>
            </w:pPr>
          </w:p>
        </w:tc>
        <w:tc>
          <w:tcPr>
            <w:tcW w:w="2881" w:type="dxa"/>
            <w:tcBorders>
              <w:top w:val="single" w:sz="4" w:space="0" w:color="auto"/>
              <w:left w:val="single" w:sz="4" w:space="0" w:color="auto"/>
              <w:bottom w:val="single" w:sz="4" w:space="0" w:color="auto"/>
              <w:right w:val="single" w:sz="4" w:space="0" w:color="auto"/>
            </w:tcBorders>
          </w:tcPr>
          <w:p w14:paraId="7472AC17"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Rule 114H(4)(b) of IT Rules 1962</w:t>
            </w:r>
          </w:p>
          <w:p w14:paraId="6E40E411" w14:textId="77777777" w:rsidR="00CC422C" w:rsidRPr="00221C26" w:rsidRDefault="00CC422C" w:rsidP="00CC422C">
            <w:pPr>
              <w:spacing w:after="120" w:line="276" w:lineRule="auto"/>
              <w:rPr>
                <w:rFonts w:ascii="Calibri" w:hAnsi="Calibri" w:cs="Calibri"/>
                <w:b/>
              </w:rPr>
            </w:pPr>
          </w:p>
          <w:p w14:paraId="4F4A0BDE" w14:textId="7324AA3C" w:rsidR="00CC422C" w:rsidRPr="00221C26" w:rsidRDefault="00CC422C" w:rsidP="00CC422C">
            <w:pPr>
              <w:spacing w:after="120" w:line="276" w:lineRule="auto"/>
              <w:rPr>
                <w:rFonts w:ascii="Calibri" w:hAnsi="Calibri" w:cs="Calibri"/>
                <w:b/>
              </w:rPr>
            </w:pPr>
            <w:r w:rsidRPr="00221C26">
              <w:rPr>
                <w:rFonts w:ascii="Calibri" w:hAnsi="Calibri" w:cs="Calibri"/>
                <w:b/>
              </w:rPr>
              <w:t>Rule 240(4)(b) of Draft IT Rules 2026</w:t>
            </w:r>
          </w:p>
        </w:tc>
        <w:tc>
          <w:tcPr>
            <w:tcW w:w="10404" w:type="dxa"/>
            <w:tcBorders>
              <w:top w:val="single" w:sz="4" w:space="0" w:color="auto"/>
              <w:left w:val="single" w:sz="4" w:space="0" w:color="auto"/>
              <w:bottom w:val="single" w:sz="4" w:space="0" w:color="auto"/>
              <w:right w:val="single" w:sz="4" w:space="0" w:color="auto"/>
            </w:tcBorders>
          </w:tcPr>
          <w:p w14:paraId="164F8CE1"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 xml:space="preserve">Rationale </w:t>
            </w:r>
          </w:p>
          <w:p w14:paraId="04DC6411"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Based on the OECD CRS Consolidated Text, when implementing the Common Reporting Standard, jurisdictions may allow Reporting Financial Institutions to apply (i) either the residence address test or the electronic record search, or (ii) only the electronic record search. In the first case, jurisdictions may also allow Reporting Financial Institutions to make an election to apply the residence address test either with respect to all Lower Value Accounts or, separately, with respect to any clearly identified group of such accounts (such as by line of business or the location where the account is maintained).</w:t>
            </w:r>
          </w:p>
          <w:p w14:paraId="15F788DD"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India has adopted approach (ii) from the options outlined above; however, this has led to an inadequate due</w:t>
            </w:r>
            <w:r w:rsidRPr="00221C26">
              <w:rPr>
                <w:rFonts w:ascii="Cambria Math" w:hAnsi="Cambria Math" w:cs="Cambria Math"/>
              </w:rPr>
              <w:t>‑</w:t>
            </w:r>
            <w:r w:rsidRPr="00221C26">
              <w:rPr>
                <w:rFonts w:ascii="Calibri" w:hAnsi="Calibri" w:cs="Calibri"/>
              </w:rPr>
              <w:t>diligence framework for pre</w:t>
            </w:r>
            <w:r w:rsidRPr="00221C26">
              <w:rPr>
                <w:rFonts w:ascii="Cambria Math" w:hAnsi="Cambria Math" w:cs="Cambria Math"/>
              </w:rPr>
              <w:t>‑</w:t>
            </w:r>
            <w:r w:rsidRPr="00221C26">
              <w:rPr>
                <w:rFonts w:ascii="Calibri" w:hAnsi="Calibri" w:cs="Calibri"/>
              </w:rPr>
              <w:t>existing accounts. Because the current approach relies heavily on indicia</w:t>
            </w:r>
            <w:r w:rsidRPr="00221C26">
              <w:rPr>
                <w:rFonts w:ascii="Cambria Math" w:hAnsi="Cambria Math" w:cs="Cambria Math"/>
              </w:rPr>
              <w:t>‑</w:t>
            </w:r>
            <w:r w:rsidRPr="00221C26">
              <w:rPr>
                <w:rFonts w:ascii="Calibri" w:hAnsi="Calibri" w:cs="Calibri"/>
              </w:rPr>
              <w:t>based verification without offering a simpler, documentary</w:t>
            </w:r>
            <w:r w:rsidRPr="00221C26">
              <w:rPr>
                <w:rFonts w:ascii="Cambria Math" w:hAnsi="Cambria Math" w:cs="Cambria Math"/>
              </w:rPr>
              <w:t>‑</w:t>
            </w:r>
            <w:r w:rsidRPr="00221C26">
              <w:rPr>
                <w:rFonts w:ascii="Calibri" w:hAnsi="Calibri" w:cs="Calibri"/>
              </w:rPr>
              <w:t>evidence</w:t>
            </w:r>
            <w:r w:rsidRPr="00221C26">
              <w:rPr>
                <w:rFonts w:ascii="Cambria Math" w:hAnsi="Cambria Math" w:cs="Cambria Math"/>
              </w:rPr>
              <w:t>‑</w:t>
            </w:r>
            <w:r w:rsidRPr="00221C26">
              <w:rPr>
                <w:rFonts w:ascii="Calibri" w:hAnsi="Calibri" w:cs="Calibri"/>
              </w:rPr>
              <w:t>based first step, many accounts lack proper verification and require later remediation. This increases operational workload, creates inconsistencies in classification, and results in avoidable follow</w:t>
            </w:r>
            <w:r w:rsidRPr="00221C26">
              <w:rPr>
                <w:rFonts w:ascii="Cambria Math" w:hAnsi="Cambria Math" w:cs="Cambria Math"/>
              </w:rPr>
              <w:t>‑</w:t>
            </w:r>
            <w:r w:rsidRPr="00221C26">
              <w:rPr>
                <w:rFonts w:ascii="Calibri" w:hAnsi="Calibri" w:cs="Calibri"/>
              </w:rPr>
              <w:t>up actions for financial institutions.</w:t>
            </w:r>
          </w:p>
          <w:p w14:paraId="544A51F6" w14:textId="77777777" w:rsidR="00CC422C" w:rsidRPr="00221C26" w:rsidRDefault="00CC422C" w:rsidP="00CC422C">
            <w:pPr>
              <w:spacing w:after="120" w:line="276" w:lineRule="auto"/>
              <w:rPr>
                <w:rFonts w:ascii="Calibri" w:hAnsi="Calibri" w:cs="Calibri"/>
                <w:b/>
              </w:rPr>
            </w:pPr>
            <w:r w:rsidRPr="00221C26">
              <w:rPr>
                <w:rFonts w:ascii="Calibri" w:hAnsi="Calibri" w:cs="Calibri"/>
                <w:b/>
              </w:rPr>
              <w:t>Recommendation</w:t>
            </w:r>
          </w:p>
          <w:p w14:paraId="423735BD" w14:textId="77777777" w:rsidR="00CC422C" w:rsidRPr="00221C26" w:rsidRDefault="00CC422C" w:rsidP="00CC422C">
            <w:pPr>
              <w:numPr>
                <w:ilvl w:val="0"/>
                <w:numId w:val="3"/>
              </w:numPr>
              <w:spacing w:after="120" w:line="276" w:lineRule="auto"/>
              <w:rPr>
                <w:rFonts w:ascii="Calibri" w:hAnsi="Calibri" w:cs="Calibri"/>
              </w:rPr>
            </w:pPr>
            <w:r w:rsidRPr="00221C26">
              <w:rPr>
                <w:rFonts w:ascii="Calibri" w:hAnsi="Calibri" w:cs="Calibri"/>
              </w:rPr>
              <w:t>Based on the OECD CRS consolidated text, rule should additionally include the following after Rule 240(4)(b) –</w:t>
            </w:r>
          </w:p>
          <w:p w14:paraId="5B1578AA" w14:textId="77777777" w:rsidR="00CC422C" w:rsidRPr="00221C26" w:rsidRDefault="00CC422C" w:rsidP="00CC422C">
            <w:pPr>
              <w:spacing w:after="120" w:line="276" w:lineRule="auto"/>
              <w:ind w:left="720"/>
              <w:rPr>
                <w:rFonts w:ascii="Calibri" w:hAnsi="Calibri" w:cs="Calibri"/>
                <w:i/>
              </w:rPr>
            </w:pPr>
            <w:r w:rsidRPr="00221C26">
              <w:rPr>
                <w:rFonts w:ascii="Calibri" w:hAnsi="Calibri" w:cs="Calibri"/>
                <w:i/>
              </w:rPr>
              <w:t xml:space="preserve">“where a </w:t>
            </w:r>
            <w:r w:rsidRPr="00221C26">
              <w:rPr>
                <w:rFonts w:ascii="Calibri" w:hAnsi="Calibri" w:cs="Calibri"/>
              </w:rPr>
              <w:t>reporting</w:t>
            </w:r>
            <w:r w:rsidRPr="00221C26">
              <w:rPr>
                <w:rFonts w:ascii="Calibri" w:hAnsi="Calibri" w:cs="Calibri"/>
                <w:i/>
              </w:rPr>
              <w:t xml:space="preserve"> financial institution is considered to have confirmed the “reasonableness” of a self-certification if, in the course of account opening procedures and upon review of the information obtained in connection with the opening of the account (including any documentation collected pursuant to AML/KYC Procedures), it does not know or have reason to know that the self-certification is incorrect or unreliable. reporting financial institutions are not expected to carry out an independent legal analysis of relevant tax laws to confirm the reasonableness of a self-certification. </w:t>
            </w:r>
          </w:p>
          <w:p w14:paraId="61C2E5E7" w14:textId="77777777" w:rsidR="00CC422C" w:rsidRPr="00221C26" w:rsidRDefault="00CC422C" w:rsidP="00CC422C">
            <w:pPr>
              <w:spacing w:after="120" w:line="276" w:lineRule="auto"/>
              <w:ind w:left="720"/>
              <w:rPr>
                <w:rFonts w:ascii="Calibri" w:hAnsi="Calibri" w:cs="Calibri"/>
                <w:i/>
              </w:rPr>
            </w:pPr>
            <w:r w:rsidRPr="00221C26">
              <w:rPr>
                <w:rFonts w:ascii="Calibri" w:hAnsi="Calibri" w:cs="Calibri"/>
                <w:i/>
              </w:rPr>
              <w:t xml:space="preserve">In the case of a self-certification that would otherwise fail the reasonableness test, it is expected that in the course of the </w:t>
            </w:r>
            <w:r w:rsidRPr="00221C26">
              <w:rPr>
                <w:rFonts w:ascii="Calibri" w:hAnsi="Calibri" w:cs="Calibri"/>
              </w:rPr>
              <w:t>account</w:t>
            </w:r>
            <w:r w:rsidRPr="00221C26">
              <w:rPr>
                <w:rFonts w:ascii="Calibri" w:hAnsi="Calibri" w:cs="Calibri"/>
                <w:i/>
              </w:rPr>
              <w:t xml:space="preserve"> </w:t>
            </w:r>
            <w:r w:rsidRPr="00221C26">
              <w:rPr>
                <w:rFonts w:ascii="Calibri" w:hAnsi="Calibri" w:cs="Calibri"/>
              </w:rPr>
              <w:t>opening</w:t>
            </w:r>
            <w:r w:rsidRPr="00221C26">
              <w:rPr>
                <w:rFonts w:ascii="Calibri" w:hAnsi="Calibri" w:cs="Calibri"/>
                <w:i/>
              </w:rPr>
              <w:t xml:space="preserve"> procedures the reporting financial institution would obtain either </w:t>
            </w:r>
          </w:p>
          <w:p w14:paraId="0CFAA816" w14:textId="77777777" w:rsidR="00CC422C" w:rsidRPr="00221C26" w:rsidRDefault="00CC422C" w:rsidP="00CC422C">
            <w:pPr>
              <w:pStyle w:val="ListParagraph"/>
              <w:numPr>
                <w:ilvl w:val="0"/>
                <w:numId w:val="42"/>
              </w:numPr>
              <w:spacing w:after="120" w:line="276" w:lineRule="auto"/>
              <w:ind w:left="1225" w:right="127" w:hanging="142"/>
              <w:contextualSpacing w:val="0"/>
              <w:rPr>
                <w:rFonts w:ascii="Calibri" w:hAnsi="Calibri" w:cs="Calibri"/>
                <w:i/>
              </w:rPr>
            </w:pPr>
            <w:r w:rsidRPr="00221C26">
              <w:rPr>
                <w:rFonts w:ascii="Calibri" w:hAnsi="Calibri" w:cs="Calibri"/>
                <w:i/>
              </w:rPr>
              <w:t xml:space="preserve">a valid self-certification, or </w:t>
            </w:r>
          </w:p>
          <w:p w14:paraId="070F0D51" w14:textId="77777777" w:rsidR="00CC422C" w:rsidRPr="00221C26" w:rsidRDefault="00CC422C" w:rsidP="00CC422C">
            <w:pPr>
              <w:pStyle w:val="ListParagraph"/>
              <w:numPr>
                <w:ilvl w:val="0"/>
                <w:numId w:val="42"/>
              </w:numPr>
              <w:spacing w:after="120" w:line="276" w:lineRule="auto"/>
              <w:ind w:left="1225" w:right="127" w:hanging="142"/>
              <w:contextualSpacing w:val="0"/>
              <w:rPr>
                <w:rFonts w:ascii="Calibri" w:hAnsi="Calibri" w:cs="Calibri"/>
                <w:i/>
              </w:rPr>
            </w:pPr>
            <w:r w:rsidRPr="00221C26">
              <w:rPr>
                <w:rFonts w:ascii="Calibri" w:hAnsi="Calibri" w:cs="Calibri"/>
                <w:i/>
              </w:rPr>
              <w:t>a reasonable explanation and documentation (as appropriate) supporting the reasonableness of the self-certification (and retain a copy or a notation of such explanation and documentation).</w:t>
            </w:r>
          </w:p>
          <w:p w14:paraId="677E8E2D" w14:textId="77777777" w:rsidR="00CC422C" w:rsidRPr="00221C26" w:rsidRDefault="00CC422C" w:rsidP="00CC422C">
            <w:pPr>
              <w:spacing w:after="120" w:line="276" w:lineRule="auto"/>
              <w:ind w:left="720"/>
              <w:rPr>
                <w:rFonts w:ascii="Calibri" w:hAnsi="Calibri" w:cs="Calibri"/>
                <w:b/>
              </w:rPr>
            </w:pPr>
            <w:r w:rsidRPr="00221C26">
              <w:rPr>
                <w:rFonts w:ascii="Calibri" w:hAnsi="Calibri" w:cs="Calibri"/>
                <w:i/>
              </w:rPr>
              <w:t xml:space="preserve">where an individual Account Holder indicates on a self-certification that he or she does not have a residence for tax purposes, the Reporting </w:t>
            </w:r>
            <w:r w:rsidRPr="00221C26">
              <w:rPr>
                <w:rFonts w:ascii="Calibri" w:hAnsi="Calibri" w:cs="Calibri"/>
              </w:rPr>
              <w:t>Financial</w:t>
            </w:r>
            <w:r w:rsidRPr="00221C26">
              <w:rPr>
                <w:rFonts w:ascii="Calibri" w:hAnsi="Calibri" w:cs="Calibri"/>
                <w:i/>
              </w:rPr>
              <w:t xml:space="preserve"> Institution is required to confirm the reasonableness of the self-certification on the basis of other documentation, including any documentation collected pursuant to rules framed under the Prevention of Money-laundering Act, 2002 (15 of 2003) or any other law for the time being in force.”</w:t>
            </w:r>
          </w:p>
          <w:p w14:paraId="66B6111F" w14:textId="7D214590" w:rsidR="00CC422C" w:rsidRPr="00221C26" w:rsidRDefault="00CC422C" w:rsidP="00CC422C">
            <w:pPr>
              <w:numPr>
                <w:ilvl w:val="0"/>
                <w:numId w:val="3"/>
              </w:numPr>
              <w:spacing w:after="120" w:line="276" w:lineRule="auto"/>
              <w:rPr>
                <w:rFonts w:ascii="Calibri" w:hAnsi="Calibri" w:cs="Calibri"/>
                <w:b/>
              </w:rPr>
            </w:pPr>
            <w:r w:rsidRPr="00221C26">
              <w:rPr>
                <w:rFonts w:ascii="Calibri" w:hAnsi="Calibri" w:cs="Calibri"/>
              </w:rPr>
              <w:t>This clause clarifies that when an individual account holder declares on a self</w:t>
            </w:r>
            <w:r w:rsidRPr="00221C26">
              <w:rPr>
                <w:rFonts w:ascii="Calibri" w:hAnsi="Calibri" w:cs="Calibri"/>
              </w:rPr>
              <w:noBreakHyphen/>
              <w:t>certification that he/ she does not have a tax residence in any jurisdiction, the Reporting Financial Institution must verify whether this declaration is reasonable. Such verification must be carried out using other documentation already available to the institution, including information obtained through its AML/KYC procedures. This ensures that self</w:t>
            </w:r>
            <w:r w:rsidRPr="00221C26">
              <w:rPr>
                <w:rFonts w:ascii="Calibri" w:hAnsi="Calibri" w:cs="Calibri"/>
              </w:rPr>
              <w:noBreakHyphen/>
              <w:t>certifications without a</w:t>
            </w:r>
            <w:r w:rsidRPr="00221C26">
              <w:rPr>
                <w:rFonts w:ascii="Calibri" w:hAnsi="Calibri" w:cs="Calibri"/>
                <w:b/>
              </w:rPr>
              <w:t xml:space="preserve"> </w:t>
            </w:r>
            <w:r w:rsidRPr="00221C26">
              <w:rPr>
                <w:rFonts w:ascii="Calibri" w:hAnsi="Calibri" w:cs="Calibri"/>
              </w:rPr>
              <w:t>stated tax residence are subject to heightened reasonableness checks in line with the OECD CRS framework.</w:t>
            </w:r>
          </w:p>
        </w:tc>
      </w:tr>
    </w:tbl>
    <w:p w14:paraId="70A97B53" w14:textId="77777777" w:rsidR="0055463B" w:rsidRPr="00615864" w:rsidRDefault="0055463B" w:rsidP="00532E7E">
      <w:pPr>
        <w:spacing w:after="120" w:line="276" w:lineRule="auto"/>
        <w:rPr>
          <w:rFonts w:ascii="Calibri" w:hAnsi="Calibri" w:cs="Calibri"/>
          <w:b/>
        </w:rPr>
      </w:pPr>
    </w:p>
    <w:sectPr w:rsidR="0055463B" w:rsidRPr="00615864" w:rsidSect="00E90B6D">
      <w:headerReference w:type="default" r:id="rId7"/>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6F04" w14:textId="77777777" w:rsidR="005D4882" w:rsidRDefault="005D4882" w:rsidP="00E90B6D">
      <w:pPr>
        <w:spacing w:after="0" w:line="240" w:lineRule="auto"/>
      </w:pPr>
      <w:r>
        <w:separator/>
      </w:r>
    </w:p>
  </w:endnote>
  <w:endnote w:type="continuationSeparator" w:id="0">
    <w:p w14:paraId="2E8E4881" w14:textId="77777777" w:rsidR="005D4882" w:rsidRDefault="005D4882" w:rsidP="00E9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bidi="en-US"/>
      </w:rPr>
      <w:id w:val="-1529863909"/>
      <w:docPartObj>
        <w:docPartGallery w:val="Page Numbers (Bottom of Page)"/>
        <w:docPartUnique/>
      </w:docPartObj>
    </w:sdtPr>
    <w:sdtEndPr/>
    <w:sdtContent>
      <w:sdt>
        <w:sdtPr>
          <w:rPr>
            <w:lang w:bidi="en-US"/>
          </w:rPr>
          <w:id w:val="-1769616900"/>
          <w:docPartObj>
            <w:docPartGallery w:val="Page Numbers (Top of Page)"/>
            <w:docPartUnique/>
          </w:docPartObj>
        </w:sdtPr>
        <w:sdtEndPr/>
        <w:sdtContent>
          <w:p w14:paraId="43A6CFB4" w14:textId="6A150D2A" w:rsidR="00E46A88" w:rsidRDefault="00E46A88" w:rsidP="00E46A88">
            <w:pPr>
              <w:pStyle w:val="Footer"/>
              <w:jc w:val="right"/>
              <w:rPr>
                <w:lang w:bidi="en-US"/>
              </w:rPr>
            </w:pPr>
            <w:r w:rsidRPr="00E46A88">
              <w:rPr>
                <w:lang w:bidi="en-US"/>
              </w:rPr>
              <w:t xml:space="preserve">Page </w:t>
            </w:r>
            <w:r w:rsidRPr="00E46A88">
              <w:rPr>
                <w:b/>
                <w:bCs/>
                <w:lang w:bidi="en-US"/>
              </w:rPr>
              <w:fldChar w:fldCharType="begin"/>
            </w:r>
            <w:r w:rsidRPr="00E46A88">
              <w:rPr>
                <w:b/>
                <w:bCs/>
                <w:lang w:bidi="en-US"/>
              </w:rPr>
              <w:instrText xml:space="preserve"> PAGE </w:instrText>
            </w:r>
            <w:r w:rsidRPr="00E46A88">
              <w:rPr>
                <w:b/>
                <w:bCs/>
                <w:lang w:bidi="en-US"/>
              </w:rPr>
              <w:fldChar w:fldCharType="separate"/>
            </w:r>
            <w:r w:rsidRPr="00E46A88">
              <w:rPr>
                <w:b/>
                <w:bCs/>
                <w:lang w:bidi="en-US"/>
              </w:rPr>
              <w:t>8</w:t>
            </w:r>
            <w:r w:rsidRPr="00E46A88">
              <w:fldChar w:fldCharType="end"/>
            </w:r>
            <w:r w:rsidRPr="00E46A88">
              <w:rPr>
                <w:lang w:bidi="en-US"/>
              </w:rPr>
              <w:t xml:space="preserve"> of </w:t>
            </w:r>
            <w:r w:rsidRPr="00E46A88">
              <w:rPr>
                <w:b/>
                <w:bCs/>
                <w:lang w:bidi="en-US"/>
              </w:rPr>
              <w:fldChar w:fldCharType="begin"/>
            </w:r>
            <w:r w:rsidRPr="00E46A88">
              <w:rPr>
                <w:b/>
                <w:bCs/>
                <w:lang w:bidi="en-US"/>
              </w:rPr>
              <w:instrText xml:space="preserve"> NUMPAGES  </w:instrText>
            </w:r>
            <w:r w:rsidRPr="00E46A88">
              <w:rPr>
                <w:b/>
                <w:bCs/>
                <w:lang w:bidi="en-US"/>
              </w:rPr>
              <w:fldChar w:fldCharType="separate"/>
            </w:r>
            <w:r w:rsidRPr="00E46A88">
              <w:rPr>
                <w:b/>
                <w:bCs/>
                <w:lang w:bidi="en-US"/>
              </w:rPr>
              <w:t>190</w:t>
            </w:r>
            <w:r w:rsidRPr="00E46A88">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D466" w14:textId="77777777" w:rsidR="005D4882" w:rsidRDefault="005D4882" w:rsidP="00E90B6D">
      <w:pPr>
        <w:spacing w:after="0" w:line="240" w:lineRule="auto"/>
      </w:pPr>
      <w:r>
        <w:separator/>
      </w:r>
    </w:p>
  </w:footnote>
  <w:footnote w:type="continuationSeparator" w:id="0">
    <w:p w14:paraId="511880F5" w14:textId="77777777" w:rsidR="005D4882" w:rsidRDefault="005D4882" w:rsidP="00E9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E1CA" w14:textId="0B8DC214" w:rsidR="00E90B6D" w:rsidRPr="00E90B6D" w:rsidRDefault="00E90B6D" w:rsidP="00E90B6D">
    <w:pPr>
      <w:pStyle w:val="Header"/>
    </w:pPr>
    <w:r w:rsidRPr="00E90B6D">
      <w:rPr>
        <w:noProof/>
      </w:rPr>
      <w:drawing>
        <wp:inline distT="0" distB="0" distL="0" distR="0" wp14:anchorId="636943C6" wp14:editId="4537DFB3">
          <wp:extent cx="577850" cy="387350"/>
          <wp:effectExtent l="0" t="0" r="0" b="0"/>
          <wp:docPr id="805494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503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387350"/>
                  </a:xfrm>
                  <a:prstGeom prst="rect">
                    <a:avLst/>
                  </a:prstGeom>
                  <a:solidFill>
                    <a:srgbClr val="FFFFFF"/>
                  </a:solidFill>
                  <a:ln>
                    <a:noFill/>
                  </a:ln>
                </pic:spPr>
              </pic:pic>
            </a:graphicData>
          </a:graphic>
        </wp:inline>
      </w:drawing>
    </w:r>
    <w:r w:rsidRPr="00E90B6D">
      <w:rPr>
        <w:b/>
        <w:bCs/>
        <w:lang w:bidi="en-US"/>
      </w:rPr>
      <w:t xml:space="preserve"> </w:t>
    </w:r>
    <w:r w:rsidRPr="00E90B6D">
      <w:rPr>
        <w:b/>
        <w:bCs/>
        <w:lang w:bidi="en-US"/>
      </w:rPr>
      <w:tab/>
    </w:r>
    <w:r w:rsidRPr="00E90B6D">
      <w:rPr>
        <w:b/>
        <w:bCs/>
        <w:lang w:bidi="en-US"/>
      </w:rPr>
      <w:tab/>
    </w:r>
    <w:r w:rsidRPr="00E90B6D">
      <w:rPr>
        <w:b/>
        <w:bCs/>
        <w:lang w:bidi="en-US"/>
      </w:rPr>
      <w:tab/>
      <w:t xml:space="preserve">   </w:t>
    </w:r>
    <w:r w:rsidRPr="00E90B6D">
      <w:rPr>
        <w:lang w:bidi="en-US"/>
      </w:rPr>
      <w:t>Bombay Chamber of Commerce and Industry</w:t>
    </w:r>
  </w:p>
  <w:p w14:paraId="2C40D0D6" w14:textId="517E9EA8" w:rsidR="00E90B6D" w:rsidRDefault="00E90B6D">
    <w:pPr>
      <w:pStyle w:val="Header"/>
    </w:pPr>
    <w:r w:rsidRPr="00E90B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861"/>
    <w:multiLevelType w:val="hybridMultilevel"/>
    <w:tmpl w:val="753032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370BC7"/>
    <w:multiLevelType w:val="hybridMultilevel"/>
    <w:tmpl w:val="EAE4D9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6B5ED9"/>
    <w:multiLevelType w:val="hybridMultilevel"/>
    <w:tmpl w:val="D6286562"/>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A7B4B6D"/>
    <w:multiLevelType w:val="hybridMultilevel"/>
    <w:tmpl w:val="C6006D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0657FD"/>
    <w:multiLevelType w:val="hybridMultilevel"/>
    <w:tmpl w:val="05D2C3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AF728E"/>
    <w:multiLevelType w:val="hybridMultilevel"/>
    <w:tmpl w:val="DEE6BBD6"/>
    <w:lvl w:ilvl="0" w:tplc="4009001B">
      <w:start w:val="1"/>
      <w:numFmt w:val="lowerRoman"/>
      <w:lvlText w:val="%1."/>
      <w:lvlJc w:val="right"/>
      <w:pPr>
        <w:ind w:left="853" w:hanging="360"/>
      </w:pPr>
    </w:lvl>
    <w:lvl w:ilvl="1" w:tplc="40090019" w:tentative="1">
      <w:start w:val="1"/>
      <w:numFmt w:val="lowerLetter"/>
      <w:lvlText w:val="%2."/>
      <w:lvlJc w:val="left"/>
      <w:pPr>
        <w:ind w:left="1573" w:hanging="360"/>
      </w:pPr>
    </w:lvl>
    <w:lvl w:ilvl="2" w:tplc="4009001B" w:tentative="1">
      <w:start w:val="1"/>
      <w:numFmt w:val="lowerRoman"/>
      <w:lvlText w:val="%3."/>
      <w:lvlJc w:val="right"/>
      <w:pPr>
        <w:ind w:left="2293" w:hanging="180"/>
      </w:pPr>
    </w:lvl>
    <w:lvl w:ilvl="3" w:tplc="4009000F" w:tentative="1">
      <w:start w:val="1"/>
      <w:numFmt w:val="decimal"/>
      <w:lvlText w:val="%4."/>
      <w:lvlJc w:val="left"/>
      <w:pPr>
        <w:ind w:left="3013" w:hanging="360"/>
      </w:pPr>
    </w:lvl>
    <w:lvl w:ilvl="4" w:tplc="40090019" w:tentative="1">
      <w:start w:val="1"/>
      <w:numFmt w:val="lowerLetter"/>
      <w:lvlText w:val="%5."/>
      <w:lvlJc w:val="left"/>
      <w:pPr>
        <w:ind w:left="3733" w:hanging="360"/>
      </w:pPr>
    </w:lvl>
    <w:lvl w:ilvl="5" w:tplc="4009001B" w:tentative="1">
      <w:start w:val="1"/>
      <w:numFmt w:val="lowerRoman"/>
      <w:lvlText w:val="%6."/>
      <w:lvlJc w:val="right"/>
      <w:pPr>
        <w:ind w:left="4453" w:hanging="180"/>
      </w:pPr>
    </w:lvl>
    <w:lvl w:ilvl="6" w:tplc="4009000F" w:tentative="1">
      <w:start w:val="1"/>
      <w:numFmt w:val="decimal"/>
      <w:lvlText w:val="%7."/>
      <w:lvlJc w:val="left"/>
      <w:pPr>
        <w:ind w:left="5173" w:hanging="360"/>
      </w:pPr>
    </w:lvl>
    <w:lvl w:ilvl="7" w:tplc="40090019" w:tentative="1">
      <w:start w:val="1"/>
      <w:numFmt w:val="lowerLetter"/>
      <w:lvlText w:val="%8."/>
      <w:lvlJc w:val="left"/>
      <w:pPr>
        <w:ind w:left="5893" w:hanging="360"/>
      </w:pPr>
    </w:lvl>
    <w:lvl w:ilvl="8" w:tplc="4009001B" w:tentative="1">
      <w:start w:val="1"/>
      <w:numFmt w:val="lowerRoman"/>
      <w:lvlText w:val="%9."/>
      <w:lvlJc w:val="right"/>
      <w:pPr>
        <w:ind w:left="6613" w:hanging="180"/>
      </w:pPr>
    </w:lvl>
  </w:abstractNum>
  <w:abstractNum w:abstractNumId="6" w15:restartNumberingAfterBreak="0">
    <w:nsid w:val="13D334C3"/>
    <w:multiLevelType w:val="hybridMultilevel"/>
    <w:tmpl w:val="14069016"/>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6211A60"/>
    <w:multiLevelType w:val="hybridMultilevel"/>
    <w:tmpl w:val="34C6E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E52D45"/>
    <w:multiLevelType w:val="hybridMultilevel"/>
    <w:tmpl w:val="B49E8C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9337DC0"/>
    <w:multiLevelType w:val="hybridMultilevel"/>
    <w:tmpl w:val="FE6619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9E6167"/>
    <w:multiLevelType w:val="hybridMultilevel"/>
    <w:tmpl w:val="73C605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2E135A"/>
    <w:multiLevelType w:val="hybridMultilevel"/>
    <w:tmpl w:val="B3FC580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89461C"/>
    <w:multiLevelType w:val="hybridMultilevel"/>
    <w:tmpl w:val="EC2851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567086"/>
    <w:multiLevelType w:val="hybridMultilevel"/>
    <w:tmpl w:val="B21C782C"/>
    <w:lvl w:ilvl="0" w:tplc="F87E88F8">
      <w:start w:val="1"/>
      <w:numFmt w:val="decimal"/>
      <w:lvlText w:val="%1."/>
      <w:lvlJc w:val="left"/>
      <w:pPr>
        <w:ind w:left="720" w:hanging="360"/>
      </w:pPr>
      <w:rPr>
        <w:b w:val="0"/>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4726351"/>
    <w:multiLevelType w:val="hybridMultilevel"/>
    <w:tmpl w:val="90C0A814"/>
    <w:lvl w:ilvl="0" w:tplc="0409000F">
      <w:start w:val="1"/>
      <w:numFmt w:val="decimal"/>
      <w:lvlText w:val="%1."/>
      <w:lvlJc w:val="left"/>
      <w:pPr>
        <w:ind w:left="284" w:hanging="360"/>
      </w:pPr>
    </w:lvl>
    <w:lvl w:ilvl="1" w:tplc="04090019">
      <w:start w:val="1"/>
      <w:numFmt w:val="lowerLetter"/>
      <w:lvlText w:val="%2."/>
      <w:lvlJc w:val="left"/>
      <w:pPr>
        <w:ind w:left="-1340" w:hanging="360"/>
      </w:pPr>
    </w:lvl>
    <w:lvl w:ilvl="2" w:tplc="0409001B">
      <w:start w:val="1"/>
      <w:numFmt w:val="lowerRoman"/>
      <w:lvlText w:val="%3."/>
      <w:lvlJc w:val="right"/>
      <w:pPr>
        <w:ind w:left="-620" w:hanging="180"/>
      </w:pPr>
    </w:lvl>
    <w:lvl w:ilvl="3" w:tplc="0409000F">
      <w:start w:val="1"/>
      <w:numFmt w:val="decimal"/>
      <w:lvlText w:val="%4."/>
      <w:lvlJc w:val="left"/>
      <w:pPr>
        <w:ind w:left="100" w:hanging="360"/>
      </w:pPr>
    </w:lvl>
    <w:lvl w:ilvl="4" w:tplc="04090019">
      <w:start w:val="1"/>
      <w:numFmt w:val="lowerLetter"/>
      <w:lvlText w:val="%5."/>
      <w:lvlJc w:val="left"/>
      <w:pPr>
        <w:ind w:left="820" w:hanging="360"/>
      </w:pPr>
    </w:lvl>
    <w:lvl w:ilvl="5" w:tplc="0409001B">
      <w:start w:val="1"/>
      <w:numFmt w:val="lowerRoman"/>
      <w:lvlText w:val="%6."/>
      <w:lvlJc w:val="right"/>
      <w:pPr>
        <w:ind w:left="1540" w:hanging="180"/>
      </w:pPr>
    </w:lvl>
    <w:lvl w:ilvl="6" w:tplc="0409000F">
      <w:start w:val="1"/>
      <w:numFmt w:val="decimal"/>
      <w:lvlText w:val="%7."/>
      <w:lvlJc w:val="left"/>
      <w:pPr>
        <w:ind w:left="2260" w:hanging="360"/>
      </w:pPr>
    </w:lvl>
    <w:lvl w:ilvl="7" w:tplc="04090019">
      <w:start w:val="1"/>
      <w:numFmt w:val="lowerLetter"/>
      <w:lvlText w:val="%8."/>
      <w:lvlJc w:val="left"/>
      <w:pPr>
        <w:ind w:left="2980" w:hanging="360"/>
      </w:pPr>
    </w:lvl>
    <w:lvl w:ilvl="8" w:tplc="0409001B">
      <w:start w:val="1"/>
      <w:numFmt w:val="lowerRoman"/>
      <w:lvlText w:val="%9."/>
      <w:lvlJc w:val="right"/>
      <w:pPr>
        <w:ind w:left="3700" w:hanging="180"/>
      </w:pPr>
    </w:lvl>
  </w:abstractNum>
  <w:abstractNum w:abstractNumId="15" w15:restartNumberingAfterBreak="0">
    <w:nsid w:val="27F52B7F"/>
    <w:multiLevelType w:val="hybridMultilevel"/>
    <w:tmpl w:val="A2FAEB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C67F9B"/>
    <w:multiLevelType w:val="hybridMultilevel"/>
    <w:tmpl w:val="4AA0394A"/>
    <w:lvl w:ilvl="0" w:tplc="0809000B">
      <w:start w:val="1"/>
      <w:numFmt w:val="bullet"/>
      <w:lvlText w:val=""/>
      <w:lvlJc w:val="left"/>
      <w:pPr>
        <w:ind w:left="720" w:hanging="360"/>
      </w:pPr>
      <w:rPr>
        <w:rFonts w:ascii="Wingdings" w:hAnsi="Wingdings" w:hint="default"/>
      </w:rPr>
    </w:lvl>
    <w:lvl w:ilvl="1" w:tplc="40090005">
      <w:start w:val="1"/>
      <w:numFmt w:val="bullet"/>
      <w:lvlText w:val=""/>
      <w:lvlJc w:val="left"/>
      <w:pPr>
        <w:ind w:left="3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F04F69"/>
    <w:multiLevelType w:val="hybridMultilevel"/>
    <w:tmpl w:val="75A837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14A172D"/>
    <w:multiLevelType w:val="hybridMultilevel"/>
    <w:tmpl w:val="AEA0D0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FE7C79"/>
    <w:multiLevelType w:val="hybridMultilevel"/>
    <w:tmpl w:val="1C58D1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9A9599F"/>
    <w:multiLevelType w:val="hybridMultilevel"/>
    <w:tmpl w:val="8BEC5C3E"/>
    <w:lvl w:ilvl="0" w:tplc="D8DCEE16">
      <w:start w:val="1"/>
      <w:numFmt w:val="upperLetter"/>
      <w:lvlText w:val="(%1)"/>
      <w:lvlJc w:val="left"/>
      <w:pPr>
        <w:ind w:left="497" w:hanging="360"/>
      </w:pPr>
      <w:rPr>
        <w:rFonts w:hint="default"/>
      </w:rPr>
    </w:lvl>
    <w:lvl w:ilvl="1" w:tplc="40090019" w:tentative="1">
      <w:start w:val="1"/>
      <w:numFmt w:val="lowerLetter"/>
      <w:lvlText w:val="%2."/>
      <w:lvlJc w:val="left"/>
      <w:pPr>
        <w:ind w:left="1217" w:hanging="360"/>
      </w:pPr>
    </w:lvl>
    <w:lvl w:ilvl="2" w:tplc="4009001B" w:tentative="1">
      <w:start w:val="1"/>
      <w:numFmt w:val="lowerRoman"/>
      <w:lvlText w:val="%3."/>
      <w:lvlJc w:val="right"/>
      <w:pPr>
        <w:ind w:left="1937" w:hanging="180"/>
      </w:pPr>
    </w:lvl>
    <w:lvl w:ilvl="3" w:tplc="4009000F" w:tentative="1">
      <w:start w:val="1"/>
      <w:numFmt w:val="decimal"/>
      <w:lvlText w:val="%4."/>
      <w:lvlJc w:val="left"/>
      <w:pPr>
        <w:ind w:left="2657" w:hanging="360"/>
      </w:pPr>
    </w:lvl>
    <w:lvl w:ilvl="4" w:tplc="40090019" w:tentative="1">
      <w:start w:val="1"/>
      <w:numFmt w:val="lowerLetter"/>
      <w:lvlText w:val="%5."/>
      <w:lvlJc w:val="left"/>
      <w:pPr>
        <w:ind w:left="3377" w:hanging="360"/>
      </w:pPr>
    </w:lvl>
    <w:lvl w:ilvl="5" w:tplc="4009001B" w:tentative="1">
      <w:start w:val="1"/>
      <w:numFmt w:val="lowerRoman"/>
      <w:lvlText w:val="%6."/>
      <w:lvlJc w:val="right"/>
      <w:pPr>
        <w:ind w:left="4097" w:hanging="180"/>
      </w:pPr>
    </w:lvl>
    <w:lvl w:ilvl="6" w:tplc="4009000F" w:tentative="1">
      <w:start w:val="1"/>
      <w:numFmt w:val="decimal"/>
      <w:lvlText w:val="%7."/>
      <w:lvlJc w:val="left"/>
      <w:pPr>
        <w:ind w:left="4817" w:hanging="360"/>
      </w:pPr>
    </w:lvl>
    <w:lvl w:ilvl="7" w:tplc="40090019" w:tentative="1">
      <w:start w:val="1"/>
      <w:numFmt w:val="lowerLetter"/>
      <w:lvlText w:val="%8."/>
      <w:lvlJc w:val="left"/>
      <w:pPr>
        <w:ind w:left="5537" w:hanging="360"/>
      </w:pPr>
    </w:lvl>
    <w:lvl w:ilvl="8" w:tplc="4009001B" w:tentative="1">
      <w:start w:val="1"/>
      <w:numFmt w:val="lowerRoman"/>
      <w:lvlText w:val="%9."/>
      <w:lvlJc w:val="right"/>
      <w:pPr>
        <w:ind w:left="6257" w:hanging="180"/>
      </w:pPr>
    </w:lvl>
  </w:abstractNum>
  <w:abstractNum w:abstractNumId="21" w15:restartNumberingAfterBreak="0">
    <w:nsid w:val="39B64C99"/>
    <w:multiLevelType w:val="hybridMultilevel"/>
    <w:tmpl w:val="ACC0D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CF015A"/>
    <w:multiLevelType w:val="hybridMultilevel"/>
    <w:tmpl w:val="EBFE07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AA2199F"/>
    <w:multiLevelType w:val="hybridMultilevel"/>
    <w:tmpl w:val="24E6E7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ABA41DD"/>
    <w:multiLevelType w:val="hybridMultilevel"/>
    <w:tmpl w:val="E66663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AF512BB"/>
    <w:multiLevelType w:val="hybridMultilevel"/>
    <w:tmpl w:val="B008A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EE16F26"/>
    <w:multiLevelType w:val="hybridMultilevel"/>
    <w:tmpl w:val="3CE22E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37A5085"/>
    <w:multiLevelType w:val="hybridMultilevel"/>
    <w:tmpl w:val="DC8CA0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5AD3B72"/>
    <w:multiLevelType w:val="hybridMultilevel"/>
    <w:tmpl w:val="E342E862"/>
    <w:lvl w:ilvl="0" w:tplc="40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BAB1DD8"/>
    <w:multiLevelType w:val="hybridMultilevel"/>
    <w:tmpl w:val="AEE4CD00"/>
    <w:lvl w:ilvl="0" w:tplc="C8E20C9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E1947BA"/>
    <w:multiLevelType w:val="hybridMultilevel"/>
    <w:tmpl w:val="CBF06B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2432B87"/>
    <w:multiLevelType w:val="hybridMultilevel"/>
    <w:tmpl w:val="2FC2AF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C771651"/>
    <w:multiLevelType w:val="hybridMultilevel"/>
    <w:tmpl w:val="316C6C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D62AB5"/>
    <w:multiLevelType w:val="hybridMultilevel"/>
    <w:tmpl w:val="49E070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D046E7"/>
    <w:multiLevelType w:val="hybridMultilevel"/>
    <w:tmpl w:val="FF528F86"/>
    <w:lvl w:ilvl="0" w:tplc="1FA68B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29F0D0C"/>
    <w:multiLevelType w:val="hybridMultilevel"/>
    <w:tmpl w:val="14BCB916"/>
    <w:lvl w:ilvl="0" w:tplc="B3C2C2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8FF2F3D"/>
    <w:multiLevelType w:val="hybridMultilevel"/>
    <w:tmpl w:val="F3F6E888"/>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7" w15:restartNumberingAfterBreak="0">
    <w:nsid w:val="7A475466"/>
    <w:multiLevelType w:val="hybridMultilevel"/>
    <w:tmpl w:val="5C0E19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C2B44F0"/>
    <w:multiLevelType w:val="hybridMultilevel"/>
    <w:tmpl w:val="62245E0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9" w15:restartNumberingAfterBreak="0">
    <w:nsid w:val="7DB14514"/>
    <w:multiLevelType w:val="hybridMultilevel"/>
    <w:tmpl w:val="C5EC7A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DE75976"/>
    <w:multiLevelType w:val="hybridMultilevel"/>
    <w:tmpl w:val="5F0EF8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2122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642683">
    <w:abstractNumId w:val="14"/>
  </w:num>
  <w:num w:numId="3" w16cid:durableId="57754044">
    <w:abstractNumId w:val="16"/>
  </w:num>
  <w:num w:numId="4" w16cid:durableId="1775981877">
    <w:abstractNumId w:val="3"/>
  </w:num>
  <w:num w:numId="5" w16cid:durableId="164439379">
    <w:abstractNumId w:val="8"/>
  </w:num>
  <w:num w:numId="6" w16cid:durableId="2086418071">
    <w:abstractNumId w:val="36"/>
  </w:num>
  <w:num w:numId="7" w16cid:durableId="1430657455">
    <w:abstractNumId w:val="2"/>
  </w:num>
  <w:num w:numId="8" w16cid:durableId="1692490908">
    <w:abstractNumId w:val="12"/>
  </w:num>
  <w:num w:numId="9" w16cid:durableId="956449678">
    <w:abstractNumId w:val="28"/>
  </w:num>
  <w:num w:numId="10" w16cid:durableId="1338801243">
    <w:abstractNumId w:val="0"/>
  </w:num>
  <w:num w:numId="11" w16cid:durableId="1170288403">
    <w:abstractNumId w:val="10"/>
  </w:num>
  <w:num w:numId="12" w16cid:durableId="1960256463">
    <w:abstractNumId w:val="39"/>
  </w:num>
  <w:num w:numId="13" w16cid:durableId="764689365">
    <w:abstractNumId w:val="15"/>
  </w:num>
  <w:num w:numId="14" w16cid:durableId="307246571">
    <w:abstractNumId w:val="24"/>
  </w:num>
  <w:num w:numId="15" w16cid:durableId="1426075679">
    <w:abstractNumId w:val="31"/>
  </w:num>
  <w:num w:numId="16" w16cid:durableId="579870742">
    <w:abstractNumId w:val="19"/>
  </w:num>
  <w:num w:numId="17" w16cid:durableId="620378043">
    <w:abstractNumId w:val="23"/>
  </w:num>
  <w:num w:numId="18" w16cid:durableId="1971127010">
    <w:abstractNumId w:val="22"/>
  </w:num>
  <w:num w:numId="19" w16cid:durableId="1126896491">
    <w:abstractNumId w:val="17"/>
  </w:num>
  <w:num w:numId="20" w16cid:durableId="1649746102">
    <w:abstractNumId w:val="7"/>
  </w:num>
  <w:num w:numId="21" w16cid:durableId="507718545">
    <w:abstractNumId w:val="9"/>
  </w:num>
  <w:num w:numId="22" w16cid:durableId="1234313210">
    <w:abstractNumId w:val="40"/>
  </w:num>
  <w:num w:numId="23" w16cid:durableId="141578932">
    <w:abstractNumId w:val="1"/>
  </w:num>
  <w:num w:numId="24" w16cid:durableId="1980529894">
    <w:abstractNumId w:val="33"/>
  </w:num>
  <w:num w:numId="25" w16cid:durableId="112945176">
    <w:abstractNumId w:val="18"/>
  </w:num>
  <w:num w:numId="26" w16cid:durableId="1005864586">
    <w:abstractNumId w:val="32"/>
  </w:num>
  <w:num w:numId="27" w16cid:durableId="1925802907">
    <w:abstractNumId w:val="29"/>
  </w:num>
  <w:num w:numId="28" w16cid:durableId="1957977061">
    <w:abstractNumId w:val="21"/>
  </w:num>
  <w:num w:numId="29" w16cid:durableId="1762528791">
    <w:abstractNumId w:val="27"/>
  </w:num>
  <w:num w:numId="30" w16cid:durableId="62605900">
    <w:abstractNumId w:val="4"/>
  </w:num>
  <w:num w:numId="31" w16cid:durableId="2089383266">
    <w:abstractNumId w:val="37"/>
  </w:num>
  <w:num w:numId="32" w16cid:durableId="1051614385">
    <w:abstractNumId w:val="26"/>
  </w:num>
  <w:num w:numId="33" w16cid:durableId="1223172139">
    <w:abstractNumId w:val="25"/>
  </w:num>
  <w:num w:numId="34" w16cid:durableId="1690719794">
    <w:abstractNumId w:val="6"/>
  </w:num>
  <w:num w:numId="35" w16cid:durableId="491868693">
    <w:abstractNumId w:val="13"/>
  </w:num>
  <w:num w:numId="36" w16cid:durableId="1973629406">
    <w:abstractNumId w:val="30"/>
  </w:num>
  <w:num w:numId="37" w16cid:durableId="1244605722">
    <w:abstractNumId w:val="38"/>
  </w:num>
  <w:num w:numId="38" w16cid:durableId="510528421">
    <w:abstractNumId w:val="11"/>
  </w:num>
  <w:num w:numId="39" w16cid:durableId="1735591679">
    <w:abstractNumId w:val="34"/>
  </w:num>
  <w:num w:numId="40" w16cid:durableId="1264337025">
    <w:abstractNumId w:val="35"/>
  </w:num>
  <w:num w:numId="41" w16cid:durableId="1336810666">
    <w:abstractNumId w:val="20"/>
  </w:num>
  <w:num w:numId="42" w16cid:durableId="30940820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17"/>
    <w:rsid w:val="00000DE6"/>
    <w:rsid w:val="000018F0"/>
    <w:rsid w:val="00002560"/>
    <w:rsid w:val="00002DCB"/>
    <w:rsid w:val="000030B9"/>
    <w:rsid w:val="00003ED2"/>
    <w:rsid w:val="0000490B"/>
    <w:rsid w:val="000053C7"/>
    <w:rsid w:val="00006F7C"/>
    <w:rsid w:val="00010094"/>
    <w:rsid w:val="00010F2E"/>
    <w:rsid w:val="000114C5"/>
    <w:rsid w:val="00011520"/>
    <w:rsid w:val="00012AC9"/>
    <w:rsid w:val="0001338A"/>
    <w:rsid w:val="000134CD"/>
    <w:rsid w:val="00014609"/>
    <w:rsid w:val="000147B0"/>
    <w:rsid w:val="00015E2C"/>
    <w:rsid w:val="0001672C"/>
    <w:rsid w:val="00016B09"/>
    <w:rsid w:val="00016D9E"/>
    <w:rsid w:val="000171FD"/>
    <w:rsid w:val="0002065A"/>
    <w:rsid w:val="00020FAB"/>
    <w:rsid w:val="00021DF3"/>
    <w:rsid w:val="0002260C"/>
    <w:rsid w:val="000231F4"/>
    <w:rsid w:val="000237BE"/>
    <w:rsid w:val="00024947"/>
    <w:rsid w:val="00024A9D"/>
    <w:rsid w:val="00024B90"/>
    <w:rsid w:val="0002592C"/>
    <w:rsid w:val="00026F02"/>
    <w:rsid w:val="00027DCF"/>
    <w:rsid w:val="00031BA6"/>
    <w:rsid w:val="000328AC"/>
    <w:rsid w:val="00032BE0"/>
    <w:rsid w:val="00033E22"/>
    <w:rsid w:val="000344AA"/>
    <w:rsid w:val="00034BBD"/>
    <w:rsid w:val="00036B17"/>
    <w:rsid w:val="000378A1"/>
    <w:rsid w:val="00040573"/>
    <w:rsid w:val="000411DE"/>
    <w:rsid w:val="000411E7"/>
    <w:rsid w:val="00042B9D"/>
    <w:rsid w:val="00043F15"/>
    <w:rsid w:val="00044C61"/>
    <w:rsid w:val="0004756A"/>
    <w:rsid w:val="000478F0"/>
    <w:rsid w:val="00050449"/>
    <w:rsid w:val="00050702"/>
    <w:rsid w:val="00051A05"/>
    <w:rsid w:val="00051A13"/>
    <w:rsid w:val="000525E0"/>
    <w:rsid w:val="00052D95"/>
    <w:rsid w:val="00053FD9"/>
    <w:rsid w:val="00054DD0"/>
    <w:rsid w:val="000579A4"/>
    <w:rsid w:val="00057D59"/>
    <w:rsid w:val="00057DD7"/>
    <w:rsid w:val="0006065B"/>
    <w:rsid w:val="00060688"/>
    <w:rsid w:val="000615FA"/>
    <w:rsid w:val="00061678"/>
    <w:rsid w:val="00065B08"/>
    <w:rsid w:val="00065B7E"/>
    <w:rsid w:val="00070371"/>
    <w:rsid w:val="000714ED"/>
    <w:rsid w:val="000729A9"/>
    <w:rsid w:val="00073CD6"/>
    <w:rsid w:val="00073D34"/>
    <w:rsid w:val="00074085"/>
    <w:rsid w:val="00074FDD"/>
    <w:rsid w:val="00075E2A"/>
    <w:rsid w:val="0007629E"/>
    <w:rsid w:val="00076F1C"/>
    <w:rsid w:val="00077081"/>
    <w:rsid w:val="00077C7D"/>
    <w:rsid w:val="000801EF"/>
    <w:rsid w:val="00080A4F"/>
    <w:rsid w:val="000813D3"/>
    <w:rsid w:val="00081CF2"/>
    <w:rsid w:val="00082606"/>
    <w:rsid w:val="000827AA"/>
    <w:rsid w:val="00082BFD"/>
    <w:rsid w:val="00082D4E"/>
    <w:rsid w:val="00084657"/>
    <w:rsid w:val="000847B4"/>
    <w:rsid w:val="000849C4"/>
    <w:rsid w:val="0008541C"/>
    <w:rsid w:val="00085584"/>
    <w:rsid w:val="00085868"/>
    <w:rsid w:val="00085924"/>
    <w:rsid w:val="00085E09"/>
    <w:rsid w:val="00085E68"/>
    <w:rsid w:val="00086385"/>
    <w:rsid w:val="00086583"/>
    <w:rsid w:val="00086793"/>
    <w:rsid w:val="00086C32"/>
    <w:rsid w:val="000870AA"/>
    <w:rsid w:val="0008777A"/>
    <w:rsid w:val="00087D10"/>
    <w:rsid w:val="00090766"/>
    <w:rsid w:val="000937DC"/>
    <w:rsid w:val="00094E92"/>
    <w:rsid w:val="0009501C"/>
    <w:rsid w:val="0009542F"/>
    <w:rsid w:val="00095786"/>
    <w:rsid w:val="00095E1A"/>
    <w:rsid w:val="0009782B"/>
    <w:rsid w:val="00097959"/>
    <w:rsid w:val="000A00C3"/>
    <w:rsid w:val="000A0436"/>
    <w:rsid w:val="000A16B5"/>
    <w:rsid w:val="000A222F"/>
    <w:rsid w:val="000A2743"/>
    <w:rsid w:val="000A2A26"/>
    <w:rsid w:val="000A2F39"/>
    <w:rsid w:val="000A5B5B"/>
    <w:rsid w:val="000A5BD5"/>
    <w:rsid w:val="000A66B6"/>
    <w:rsid w:val="000A7D45"/>
    <w:rsid w:val="000B012A"/>
    <w:rsid w:val="000B0942"/>
    <w:rsid w:val="000B15EB"/>
    <w:rsid w:val="000B2B23"/>
    <w:rsid w:val="000B4070"/>
    <w:rsid w:val="000B61A2"/>
    <w:rsid w:val="000B6A78"/>
    <w:rsid w:val="000B731B"/>
    <w:rsid w:val="000B73A2"/>
    <w:rsid w:val="000B7511"/>
    <w:rsid w:val="000C0AD1"/>
    <w:rsid w:val="000C273F"/>
    <w:rsid w:val="000C435E"/>
    <w:rsid w:val="000C5FC8"/>
    <w:rsid w:val="000C63E7"/>
    <w:rsid w:val="000C6D20"/>
    <w:rsid w:val="000C7931"/>
    <w:rsid w:val="000D0EF6"/>
    <w:rsid w:val="000D227D"/>
    <w:rsid w:val="000D22B2"/>
    <w:rsid w:val="000D2B2F"/>
    <w:rsid w:val="000D2BE1"/>
    <w:rsid w:val="000D436B"/>
    <w:rsid w:val="000D6185"/>
    <w:rsid w:val="000D6BFE"/>
    <w:rsid w:val="000D6F2D"/>
    <w:rsid w:val="000E09A5"/>
    <w:rsid w:val="000E2008"/>
    <w:rsid w:val="000E2F8A"/>
    <w:rsid w:val="000E326D"/>
    <w:rsid w:val="000E396F"/>
    <w:rsid w:val="000E39BC"/>
    <w:rsid w:val="000E3BC2"/>
    <w:rsid w:val="000E4C95"/>
    <w:rsid w:val="000E5122"/>
    <w:rsid w:val="000E6711"/>
    <w:rsid w:val="000E6C19"/>
    <w:rsid w:val="000F0ADC"/>
    <w:rsid w:val="000F15F3"/>
    <w:rsid w:val="000F1670"/>
    <w:rsid w:val="000F1858"/>
    <w:rsid w:val="000F36E1"/>
    <w:rsid w:val="000F3A73"/>
    <w:rsid w:val="000F436D"/>
    <w:rsid w:val="000F4ACB"/>
    <w:rsid w:val="000F4DB0"/>
    <w:rsid w:val="000F52D9"/>
    <w:rsid w:val="000F70A1"/>
    <w:rsid w:val="000F7E01"/>
    <w:rsid w:val="00102260"/>
    <w:rsid w:val="001027A6"/>
    <w:rsid w:val="0010315B"/>
    <w:rsid w:val="00103B49"/>
    <w:rsid w:val="00104D61"/>
    <w:rsid w:val="001066F2"/>
    <w:rsid w:val="00106E79"/>
    <w:rsid w:val="00110DB6"/>
    <w:rsid w:val="001132F0"/>
    <w:rsid w:val="00114719"/>
    <w:rsid w:val="0011623B"/>
    <w:rsid w:val="0011623E"/>
    <w:rsid w:val="00116959"/>
    <w:rsid w:val="001172E4"/>
    <w:rsid w:val="00117896"/>
    <w:rsid w:val="00120CB0"/>
    <w:rsid w:val="00120EE5"/>
    <w:rsid w:val="0012179C"/>
    <w:rsid w:val="00123333"/>
    <w:rsid w:val="00123663"/>
    <w:rsid w:val="001244B3"/>
    <w:rsid w:val="00125622"/>
    <w:rsid w:val="00125703"/>
    <w:rsid w:val="001259DD"/>
    <w:rsid w:val="00125D86"/>
    <w:rsid w:val="001260EB"/>
    <w:rsid w:val="00126C02"/>
    <w:rsid w:val="0012790E"/>
    <w:rsid w:val="00127D21"/>
    <w:rsid w:val="00130CCD"/>
    <w:rsid w:val="00131062"/>
    <w:rsid w:val="00131C01"/>
    <w:rsid w:val="00134C74"/>
    <w:rsid w:val="001366D3"/>
    <w:rsid w:val="00136A3B"/>
    <w:rsid w:val="0014120F"/>
    <w:rsid w:val="001448F7"/>
    <w:rsid w:val="001451CA"/>
    <w:rsid w:val="00145AD9"/>
    <w:rsid w:val="00150A28"/>
    <w:rsid w:val="00151361"/>
    <w:rsid w:val="00152507"/>
    <w:rsid w:val="001535D8"/>
    <w:rsid w:val="001538EB"/>
    <w:rsid w:val="001548DB"/>
    <w:rsid w:val="00154D42"/>
    <w:rsid w:val="00154FAC"/>
    <w:rsid w:val="00155048"/>
    <w:rsid w:val="00156125"/>
    <w:rsid w:val="00156D3C"/>
    <w:rsid w:val="0015728C"/>
    <w:rsid w:val="0016032B"/>
    <w:rsid w:val="00160501"/>
    <w:rsid w:val="0016163D"/>
    <w:rsid w:val="001617F9"/>
    <w:rsid w:val="00161D04"/>
    <w:rsid w:val="00161E64"/>
    <w:rsid w:val="001625D7"/>
    <w:rsid w:val="001633AF"/>
    <w:rsid w:val="00163A54"/>
    <w:rsid w:val="00164EE1"/>
    <w:rsid w:val="001650DA"/>
    <w:rsid w:val="001653E5"/>
    <w:rsid w:val="0016540B"/>
    <w:rsid w:val="00165BED"/>
    <w:rsid w:val="0016667B"/>
    <w:rsid w:val="00166822"/>
    <w:rsid w:val="0016721C"/>
    <w:rsid w:val="00167F10"/>
    <w:rsid w:val="001703FA"/>
    <w:rsid w:val="001709F6"/>
    <w:rsid w:val="00171070"/>
    <w:rsid w:val="001710FF"/>
    <w:rsid w:val="00172A2C"/>
    <w:rsid w:val="00173716"/>
    <w:rsid w:val="00175B40"/>
    <w:rsid w:val="00175C76"/>
    <w:rsid w:val="00175D0B"/>
    <w:rsid w:val="00177065"/>
    <w:rsid w:val="00177B02"/>
    <w:rsid w:val="001812F6"/>
    <w:rsid w:val="001818E2"/>
    <w:rsid w:val="00181BF1"/>
    <w:rsid w:val="00181D05"/>
    <w:rsid w:val="001822B3"/>
    <w:rsid w:val="00184566"/>
    <w:rsid w:val="00184ACA"/>
    <w:rsid w:val="00185814"/>
    <w:rsid w:val="00187794"/>
    <w:rsid w:val="00191180"/>
    <w:rsid w:val="0019367A"/>
    <w:rsid w:val="00195E5F"/>
    <w:rsid w:val="001964AA"/>
    <w:rsid w:val="001967AA"/>
    <w:rsid w:val="001967BA"/>
    <w:rsid w:val="00196FAB"/>
    <w:rsid w:val="0019710B"/>
    <w:rsid w:val="0019711B"/>
    <w:rsid w:val="00197978"/>
    <w:rsid w:val="00197D4A"/>
    <w:rsid w:val="001A1D6C"/>
    <w:rsid w:val="001A27FB"/>
    <w:rsid w:val="001A2D62"/>
    <w:rsid w:val="001A3128"/>
    <w:rsid w:val="001A33D2"/>
    <w:rsid w:val="001A3C21"/>
    <w:rsid w:val="001A3D15"/>
    <w:rsid w:val="001A5112"/>
    <w:rsid w:val="001B052B"/>
    <w:rsid w:val="001B0E6D"/>
    <w:rsid w:val="001B25F2"/>
    <w:rsid w:val="001B285D"/>
    <w:rsid w:val="001B3AD6"/>
    <w:rsid w:val="001B40E6"/>
    <w:rsid w:val="001B43FD"/>
    <w:rsid w:val="001B445B"/>
    <w:rsid w:val="001B4D55"/>
    <w:rsid w:val="001B6B2B"/>
    <w:rsid w:val="001B7485"/>
    <w:rsid w:val="001C1019"/>
    <w:rsid w:val="001C128F"/>
    <w:rsid w:val="001C368B"/>
    <w:rsid w:val="001C51BD"/>
    <w:rsid w:val="001C635F"/>
    <w:rsid w:val="001C6ACB"/>
    <w:rsid w:val="001C6F1F"/>
    <w:rsid w:val="001D07CE"/>
    <w:rsid w:val="001D0CA3"/>
    <w:rsid w:val="001D1432"/>
    <w:rsid w:val="001D2666"/>
    <w:rsid w:val="001D27CA"/>
    <w:rsid w:val="001D2D60"/>
    <w:rsid w:val="001D359A"/>
    <w:rsid w:val="001D4085"/>
    <w:rsid w:val="001D425A"/>
    <w:rsid w:val="001D5F5F"/>
    <w:rsid w:val="001D6032"/>
    <w:rsid w:val="001D7131"/>
    <w:rsid w:val="001E3729"/>
    <w:rsid w:val="001E427F"/>
    <w:rsid w:val="001E6DF3"/>
    <w:rsid w:val="001F0A8E"/>
    <w:rsid w:val="001F0BB5"/>
    <w:rsid w:val="001F39C8"/>
    <w:rsid w:val="001F45A2"/>
    <w:rsid w:val="001F476C"/>
    <w:rsid w:val="001F47BE"/>
    <w:rsid w:val="001F527B"/>
    <w:rsid w:val="001F6FC0"/>
    <w:rsid w:val="001F7C2A"/>
    <w:rsid w:val="002005D4"/>
    <w:rsid w:val="00200B50"/>
    <w:rsid w:val="002020B1"/>
    <w:rsid w:val="00203257"/>
    <w:rsid w:val="00203A68"/>
    <w:rsid w:val="0020455E"/>
    <w:rsid w:val="002046E2"/>
    <w:rsid w:val="00204923"/>
    <w:rsid w:val="00206311"/>
    <w:rsid w:val="002109F2"/>
    <w:rsid w:val="0021131F"/>
    <w:rsid w:val="00211D38"/>
    <w:rsid w:val="002127C2"/>
    <w:rsid w:val="00212A00"/>
    <w:rsid w:val="002130DF"/>
    <w:rsid w:val="0021521B"/>
    <w:rsid w:val="00215AB5"/>
    <w:rsid w:val="00216F71"/>
    <w:rsid w:val="002177BC"/>
    <w:rsid w:val="00220138"/>
    <w:rsid w:val="00221C26"/>
    <w:rsid w:val="00222325"/>
    <w:rsid w:val="002226DD"/>
    <w:rsid w:val="002231F7"/>
    <w:rsid w:val="002233A6"/>
    <w:rsid w:val="00223D6B"/>
    <w:rsid w:val="00223FF2"/>
    <w:rsid w:val="002246D1"/>
    <w:rsid w:val="00224C65"/>
    <w:rsid w:val="00225500"/>
    <w:rsid w:val="00226BFB"/>
    <w:rsid w:val="00227F44"/>
    <w:rsid w:val="002300F0"/>
    <w:rsid w:val="002302E8"/>
    <w:rsid w:val="002305E8"/>
    <w:rsid w:val="00230603"/>
    <w:rsid w:val="00233CF6"/>
    <w:rsid w:val="00233EC5"/>
    <w:rsid w:val="002344F3"/>
    <w:rsid w:val="00234C96"/>
    <w:rsid w:val="00234E6B"/>
    <w:rsid w:val="00237231"/>
    <w:rsid w:val="00237BFD"/>
    <w:rsid w:val="00240276"/>
    <w:rsid w:val="002424FD"/>
    <w:rsid w:val="00243B07"/>
    <w:rsid w:val="00247EBC"/>
    <w:rsid w:val="00250430"/>
    <w:rsid w:val="00251052"/>
    <w:rsid w:val="00251AC4"/>
    <w:rsid w:val="002520E4"/>
    <w:rsid w:val="00252225"/>
    <w:rsid w:val="00252E74"/>
    <w:rsid w:val="00253AB4"/>
    <w:rsid w:val="00253C82"/>
    <w:rsid w:val="0025438F"/>
    <w:rsid w:val="0025466C"/>
    <w:rsid w:val="00254E8E"/>
    <w:rsid w:val="002554FA"/>
    <w:rsid w:val="00256737"/>
    <w:rsid w:val="00256FA2"/>
    <w:rsid w:val="002618F6"/>
    <w:rsid w:val="00262062"/>
    <w:rsid w:val="0026369E"/>
    <w:rsid w:val="002644A0"/>
    <w:rsid w:val="00264DC3"/>
    <w:rsid w:val="00264FB4"/>
    <w:rsid w:val="002656E1"/>
    <w:rsid w:val="00265E27"/>
    <w:rsid w:val="00266507"/>
    <w:rsid w:val="002706A4"/>
    <w:rsid w:val="00270DAA"/>
    <w:rsid w:val="00273CA9"/>
    <w:rsid w:val="00273E83"/>
    <w:rsid w:val="002744E1"/>
    <w:rsid w:val="00275407"/>
    <w:rsid w:val="00275413"/>
    <w:rsid w:val="00275540"/>
    <w:rsid w:val="00276B43"/>
    <w:rsid w:val="00276C3A"/>
    <w:rsid w:val="00277610"/>
    <w:rsid w:val="00281DA8"/>
    <w:rsid w:val="002820C2"/>
    <w:rsid w:val="00282600"/>
    <w:rsid w:val="00282802"/>
    <w:rsid w:val="00282F04"/>
    <w:rsid w:val="00283D99"/>
    <w:rsid w:val="00285B74"/>
    <w:rsid w:val="002862AD"/>
    <w:rsid w:val="00286DEA"/>
    <w:rsid w:val="00287AB2"/>
    <w:rsid w:val="0029108F"/>
    <w:rsid w:val="00291376"/>
    <w:rsid w:val="00291E53"/>
    <w:rsid w:val="00292C9E"/>
    <w:rsid w:val="00292CA3"/>
    <w:rsid w:val="00293011"/>
    <w:rsid w:val="00293603"/>
    <w:rsid w:val="00293834"/>
    <w:rsid w:val="00295753"/>
    <w:rsid w:val="002959C5"/>
    <w:rsid w:val="002962A5"/>
    <w:rsid w:val="002966DD"/>
    <w:rsid w:val="00297212"/>
    <w:rsid w:val="00297C8F"/>
    <w:rsid w:val="002A0002"/>
    <w:rsid w:val="002A052A"/>
    <w:rsid w:val="002A2839"/>
    <w:rsid w:val="002A31F8"/>
    <w:rsid w:val="002A3B61"/>
    <w:rsid w:val="002A4FA6"/>
    <w:rsid w:val="002A6F4F"/>
    <w:rsid w:val="002A74A4"/>
    <w:rsid w:val="002A750B"/>
    <w:rsid w:val="002B0822"/>
    <w:rsid w:val="002B0CFB"/>
    <w:rsid w:val="002B178E"/>
    <w:rsid w:val="002B3FCA"/>
    <w:rsid w:val="002B41BF"/>
    <w:rsid w:val="002B425E"/>
    <w:rsid w:val="002B4A25"/>
    <w:rsid w:val="002B52FE"/>
    <w:rsid w:val="002B5E1C"/>
    <w:rsid w:val="002B694C"/>
    <w:rsid w:val="002B6FF2"/>
    <w:rsid w:val="002C1DFE"/>
    <w:rsid w:val="002C2F1E"/>
    <w:rsid w:val="002C5C30"/>
    <w:rsid w:val="002C6B1E"/>
    <w:rsid w:val="002C73E7"/>
    <w:rsid w:val="002D0F17"/>
    <w:rsid w:val="002D1AB0"/>
    <w:rsid w:val="002D3E5E"/>
    <w:rsid w:val="002D46B9"/>
    <w:rsid w:val="002D4761"/>
    <w:rsid w:val="002D4886"/>
    <w:rsid w:val="002D50F0"/>
    <w:rsid w:val="002D65EB"/>
    <w:rsid w:val="002D6634"/>
    <w:rsid w:val="002D6D4F"/>
    <w:rsid w:val="002E0487"/>
    <w:rsid w:val="002E065D"/>
    <w:rsid w:val="002E310F"/>
    <w:rsid w:val="002E3805"/>
    <w:rsid w:val="002E48C6"/>
    <w:rsid w:val="002E661E"/>
    <w:rsid w:val="002E696A"/>
    <w:rsid w:val="002E6C00"/>
    <w:rsid w:val="002E6D8F"/>
    <w:rsid w:val="002E71E6"/>
    <w:rsid w:val="002E721B"/>
    <w:rsid w:val="002E7B4A"/>
    <w:rsid w:val="002F0468"/>
    <w:rsid w:val="002F06F7"/>
    <w:rsid w:val="002F1DDE"/>
    <w:rsid w:val="002F21BF"/>
    <w:rsid w:val="002F3877"/>
    <w:rsid w:val="002F477F"/>
    <w:rsid w:val="002F49CA"/>
    <w:rsid w:val="002F4B14"/>
    <w:rsid w:val="002F59F9"/>
    <w:rsid w:val="002F5EDE"/>
    <w:rsid w:val="002F5EE6"/>
    <w:rsid w:val="002F691B"/>
    <w:rsid w:val="002F6F2D"/>
    <w:rsid w:val="002F7349"/>
    <w:rsid w:val="002F78DF"/>
    <w:rsid w:val="002F7FDA"/>
    <w:rsid w:val="00302358"/>
    <w:rsid w:val="00302469"/>
    <w:rsid w:val="00302E56"/>
    <w:rsid w:val="00303045"/>
    <w:rsid w:val="00303E24"/>
    <w:rsid w:val="00305595"/>
    <w:rsid w:val="0030629A"/>
    <w:rsid w:val="00306D9C"/>
    <w:rsid w:val="003075E5"/>
    <w:rsid w:val="00307A84"/>
    <w:rsid w:val="00307E6D"/>
    <w:rsid w:val="00307F29"/>
    <w:rsid w:val="00310F48"/>
    <w:rsid w:val="003112EB"/>
    <w:rsid w:val="003114B2"/>
    <w:rsid w:val="00312426"/>
    <w:rsid w:val="0031265D"/>
    <w:rsid w:val="0031286E"/>
    <w:rsid w:val="00313741"/>
    <w:rsid w:val="00313C0A"/>
    <w:rsid w:val="003143F7"/>
    <w:rsid w:val="003148A8"/>
    <w:rsid w:val="00315B26"/>
    <w:rsid w:val="00316004"/>
    <w:rsid w:val="003179AC"/>
    <w:rsid w:val="00317D7B"/>
    <w:rsid w:val="00321713"/>
    <w:rsid w:val="00323432"/>
    <w:rsid w:val="003236C6"/>
    <w:rsid w:val="00323797"/>
    <w:rsid w:val="00324019"/>
    <w:rsid w:val="00324080"/>
    <w:rsid w:val="003241DE"/>
    <w:rsid w:val="00324FEC"/>
    <w:rsid w:val="0032518F"/>
    <w:rsid w:val="0032659B"/>
    <w:rsid w:val="00326A14"/>
    <w:rsid w:val="00326A30"/>
    <w:rsid w:val="00327AB0"/>
    <w:rsid w:val="00327E63"/>
    <w:rsid w:val="003309F4"/>
    <w:rsid w:val="00330E7F"/>
    <w:rsid w:val="00331144"/>
    <w:rsid w:val="003312CE"/>
    <w:rsid w:val="00331724"/>
    <w:rsid w:val="0033199F"/>
    <w:rsid w:val="00332678"/>
    <w:rsid w:val="00332C97"/>
    <w:rsid w:val="00333B60"/>
    <w:rsid w:val="00333CF2"/>
    <w:rsid w:val="0033540A"/>
    <w:rsid w:val="003361CF"/>
    <w:rsid w:val="003364B1"/>
    <w:rsid w:val="0033696E"/>
    <w:rsid w:val="00336ACF"/>
    <w:rsid w:val="00340E3D"/>
    <w:rsid w:val="0034194B"/>
    <w:rsid w:val="003425F4"/>
    <w:rsid w:val="00343408"/>
    <w:rsid w:val="00343D9C"/>
    <w:rsid w:val="003443A4"/>
    <w:rsid w:val="003447EB"/>
    <w:rsid w:val="00345001"/>
    <w:rsid w:val="003453D4"/>
    <w:rsid w:val="003461B4"/>
    <w:rsid w:val="00346DAB"/>
    <w:rsid w:val="00347294"/>
    <w:rsid w:val="003476C0"/>
    <w:rsid w:val="00350358"/>
    <w:rsid w:val="00350E11"/>
    <w:rsid w:val="00351177"/>
    <w:rsid w:val="0035288E"/>
    <w:rsid w:val="003529DF"/>
    <w:rsid w:val="00354340"/>
    <w:rsid w:val="00354DF6"/>
    <w:rsid w:val="003556C7"/>
    <w:rsid w:val="00355A9B"/>
    <w:rsid w:val="00355B2E"/>
    <w:rsid w:val="00355B8C"/>
    <w:rsid w:val="00356C82"/>
    <w:rsid w:val="0035789C"/>
    <w:rsid w:val="00357F46"/>
    <w:rsid w:val="003601C1"/>
    <w:rsid w:val="00361CCD"/>
    <w:rsid w:val="00362F4C"/>
    <w:rsid w:val="00363634"/>
    <w:rsid w:val="0036382E"/>
    <w:rsid w:val="00364E32"/>
    <w:rsid w:val="00364ED9"/>
    <w:rsid w:val="00365CC9"/>
    <w:rsid w:val="00366437"/>
    <w:rsid w:val="00366FEC"/>
    <w:rsid w:val="003674ED"/>
    <w:rsid w:val="00367B71"/>
    <w:rsid w:val="00370D32"/>
    <w:rsid w:val="003710F5"/>
    <w:rsid w:val="003718F6"/>
    <w:rsid w:val="003723E8"/>
    <w:rsid w:val="00372743"/>
    <w:rsid w:val="00372A1B"/>
    <w:rsid w:val="00372ACB"/>
    <w:rsid w:val="0037534F"/>
    <w:rsid w:val="00375C8E"/>
    <w:rsid w:val="00376AD7"/>
    <w:rsid w:val="00376BE8"/>
    <w:rsid w:val="0037763C"/>
    <w:rsid w:val="003776B4"/>
    <w:rsid w:val="00380BBF"/>
    <w:rsid w:val="003816F4"/>
    <w:rsid w:val="00382887"/>
    <w:rsid w:val="003845B8"/>
    <w:rsid w:val="003849F0"/>
    <w:rsid w:val="00385D58"/>
    <w:rsid w:val="00385E93"/>
    <w:rsid w:val="003879DE"/>
    <w:rsid w:val="00387D2A"/>
    <w:rsid w:val="00390C21"/>
    <w:rsid w:val="003914C8"/>
    <w:rsid w:val="00391B49"/>
    <w:rsid w:val="00392227"/>
    <w:rsid w:val="003928F9"/>
    <w:rsid w:val="0039363D"/>
    <w:rsid w:val="0039399F"/>
    <w:rsid w:val="00394817"/>
    <w:rsid w:val="00394BEE"/>
    <w:rsid w:val="0039597B"/>
    <w:rsid w:val="00395FB7"/>
    <w:rsid w:val="00396594"/>
    <w:rsid w:val="00396A65"/>
    <w:rsid w:val="00396A8C"/>
    <w:rsid w:val="00396DDC"/>
    <w:rsid w:val="00396E09"/>
    <w:rsid w:val="003A172F"/>
    <w:rsid w:val="003A2440"/>
    <w:rsid w:val="003A29ED"/>
    <w:rsid w:val="003A3A0A"/>
    <w:rsid w:val="003A3AA8"/>
    <w:rsid w:val="003A5494"/>
    <w:rsid w:val="003A553D"/>
    <w:rsid w:val="003A56CF"/>
    <w:rsid w:val="003A6962"/>
    <w:rsid w:val="003A76BA"/>
    <w:rsid w:val="003B024B"/>
    <w:rsid w:val="003B043F"/>
    <w:rsid w:val="003B0585"/>
    <w:rsid w:val="003B083C"/>
    <w:rsid w:val="003B0A2D"/>
    <w:rsid w:val="003B0D90"/>
    <w:rsid w:val="003B0D9C"/>
    <w:rsid w:val="003B11A1"/>
    <w:rsid w:val="003B1657"/>
    <w:rsid w:val="003B1D89"/>
    <w:rsid w:val="003B24EA"/>
    <w:rsid w:val="003B323D"/>
    <w:rsid w:val="003B3433"/>
    <w:rsid w:val="003B3449"/>
    <w:rsid w:val="003B41C1"/>
    <w:rsid w:val="003B5DA4"/>
    <w:rsid w:val="003B61BC"/>
    <w:rsid w:val="003B7466"/>
    <w:rsid w:val="003B7536"/>
    <w:rsid w:val="003B7580"/>
    <w:rsid w:val="003C052A"/>
    <w:rsid w:val="003C1B18"/>
    <w:rsid w:val="003C39FD"/>
    <w:rsid w:val="003C3AC2"/>
    <w:rsid w:val="003C424E"/>
    <w:rsid w:val="003C54AE"/>
    <w:rsid w:val="003C566B"/>
    <w:rsid w:val="003C5F62"/>
    <w:rsid w:val="003C635A"/>
    <w:rsid w:val="003C7A8B"/>
    <w:rsid w:val="003D0261"/>
    <w:rsid w:val="003D0953"/>
    <w:rsid w:val="003D244D"/>
    <w:rsid w:val="003D249F"/>
    <w:rsid w:val="003D2C30"/>
    <w:rsid w:val="003D2F66"/>
    <w:rsid w:val="003D3B11"/>
    <w:rsid w:val="003D522E"/>
    <w:rsid w:val="003D52C0"/>
    <w:rsid w:val="003D5D23"/>
    <w:rsid w:val="003D66E7"/>
    <w:rsid w:val="003D678A"/>
    <w:rsid w:val="003D6ACB"/>
    <w:rsid w:val="003D7067"/>
    <w:rsid w:val="003D78FB"/>
    <w:rsid w:val="003D7D54"/>
    <w:rsid w:val="003E09EC"/>
    <w:rsid w:val="003E25AD"/>
    <w:rsid w:val="003E35DF"/>
    <w:rsid w:val="003E3B28"/>
    <w:rsid w:val="003E406F"/>
    <w:rsid w:val="003E454D"/>
    <w:rsid w:val="003E4708"/>
    <w:rsid w:val="003E58A7"/>
    <w:rsid w:val="003E5D00"/>
    <w:rsid w:val="003F08EB"/>
    <w:rsid w:val="003F09DF"/>
    <w:rsid w:val="003F147F"/>
    <w:rsid w:val="003F1488"/>
    <w:rsid w:val="003F2F6B"/>
    <w:rsid w:val="003F3E4E"/>
    <w:rsid w:val="003F4C60"/>
    <w:rsid w:val="003F538D"/>
    <w:rsid w:val="003F5B99"/>
    <w:rsid w:val="003F5BDA"/>
    <w:rsid w:val="003F6E47"/>
    <w:rsid w:val="003F764B"/>
    <w:rsid w:val="003F7A5B"/>
    <w:rsid w:val="003F7F86"/>
    <w:rsid w:val="004014A8"/>
    <w:rsid w:val="00401998"/>
    <w:rsid w:val="00401C0B"/>
    <w:rsid w:val="00401C43"/>
    <w:rsid w:val="004038D3"/>
    <w:rsid w:val="00405B9D"/>
    <w:rsid w:val="00411306"/>
    <w:rsid w:val="00411FF0"/>
    <w:rsid w:val="00412E89"/>
    <w:rsid w:val="00412EB6"/>
    <w:rsid w:val="0041347F"/>
    <w:rsid w:val="00413944"/>
    <w:rsid w:val="00414449"/>
    <w:rsid w:val="00414A1C"/>
    <w:rsid w:val="00414ECD"/>
    <w:rsid w:val="00415897"/>
    <w:rsid w:val="00416967"/>
    <w:rsid w:val="0041737A"/>
    <w:rsid w:val="00417939"/>
    <w:rsid w:val="004217B0"/>
    <w:rsid w:val="004217D4"/>
    <w:rsid w:val="00422047"/>
    <w:rsid w:val="00422582"/>
    <w:rsid w:val="00422C21"/>
    <w:rsid w:val="004230B6"/>
    <w:rsid w:val="004231CA"/>
    <w:rsid w:val="00423E32"/>
    <w:rsid w:val="004241FE"/>
    <w:rsid w:val="00424CC3"/>
    <w:rsid w:val="0042584C"/>
    <w:rsid w:val="00425ECB"/>
    <w:rsid w:val="0042633A"/>
    <w:rsid w:val="004263FB"/>
    <w:rsid w:val="004275C5"/>
    <w:rsid w:val="00430720"/>
    <w:rsid w:val="00432BD9"/>
    <w:rsid w:val="00432BF5"/>
    <w:rsid w:val="00432D44"/>
    <w:rsid w:val="00433EFD"/>
    <w:rsid w:val="00434AB5"/>
    <w:rsid w:val="00435D50"/>
    <w:rsid w:val="00435FF8"/>
    <w:rsid w:val="00436396"/>
    <w:rsid w:val="00436C4A"/>
    <w:rsid w:val="0043733E"/>
    <w:rsid w:val="00437A43"/>
    <w:rsid w:val="00437C11"/>
    <w:rsid w:val="00440525"/>
    <w:rsid w:val="00441F82"/>
    <w:rsid w:val="00442729"/>
    <w:rsid w:val="00442BF6"/>
    <w:rsid w:val="0044331B"/>
    <w:rsid w:val="004435B9"/>
    <w:rsid w:val="00444A93"/>
    <w:rsid w:val="00444C65"/>
    <w:rsid w:val="0044577D"/>
    <w:rsid w:val="00445EAF"/>
    <w:rsid w:val="00445F7A"/>
    <w:rsid w:val="0044615E"/>
    <w:rsid w:val="00447414"/>
    <w:rsid w:val="00450212"/>
    <w:rsid w:val="004505B3"/>
    <w:rsid w:val="00450C91"/>
    <w:rsid w:val="00453710"/>
    <w:rsid w:val="00453733"/>
    <w:rsid w:val="00454B84"/>
    <w:rsid w:val="004560CA"/>
    <w:rsid w:val="00456479"/>
    <w:rsid w:val="004564FE"/>
    <w:rsid w:val="004579A9"/>
    <w:rsid w:val="00461223"/>
    <w:rsid w:val="00461EE9"/>
    <w:rsid w:val="00462130"/>
    <w:rsid w:val="00462159"/>
    <w:rsid w:val="00462785"/>
    <w:rsid w:val="00463504"/>
    <w:rsid w:val="0046388A"/>
    <w:rsid w:val="00465AFA"/>
    <w:rsid w:val="00465EB1"/>
    <w:rsid w:val="00465F99"/>
    <w:rsid w:val="00466109"/>
    <w:rsid w:val="004664C3"/>
    <w:rsid w:val="004678CC"/>
    <w:rsid w:val="00467ED5"/>
    <w:rsid w:val="00470187"/>
    <w:rsid w:val="00471679"/>
    <w:rsid w:val="00471EFA"/>
    <w:rsid w:val="0047299E"/>
    <w:rsid w:val="00472BEA"/>
    <w:rsid w:val="00473871"/>
    <w:rsid w:val="004742DB"/>
    <w:rsid w:val="0047454C"/>
    <w:rsid w:val="004746FC"/>
    <w:rsid w:val="00474B01"/>
    <w:rsid w:val="00474C0D"/>
    <w:rsid w:val="0047534C"/>
    <w:rsid w:val="004758D2"/>
    <w:rsid w:val="00476659"/>
    <w:rsid w:val="004773B2"/>
    <w:rsid w:val="0048019D"/>
    <w:rsid w:val="004803E2"/>
    <w:rsid w:val="004813F1"/>
    <w:rsid w:val="004815FE"/>
    <w:rsid w:val="00481635"/>
    <w:rsid w:val="00482D42"/>
    <w:rsid w:val="004830CD"/>
    <w:rsid w:val="00483958"/>
    <w:rsid w:val="00485B4F"/>
    <w:rsid w:val="00486163"/>
    <w:rsid w:val="00486BBE"/>
    <w:rsid w:val="00490878"/>
    <w:rsid w:val="00491B8C"/>
    <w:rsid w:val="00491FE5"/>
    <w:rsid w:val="00492508"/>
    <w:rsid w:val="00493D17"/>
    <w:rsid w:val="00494D22"/>
    <w:rsid w:val="00494FEA"/>
    <w:rsid w:val="004952E6"/>
    <w:rsid w:val="0049572C"/>
    <w:rsid w:val="00495914"/>
    <w:rsid w:val="00495C57"/>
    <w:rsid w:val="00496DF4"/>
    <w:rsid w:val="00496FEC"/>
    <w:rsid w:val="004974C8"/>
    <w:rsid w:val="004A01D5"/>
    <w:rsid w:val="004A0867"/>
    <w:rsid w:val="004A154A"/>
    <w:rsid w:val="004A2627"/>
    <w:rsid w:val="004A2845"/>
    <w:rsid w:val="004A333E"/>
    <w:rsid w:val="004A33F0"/>
    <w:rsid w:val="004A3A57"/>
    <w:rsid w:val="004A3E00"/>
    <w:rsid w:val="004A42F8"/>
    <w:rsid w:val="004A43BE"/>
    <w:rsid w:val="004A4C03"/>
    <w:rsid w:val="004A4D6D"/>
    <w:rsid w:val="004A5503"/>
    <w:rsid w:val="004A712F"/>
    <w:rsid w:val="004A7AC1"/>
    <w:rsid w:val="004B1086"/>
    <w:rsid w:val="004B19B7"/>
    <w:rsid w:val="004B1F20"/>
    <w:rsid w:val="004B2B13"/>
    <w:rsid w:val="004B304A"/>
    <w:rsid w:val="004B3574"/>
    <w:rsid w:val="004B3857"/>
    <w:rsid w:val="004B5B67"/>
    <w:rsid w:val="004C0AA2"/>
    <w:rsid w:val="004C3C7F"/>
    <w:rsid w:val="004C6076"/>
    <w:rsid w:val="004C67B5"/>
    <w:rsid w:val="004C6BCF"/>
    <w:rsid w:val="004C6D77"/>
    <w:rsid w:val="004C74F0"/>
    <w:rsid w:val="004C7CD9"/>
    <w:rsid w:val="004D0545"/>
    <w:rsid w:val="004D0AE1"/>
    <w:rsid w:val="004D2010"/>
    <w:rsid w:val="004D22BA"/>
    <w:rsid w:val="004D2468"/>
    <w:rsid w:val="004D4080"/>
    <w:rsid w:val="004D51AC"/>
    <w:rsid w:val="004D6424"/>
    <w:rsid w:val="004D6D76"/>
    <w:rsid w:val="004D7017"/>
    <w:rsid w:val="004D7061"/>
    <w:rsid w:val="004D7658"/>
    <w:rsid w:val="004E0AC6"/>
    <w:rsid w:val="004E0E57"/>
    <w:rsid w:val="004E194B"/>
    <w:rsid w:val="004E1BA7"/>
    <w:rsid w:val="004E2F0E"/>
    <w:rsid w:val="004E3036"/>
    <w:rsid w:val="004E3375"/>
    <w:rsid w:val="004E374E"/>
    <w:rsid w:val="004E4538"/>
    <w:rsid w:val="004E4D70"/>
    <w:rsid w:val="004E52AF"/>
    <w:rsid w:val="004E55EF"/>
    <w:rsid w:val="004E6F3F"/>
    <w:rsid w:val="004E7035"/>
    <w:rsid w:val="004F004E"/>
    <w:rsid w:val="004F03B4"/>
    <w:rsid w:val="004F1FEF"/>
    <w:rsid w:val="004F2729"/>
    <w:rsid w:val="004F2ACF"/>
    <w:rsid w:val="004F2BCC"/>
    <w:rsid w:val="004F2FD1"/>
    <w:rsid w:val="004F30CB"/>
    <w:rsid w:val="004F32CE"/>
    <w:rsid w:val="004F3682"/>
    <w:rsid w:val="004F368A"/>
    <w:rsid w:val="004F4DD1"/>
    <w:rsid w:val="004F7373"/>
    <w:rsid w:val="004F7A29"/>
    <w:rsid w:val="005013E3"/>
    <w:rsid w:val="00502126"/>
    <w:rsid w:val="00502D47"/>
    <w:rsid w:val="00503004"/>
    <w:rsid w:val="00504766"/>
    <w:rsid w:val="00504A40"/>
    <w:rsid w:val="0050584D"/>
    <w:rsid w:val="00505BA5"/>
    <w:rsid w:val="00505E6C"/>
    <w:rsid w:val="00505F98"/>
    <w:rsid w:val="00506A2C"/>
    <w:rsid w:val="005070A6"/>
    <w:rsid w:val="0050724E"/>
    <w:rsid w:val="005073E9"/>
    <w:rsid w:val="00511514"/>
    <w:rsid w:val="00512F3A"/>
    <w:rsid w:val="005133B6"/>
    <w:rsid w:val="00514E91"/>
    <w:rsid w:val="005158A1"/>
    <w:rsid w:val="00515DA2"/>
    <w:rsid w:val="0051666B"/>
    <w:rsid w:val="005166BB"/>
    <w:rsid w:val="0051750F"/>
    <w:rsid w:val="0051765B"/>
    <w:rsid w:val="00517723"/>
    <w:rsid w:val="00521033"/>
    <w:rsid w:val="005240D4"/>
    <w:rsid w:val="005243CE"/>
    <w:rsid w:val="00524F28"/>
    <w:rsid w:val="00525E03"/>
    <w:rsid w:val="0052661B"/>
    <w:rsid w:val="00527386"/>
    <w:rsid w:val="005304EC"/>
    <w:rsid w:val="00531BB6"/>
    <w:rsid w:val="005320AB"/>
    <w:rsid w:val="00532A2E"/>
    <w:rsid w:val="00532E7E"/>
    <w:rsid w:val="0053538C"/>
    <w:rsid w:val="00535872"/>
    <w:rsid w:val="00535AF4"/>
    <w:rsid w:val="00535E9C"/>
    <w:rsid w:val="00535FCE"/>
    <w:rsid w:val="005363AB"/>
    <w:rsid w:val="00536637"/>
    <w:rsid w:val="00536ED2"/>
    <w:rsid w:val="00537E5F"/>
    <w:rsid w:val="00540A17"/>
    <w:rsid w:val="00540DBF"/>
    <w:rsid w:val="00542CA5"/>
    <w:rsid w:val="00543028"/>
    <w:rsid w:val="00545441"/>
    <w:rsid w:val="00545508"/>
    <w:rsid w:val="00545E98"/>
    <w:rsid w:val="00546337"/>
    <w:rsid w:val="005473A7"/>
    <w:rsid w:val="00550200"/>
    <w:rsid w:val="005515AE"/>
    <w:rsid w:val="005521C3"/>
    <w:rsid w:val="00552CD2"/>
    <w:rsid w:val="00552E1B"/>
    <w:rsid w:val="00553E62"/>
    <w:rsid w:val="0055463B"/>
    <w:rsid w:val="00554FA7"/>
    <w:rsid w:val="00556679"/>
    <w:rsid w:val="00556B5E"/>
    <w:rsid w:val="00556CD9"/>
    <w:rsid w:val="00556F1A"/>
    <w:rsid w:val="0055731E"/>
    <w:rsid w:val="00560623"/>
    <w:rsid w:val="005608F3"/>
    <w:rsid w:val="00564205"/>
    <w:rsid w:val="005647BD"/>
    <w:rsid w:val="005655CE"/>
    <w:rsid w:val="005664F4"/>
    <w:rsid w:val="00566F0E"/>
    <w:rsid w:val="00567429"/>
    <w:rsid w:val="00567BC4"/>
    <w:rsid w:val="00570F96"/>
    <w:rsid w:val="005710C4"/>
    <w:rsid w:val="00571FE9"/>
    <w:rsid w:val="005720F1"/>
    <w:rsid w:val="0057234A"/>
    <w:rsid w:val="00572528"/>
    <w:rsid w:val="005732C3"/>
    <w:rsid w:val="0057388C"/>
    <w:rsid w:val="00574634"/>
    <w:rsid w:val="00575D1E"/>
    <w:rsid w:val="00576719"/>
    <w:rsid w:val="00576B82"/>
    <w:rsid w:val="005772DC"/>
    <w:rsid w:val="00581CF3"/>
    <w:rsid w:val="00582238"/>
    <w:rsid w:val="00582691"/>
    <w:rsid w:val="00582B1C"/>
    <w:rsid w:val="0058362A"/>
    <w:rsid w:val="005844FC"/>
    <w:rsid w:val="005858B1"/>
    <w:rsid w:val="0058644C"/>
    <w:rsid w:val="00586DBC"/>
    <w:rsid w:val="0058715B"/>
    <w:rsid w:val="00590275"/>
    <w:rsid w:val="00591350"/>
    <w:rsid w:val="00592D7B"/>
    <w:rsid w:val="005932D4"/>
    <w:rsid w:val="005934FF"/>
    <w:rsid w:val="005944E1"/>
    <w:rsid w:val="00594957"/>
    <w:rsid w:val="005954CE"/>
    <w:rsid w:val="005962C5"/>
    <w:rsid w:val="00596616"/>
    <w:rsid w:val="00596756"/>
    <w:rsid w:val="00597348"/>
    <w:rsid w:val="00597CDE"/>
    <w:rsid w:val="005A056C"/>
    <w:rsid w:val="005A25A9"/>
    <w:rsid w:val="005A6CB1"/>
    <w:rsid w:val="005A7CDD"/>
    <w:rsid w:val="005B03B8"/>
    <w:rsid w:val="005B0839"/>
    <w:rsid w:val="005B1704"/>
    <w:rsid w:val="005B1E64"/>
    <w:rsid w:val="005B25B5"/>
    <w:rsid w:val="005B285F"/>
    <w:rsid w:val="005B3E38"/>
    <w:rsid w:val="005B69BB"/>
    <w:rsid w:val="005B6D0B"/>
    <w:rsid w:val="005B7104"/>
    <w:rsid w:val="005B7BA7"/>
    <w:rsid w:val="005C03A8"/>
    <w:rsid w:val="005C08CD"/>
    <w:rsid w:val="005C142E"/>
    <w:rsid w:val="005C1FAA"/>
    <w:rsid w:val="005C2743"/>
    <w:rsid w:val="005C2748"/>
    <w:rsid w:val="005C3151"/>
    <w:rsid w:val="005C3453"/>
    <w:rsid w:val="005C4C7F"/>
    <w:rsid w:val="005C51B8"/>
    <w:rsid w:val="005C53D3"/>
    <w:rsid w:val="005C6469"/>
    <w:rsid w:val="005C71A0"/>
    <w:rsid w:val="005C7B40"/>
    <w:rsid w:val="005D135D"/>
    <w:rsid w:val="005D1DEB"/>
    <w:rsid w:val="005D1E33"/>
    <w:rsid w:val="005D39E6"/>
    <w:rsid w:val="005D444B"/>
    <w:rsid w:val="005D4525"/>
    <w:rsid w:val="005D4882"/>
    <w:rsid w:val="005D488D"/>
    <w:rsid w:val="005D5EB7"/>
    <w:rsid w:val="005E0940"/>
    <w:rsid w:val="005E097E"/>
    <w:rsid w:val="005E0C96"/>
    <w:rsid w:val="005E116E"/>
    <w:rsid w:val="005E11F5"/>
    <w:rsid w:val="005E14A0"/>
    <w:rsid w:val="005E17F5"/>
    <w:rsid w:val="005E2AE6"/>
    <w:rsid w:val="005E5302"/>
    <w:rsid w:val="005F070A"/>
    <w:rsid w:val="005F0BDE"/>
    <w:rsid w:val="005F0E33"/>
    <w:rsid w:val="005F0FC1"/>
    <w:rsid w:val="005F259F"/>
    <w:rsid w:val="005F2ADA"/>
    <w:rsid w:val="005F35FC"/>
    <w:rsid w:val="005F3F09"/>
    <w:rsid w:val="005F41D7"/>
    <w:rsid w:val="005F62C5"/>
    <w:rsid w:val="005F709D"/>
    <w:rsid w:val="00601292"/>
    <w:rsid w:val="006013C5"/>
    <w:rsid w:val="0060155D"/>
    <w:rsid w:val="00601BBC"/>
    <w:rsid w:val="00603611"/>
    <w:rsid w:val="0060365E"/>
    <w:rsid w:val="00603AF8"/>
    <w:rsid w:val="00606348"/>
    <w:rsid w:val="00607670"/>
    <w:rsid w:val="00611456"/>
    <w:rsid w:val="00611B63"/>
    <w:rsid w:val="00612386"/>
    <w:rsid w:val="00612544"/>
    <w:rsid w:val="006126A7"/>
    <w:rsid w:val="006138E7"/>
    <w:rsid w:val="00614076"/>
    <w:rsid w:val="00614A7D"/>
    <w:rsid w:val="00615486"/>
    <w:rsid w:val="00615864"/>
    <w:rsid w:val="006161FB"/>
    <w:rsid w:val="00617FEA"/>
    <w:rsid w:val="00620CB9"/>
    <w:rsid w:val="00620CDA"/>
    <w:rsid w:val="00621599"/>
    <w:rsid w:val="006215D0"/>
    <w:rsid w:val="00621CDA"/>
    <w:rsid w:val="00622643"/>
    <w:rsid w:val="006230C9"/>
    <w:rsid w:val="0062347A"/>
    <w:rsid w:val="00623665"/>
    <w:rsid w:val="006246DD"/>
    <w:rsid w:val="00624873"/>
    <w:rsid w:val="006263FA"/>
    <w:rsid w:val="00626869"/>
    <w:rsid w:val="006276FC"/>
    <w:rsid w:val="0063044F"/>
    <w:rsid w:val="00630EDD"/>
    <w:rsid w:val="006311D6"/>
    <w:rsid w:val="006322EC"/>
    <w:rsid w:val="00634854"/>
    <w:rsid w:val="00635603"/>
    <w:rsid w:val="0063560A"/>
    <w:rsid w:val="00635CDE"/>
    <w:rsid w:val="00636943"/>
    <w:rsid w:val="0063729D"/>
    <w:rsid w:val="00637A6B"/>
    <w:rsid w:val="00640AEF"/>
    <w:rsid w:val="0064254F"/>
    <w:rsid w:val="00643036"/>
    <w:rsid w:val="00643E11"/>
    <w:rsid w:val="006441C6"/>
    <w:rsid w:val="0064428F"/>
    <w:rsid w:val="00645192"/>
    <w:rsid w:val="00645EBE"/>
    <w:rsid w:val="00645FD8"/>
    <w:rsid w:val="006463DE"/>
    <w:rsid w:val="00646DA4"/>
    <w:rsid w:val="006500E2"/>
    <w:rsid w:val="00650BD7"/>
    <w:rsid w:val="00651032"/>
    <w:rsid w:val="00651506"/>
    <w:rsid w:val="00651810"/>
    <w:rsid w:val="00651E2C"/>
    <w:rsid w:val="00653EDC"/>
    <w:rsid w:val="0065420C"/>
    <w:rsid w:val="006543DF"/>
    <w:rsid w:val="006556B4"/>
    <w:rsid w:val="0065618A"/>
    <w:rsid w:val="00656C73"/>
    <w:rsid w:val="0065759F"/>
    <w:rsid w:val="00657CCC"/>
    <w:rsid w:val="0066145F"/>
    <w:rsid w:val="006623D4"/>
    <w:rsid w:val="00662412"/>
    <w:rsid w:val="00662FD4"/>
    <w:rsid w:val="00664514"/>
    <w:rsid w:val="00664849"/>
    <w:rsid w:val="006649F7"/>
    <w:rsid w:val="00664FF5"/>
    <w:rsid w:val="00666027"/>
    <w:rsid w:val="00666C2A"/>
    <w:rsid w:val="00666FD5"/>
    <w:rsid w:val="0067035A"/>
    <w:rsid w:val="00670783"/>
    <w:rsid w:val="006711C3"/>
    <w:rsid w:val="006712BC"/>
    <w:rsid w:val="006713B8"/>
    <w:rsid w:val="00671717"/>
    <w:rsid w:val="00671CA9"/>
    <w:rsid w:val="00672C81"/>
    <w:rsid w:val="0067550C"/>
    <w:rsid w:val="0067565F"/>
    <w:rsid w:val="0067573A"/>
    <w:rsid w:val="00675765"/>
    <w:rsid w:val="006757A5"/>
    <w:rsid w:val="006766D9"/>
    <w:rsid w:val="006828EC"/>
    <w:rsid w:val="00682980"/>
    <w:rsid w:val="00683733"/>
    <w:rsid w:val="00683DD7"/>
    <w:rsid w:val="0068648A"/>
    <w:rsid w:val="00686652"/>
    <w:rsid w:val="00691190"/>
    <w:rsid w:val="006911F2"/>
    <w:rsid w:val="0069197F"/>
    <w:rsid w:val="00693168"/>
    <w:rsid w:val="0069397C"/>
    <w:rsid w:val="00694655"/>
    <w:rsid w:val="00697737"/>
    <w:rsid w:val="00697EE7"/>
    <w:rsid w:val="006A0326"/>
    <w:rsid w:val="006A12CA"/>
    <w:rsid w:val="006A20B1"/>
    <w:rsid w:val="006A2983"/>
    <w:rsid w:val="006A3B66"/>
    <w:rsid w:val="006A5553"/>
    <w:rsid w:val="006A668A"/>
    <w:rsid w:val="006A69A9"/>
    <w:rsid w:val="006A79D4"/>
    <w:rsid w:val="006B0765"/>
    <w:rsid w:val="006B07E1"/>
    <w:rsid w:val="006B1D3D"/>
    <w:rsid w:val="006B3AA9"/>
    <w:rsid w:val="006B53DD"/>
    <w:rsid w:val="006B5F82"/>
    <w:rsid w:val="006B64D1"/>
    <w:rsid w:val="006B6CE7"/>
    <w:rsid w:val="006B6D93"/>
    <w:rsid w:val="006B7124"/>
    <w:rsid w:val="006C0A3A"/>
    <w:rsid w:val="006C18BC"/>
    <w:rsid w:val="006C193A"/>
    <w:rsid w:val="006C27C7"/>
    <w:rsid w:val="006C2D89"/>
    <w:rsid w:val="006C3CB6"/>
    <w:rsid w:val="006C3F0A"/>
    <w:rsid w:val="006C4898"/>
    <w:rsid w:val="006C4B8A"/>
    <w:rsid w:val="006C5655"/>
    <w:rsid w:val="006C5BCD"/>
    <w:rsid w:val="006C62A0"/>
    <w:rsid w:val="006C652D"/>
    <w:rsid w:val="006C66A6"/>
    <w:rsid w:val="006C6C2A"/>
    <w:rsid w:val="006C6ED3"/>
    <w:rsid w:val="006C7345"/>
    <w:rsid w:val="006D0172"/>
    <w:rsid w:val="006D35CB"/>
    <w:rsid w:val="006D3EF4"/>
    <w:rsid w:val="006D4404"/>
    <w:rsid w:val="006D44CC"/>
    <w:rsid w:val="006D4FD0"/>
    <w:rsid w:val="006D5401"/>
    <w:rsid w:val="006D5657"/>
    <w:rsid w:val="006D73AA"/>
    <w:rsid w:val="006D73DC"/>
    <w:rsid w:val="006D747C"/>
    <w:rsid w:val="006D7977"/>
    <w:rsid w:val="006E071D"/>
    <w:rsid w:val="006E0FE9"/>
    <w:rsid w:val="006E1E90"/>
    <w:rsid w:val="006E3378"/>
    <w:rsid w:val="006E3A9C"/>
    <w:rsid w:val="006E3EB6"/>
    <w:rsid w:val="006E3F34"/>
    <w:rsid w:val="006E44C6"/>
    <w:rsid w:val="006E4E77"/>
    <w:rsid w:val="006E702B"/>
    <w:rsid w:val="006E7141"/>
    <w:rsid w:val="006E764A"/>
    <w:rsid w:val="006F062E"/>
    <w:rsid w:val="006F07FF"/>
    <w:rsid w:val="006F08C6"/>
    <w:rsid w:val="006F0EE6"/>
    <w:rsid w:val="006F13BC"/>
    <w:rsid w:val="006F1F81"/>
    <w:rsid w:val="006F2673"/>
    <w:rsid w:val="006F2A8A"/>
    <w:rsid w:val="006F33FB"/>
    <w:rsid w:val="006F5519"/>
    <w:rsid w:val="006F57B3"/>
    <w:rsid w:val="006F5B6C"/>
    <w:rsid w:val="006F625E"/>
    <w:rsid w:val="006F6CC6"/>
    <w:rsid w:val="006F70F6"/>
    <w:rsid w:val="006F7C12"/>
    <w:rsid w:val="006F7FC2"/>
    <w:rsid w:val="00700188"/>
    <w:rsid w:val="007007D2"/>
    <w:rsid w:val="00700B58"/>
    <w:rsid w:val="00701737"/>
    <w:rsid w:val="007021E2"/>
    <w:rsid w:val="007022C5"/>
    <w:rsid w:val="00703E58"/>
    <w:rsid w:val="007062EC"/>
    <w:rsid w:val="00706600"/>
    <w:rsid w:val="0070779B"/>
    <w:rsid w:val="00707CE7"/>
    <w:rsid w:val="0071143F"/>
    <w:rsid w:val="00711AB4"/>
    <w:rsid w:val="007128F5"/>
    <w:rsid w:val="00713CE9"/>
    <w:rsid w:val="00713FD0"/>
    <w:rsid w:val="00714316"/>
    <w:rsid w:val="007143D2"/>
    <w:rsid w:val="007143E6"/>
    <w:rsid w:val="00715345"/>
    <w:rsid w:val="00715AED"/>
    <w:rsid w:val="00715F6C"/>
    <w:rsid w:val="00716648"/>
    <w:rsid w:val="00716956"/>
    <w:rsid w:val="00716CFC"/>
    <w:rsid w:val="0072038B"/>
    <w:rsid w:val="007207B4"/>
    <w:rsid w:val="00722881"/>
    <w:rsid w:val="00723345"/>
    <w:rsid w:val="00723719"/>
    <w:rsid w:val="00723B8B"/>
    <w:rsid w:val="0072446D"/>
    <w:rsid w:val="0072486C"/>
    <w:rsid w:val="00725797"/>
    <w:rsid w:val="00725BD5"/>
    <w:rsid w:val="00726187"/>
    <w:rsid w:val="007264F1"/>
    <w:rsid w:val="0072757A"/>
    <w:rsid w:val="00727C3E"/>
    <w:rsid w:val="0073099C"/>
    <w:rsid w:val="007317A1"/>
    <w:rsid w:val="0073229D"/>
    <w:rsid w:val="007327B0"/>
    <w:rsid w:val="00734251"/>
    <w:rsid w:val="00736BAD"/>
    <w:rsid w:val="00737832"/>
    <w:rsid w:val="00737CA9"/>
    <w:rsid w:val="00737E17"/>
    <w:rsid w:val="00742125"/>
    <w:rsid w:val="007427AB"/>
    <w:rsid w:val="0074351D"/>
    <w:rsid w:val="00743A8F"/>
    <w:rsid w:val="007449FA"/>
    <w:rsid w:val="007464C6"/>
    <w:rsid w:val="0074668A"/>
    <w:rsid w:val="00746E9D"/>
    <w:rsid w:val="007473FA"/>
    <w:rsid w:val="007474D3"/>
    <w:rsid w:val="007474DE"/>
    <w:rsid w:val="00747546"/>
    <w:rsid w:val="00747627"/>
    <w:rsid w:val="0075008C"/>
    <w:rsid w:val="00750BAB"/>
    <w:rsid w:val="00751588"/>
    <w:rsid w:val="0075176D"/>
    <w:rsid w:val="00751BCC"/>
    <w:rsid w:val="007530A6"/>
    <w:rsid w:val="0075320E"/>
    <w:rsid w:val="007548BC"/>
    <w:rsid w:val="00755FEF"/>
    <w:rsid w:val="00756FCB"/>
    <w:rsid w:val="00760005"/>
    <w:rsid w:val="0076218F"/>
    <w:rsid w:val="007638A6"/>
    <w:rsid w:val="00764282"/>
    <w:rsid w:val="00765F86"/>
    <w:rsid w:val="00766FAA"/>
    <w:rsid w:val="00770FCC"/>
    <w:rsid w:val="00771721"/>
    <w:rsid w:val="00772A31"/>
    <w:rsid w:val="00772D55"/>
    <w:rsid w:val="00772E2D"/>
    <w:rsid w:val="007739C0"/>
    <w:rsid w:val="00775950"/>
    <w:rsid w:val="00780A43"/>
    <w:rsid w:val="00780B3F"/>
    <w:rsid w:val="00781347"/>
    <w:rsid w:val="0078179F"/>
    <w:rsid w:val="00781B73"/>
    <w:rsid w:val="0078312C"/>
    <w:rsid w:val="00784E89"/>
    <w:rsid w:val="0078612E"/>
    <w:rsid w:val="00787B1F"/>
    <w:rsid w:val="007903D6"/>
    <w:rsid w:val="00791B6C"/>
    <w:rsid w:val="0079249B"/>
    <w:rsid w:val="007938CB"/>
    <w:rsid w:val="007939FC"/>
    <w:rsid w:val="00795ACB"/>
    <w:rsid w:val="00796C38"/>
    <w:rsid w:val="00797D54"/>
    <w:rsid w:val="007A1903"/>
    <w:rsid w:val="007A236E"/>
    <w:rsid w:val="007A276F"/>
    <w:rsid w:val="007A29C6"/>
    <w:rsid w:val="007A2FEF"/>
    <w:rsid w:val="007A3C09"/>
    <w:rsid w:val="007A5650"/>
    <w:rsid w:val="007A613F"/>
    <w:rsid w:val="007A708C"/>
    <w:rsid w:val="007A7E6D"/>
    <w:rsid w:val="007B0453"/>
    <w:rsid w:val="007B112E"/>
    <w:rsid w:val="007B20E9"/>
    <w:rsid w:val="007B243C"/>
    <w:rsid w:val="007B2927"/>
    <w:rsid w:val="007B347D"/>
    <w:rsid w:val="007B3630"/>
    <w:rsid w:val="007B425E"/>
    <w:rsid w:val="007B4652"/>
    <w:rsid w:val="007B56C0"/>
    <w:rsid w:val="007B5921"/>
    <w:rsid w:val="007B63D5"/>
    <w:rsid w:val="007C0703"/>
    <w:rsid w:val="007C1CFF"/>
    <w:rsid w:val="007C3589"/>
    <w:rsid w:val="007C539B"/>
    <w:rsid w:val="007C575D"/>
    <w:rsid w:val="007C7C24"/>
    <w:rsid w:val="007C7CAD"/>
    <w:rsid w:val="007D012D"/>
    <w:rsid w:val="007D0D0F"/>
    <w:rsid w:val="007D6341"/>
    <w:rsid w:val="007D70C4"/>
    <w:rsid w:val="007E0422"/>
    <w:rsid w:val="007E1041"/>
    <w:rsid w:val="007E174B"/>
    <w:rsid w:val="007E30C8"/>
    <w:rsid w:val="007E319F"/>
    <w:rsid w:val="007E44C1"/>
    <w:rsid w:val="007E4F38"/>
    <w:rsid w:val="007E4F3D"/>
    <w:rsid w:val="007E5C9E"/>
    <w:rsid w:val="007F1445"/>
    <w:rsid w:val="007F17CB"/>
    <w:rsid w:val="007F1CF1"/>
    <w:rsid w:val="007F2060"/>
    <w:rsid w:val="007F275D"/>
    <w:rsid w:val="007F2BA7"/>
    <w:rsid w:val="007F4BED"/>
    <w:rsid w:val="007F5841"/>
    <w:rsid w:val="007F6142"/>
    <w:rsid w:val="007F6F13"/>
    <w:rsid w:val="007F774D"/>
    <w:rsid w:val="007F7E7B"/>
    <w:rsid w:val="008005DA"/>
    <w:rsid w:val="00800EB1"/>
    <w:rsid w:val="00801A70"/>
    <w:rsid w:val="00801AE2"/>
    <w:rsid w:val="00802480"/>
    <w:rsid w:val="00804D79"/>
    <w:rsid w:val="00804F40"/>
    <w:rsid w:val="00805285"/>
    <w:rsid w:val="008056F7"/>
    <w:rsid w:val="00805B77"/>
    <w:rsid w:val="00806197"/>
    <w:rsid w:val="00806398"/>
    <w:rsid w:val="008068B9"/>
    <w:rsid w:val="00807D95"/>
    <w:rsid w:val="00807F36"/>
    <w:rsid w:val="00811027"/>
    <w:rsid w:val="00811369"/>
    <w:rsid w:val="00811BAE"/>
    <w:rsid w:val="008121DE"/>
    <w:rsid w:val="008128B4"/>
    <w:rsid w:val="00812D6C"/>
    <w:rsid w:val="0081412A"/>
    <w:rsid w:val="008147E8"/>
    <w:rsid w:val="00815AF9"/>
    <w:rsid w:val="00815B93"/>
    <w:rsid w:val="00815B99"/>
    <w:rsid w:val="00816085"/>
    <w:rsid w:val="008166F2"/>
    <w:rsid w:val="0081687A"/>
    <w:rsid w:val="00816D77"/>
    <w:rsid w:val="00817332"/>
    <w:rsid w:val="0082139A"/>
    <w:rsid w:val="00821A8A"/>
    <w:rsid w:val="00821C2B"/>
    <w:rsid w:val="00821E9A"/>
    <w:rsid w:val="00821F57"/>
    <w:rsid w:val="0082255E"/>
    <w:rsid w:val="00822EB5"/>
    <w:rsid w:val="00823318"/>
    <w:rsid w:val="00824060"/>
    <w:rsid w:val="00825657"/>
    <w:rsid w:val="00825844"/>
    <w:rsid w:val="00826C2C"/>
    <w:rsid w:val="008278FF"/>
    <w:rsid w:val="00830F32"/>
    <w:rsid w:val="00831174"/>
    <w:rsid w:val="00831276"/>
    <w:rsid w:val="00831BE6"/>
    <w:rsid w:val="00832D16"/>
    <w:rsid w:val="00832FCD"/>
    <w:rsid w:val="00833387"/>
    <w:rsid w:val="00834627"/>
    <w:rsid w:val="00834E60"/>
    <w:rsid w:val="0083548A"/>
    <w:rsid w:val="00835850"/>
    <w:rsid w:val="00840424"/>
    <w:rsid w:val="00840A63"/>
    <w:rsid w:val="00840FBA"/>
    <w:rsid w:val="00841BC6"/>
    <w:rsid w:val="008420F1"/>
    <w:rsid w:val="008425F1"/>
    <w:rsid w:val="008429F9"/>
    <w:rsid w:val="00842AE1"/>
    <w:rsid w:val="0084444A"/>
    <w:rsid w:val="008447B0"/>
    <w:rsid w:val="00845EB7"/>
    <w:rsid w:val="0084624F"/>
    <w:rsid w:val="00846B32"/>
    <w:rsid w:val="0084711C"/>
    <w:rsid w:val="00847C68"/>
    <w:rsid w:val="0085015F"/>
    <w:rsid w:val="00850841"/>
    <w:rsid w:val="0085174D"/>
    <w:rsid w:val="00851EDC"/>
    <w:rsid w:val="00851FF7"/>
    <w:rsid w:val="008539D0"/>
    <w:rsid w:val="00853D9C"/>
    <w:rsid w:val="00857365"/>
    <w:rsid w:val="008573A9"/>
    <w:rsid w:val="008578C3"/>
    <w:rsid w:val="0085794A"/>
    <w:rsid w:val="0086079E"/>
    <w:rsid w:val="00861163"/>
    <w:rsid w:val="008615ED"/>
    <w:rsid w:val="00861782"/>
    <w:rsid w:val="008620C7"/>
    <w:rsid w:val="0086218D"/>
    <w:rsid w:val="00864CEF"/>
    <w:rsid w:val="00866507"/>
    <w:rsid w:val="00866811"/>
    <w:rsid w:val="00866E29"/>
    <w:rsid w:val="0086742E"/>
    <w:rsid w:val="00867893"/>
    <w:rsid w:val="00867EEB"/>
    <w:rsid w:val="008727A2"/>
    <w:rsid w:val="00872A90"/>
    <w:rsid w:val="00872ACF"/>
    <w:rsid w:val="00873BAD"/>
    <w:rsid w:val="008770B6"/>
    <w:rsid w:val="008770CE"/>
    <w:rsid w:val="008779F8"/>
    <w:rsid w:val="00877E32"/>
    <w:rsid w:val="00883BA0"/>
    <w:rsid w:val="00883C11"/>
    <w:rsid w:val="00885470"/>
    <w:rsid w:val="008861D2"/>
    <w:rsid w:val="00886217"/>
    <w:rsid w:val="008863FD"/>
    <w:rsid w:val="0088663A"/>
    <w:rsid w:val="00886983"/>
    <w:rsid w:val="00886C75"/>
    <w:rsid w:val="00887530"/>
    <w:rsid w:val="0088756B"/>
    <w:rsid w:val="0089043E"/>
    <w:rsid w:val="008917B1"/>
    <w:rsid w:val="008919FB"/>
    <w:rsid w:val="008928B8"/>
    <w:rsid w:val="00892B13"/>
    <w:rsid w:val="00893041"/>
    <w:rsid w:val="00893730"/>
    <w:rsid w:val="00893B81"/>
    <w:rsid w:val="00894052"/>
    <w:rsid w:val="00895CC1"/>
    <w:rsid w:val="00895E6B"/>
    <w:rsid w:val="008969E7"/>
    <w:rsid w:val="008975EB"/>
    <w:rsid w:val="008A183E"/>
    <w:rsid w:val="008A2DA5"/>
    <w:rsid w:val="008A3296"/>
    <w:rsid w:val="008A5003"/>
    <w:rsid w:val="008A63D7"/>
    <w:rsid w:val="008A6569"/>
    <w:rsid w:val="008A7545"/>
    <w:rsid w:val="008A76D2"/>
    <w:rsid w:val="008A77F0"/>
    <w:rsid w:val="008B0064"/>
    <w:rsid w:val="008B0271"/>
    <w:rsid w:val="008B02A9"/>
    <w:rsid w:val="008B04F6"/>
    <w:rsid w:val="008B0C89"/>
    <w:rsid w:val="008B14EF"/>
    <w:rsid w:val="008B274B"/>
    <w:rsid w:val="008B2EE6"/>
    <w:rsid w:val="008B4566"/>
    <w:rsid w:val="008B4C6A"/>
    <w:rsid w:val="008B519C"/>
    <w:rsid w:val="008B56C5"/>
    <w:rsid w:val="008B720D"/>
    <w:rsid w:val="008C16C7"/>
    <w:rsid w:val="008C1BA2"/>
    <w:rsid w:val="008C30A7"/>
    <w:rsid w:val="008C3754"/>
    <w:rsid w:val="008C638B"/>
    <w:rsid w:val="008C7022"/>
    <w:rsid w:val="008D0576"/>
    <w:rsid w:val="008D17F0"/>
    <w:rsid w:val="008D3433"/>
    <w:rsid w:val="008D3D25"/>
    <w:rsid w:val="008D4916"/>
    <w:rsid w:val="008D5359"/>
    <w:rsid w:val="008D56EB"/>
    <w:rsid w:val="008D7033"/>
    <w:rsid w:val="008D70B8"/>
    <w:rsid w:val="008D74EF"/>
    <w:rsid w:val="008D7CEB"/>
    <w:rsid w:val="008D7F0B"/>
    <w:rsid w:val="008E161E"/>
    <w:rsid w:val="008E319A"/>
    <w:rsid w:val="008E40EE"/>
    <w:rsid w:val="008E5001"/>
    <w:rsid w:val="008E5ED6"/>
    <w:rsid w:val="008E73B9"/>
    <w:rsid w:val="008E7EB9"/>
    <w:rsid w:val="008F043E"/>
    <w:rsid w:val="008F2DE1"/>
    <w:rsid w:val="008F2FA3"/>
    <w:rsid w:val="008F3C1B"/>
    <w:rsid w:val="008F3CFE"/>
    <w:rsid w:val="008F49AD"/>
    <w:rsid w:val="008F6A8F"/>
    <w:rsid w:val="008F6DA4"/>
    <w:rsid w:val="00901244"/>
    <w:rsid w:val="009019A7"/>
    <w:rsid w:val="009028E5"/>
    <w:rsid w:val="00902A1F"/>
    <w:rsid w:val="009034D2"/>
    <w:rsid w:val="0090484E"/>
    <w:rsid w:val="00905725"/>
    <w:rsid w:val="00907656"/>
    <w:rsid w:val="0091162C"/>
    <w:rsid w:val="0091220C"/>
    <w:rsid w:val="00912A11"/>
    <w:rsid w:val="00912E97"/>
    <w:rsid w:val="009133FD"/>
    <w:rsid w:val="00913CC6"/>
    <w:rsid w:val="00915115"/>
    <w:rsid w:val="009154E9"/>
    <w:rsid w:val="00915C7D"/>
    <w:rsid w:val="00916183"/>
    <w:rsid w:val="00916BC8"/>
    <w:rsid w:val="00916FCE"/>
    <w:rsid w:val="009174EC"/>
    <w:rsid w:val="009178E5"/>
    <w:rsid w:val="00917C3C"/>
    <w:rsid w:val="00917E69"/>
    <w:rsid w:val="00921265"/>
    <w:rsid w:val="00921398"/>
    <w:rsid w:val="0092170F"/>
    <w:rsid w:val="00923F6D"/>
    <w:rsid w:val="009257C8"/>
    <w:rsid w:val="009259A4"/>
    <w:rsid w:val="00925F33"/>
    <w:rsid w:val="00926A5C"/>
    <w:rsid w:val="00926EED"/>
    <w:rsid w:val="00927432"/>
    <w:rsid w:val="00927CAA"/>
    <w:rsid w:val="00927E95"/>
    <w:rsid w:val="00930EA0"/>
    <w:rsid w:val="009315FD"/>
    <w:rsid w:val="00931CE6"/>
    <w:rsid w:val="00931D73"/>
    <w:rsid w:val="00933B8D"/>
    <w:rsid w:val="00933D8A"/>
    <w:rsid w:val="00934DB1"/>
    <w:rsid w:val="0093736E"/>
    <w:rsid w:val="009403E3"/>
    <w:rsid w:val="00941308"/>
    <w:rsid w:val="00941436"/>
    <w:rsid w:val="0094366C"/>
    <w:rsid w:val="00943AA5"/>
    <w:rsid w:val="00945A18"/>
    <w:rsid w:val="00945C58"/>
    <w:rsid w:val="00945E6D"/>
    <w:rsid w:val="00946C06"/>
    <w:rsid w:val="009501EA"/>
    <w:rsid w:val="00950FEF"/>
    <w:rsid w:val="009515F6"/>
    <w:rsid w:val="00954251"/>
    <w:rsid w:val="00954354"/>
    <w:rsid w:val="009543FB"/>
    <w:rsid w:val="00955465"/>
    <w:rsid w:val="0095574B"/>
    <w:rsid w:val="00955EA6"/>
    <w:rsid w:val="009561AF"/>
    <w:rsid w:val="00956567"/>
    <w:rsid w:val="00956A79"/>
    <w:rsid w:val="009572CE"/>
    <w:rsid w:val="009603B5"/>
    <w:rsid w:val="009607F7"/>
    <w:rsid w:val="00961560"/>
    <w:rsid w:val="009623B4"/>
    <w:rsid w:val="00963122"/>
    <w:rsid w:val="00963E60"/>
    <w:rsid w:val="009640BC"/>
    <w:rsid w:val="00964293"/>
    <w:rsid w:val="00964AE6"/>
    <w:rsid w:val="00965EF2"/>
    <w:rsid w:val="0096614E"/>
    <w:rsid w:val="0096661C"/>
    <w:rsid w:val="0096671B"/>
    <w:rsid w:val="00966758"/>
    <w:rsid w:val="00967768"/>
    <w:rsid w:val="00967E52"/>
    <w:rsid w:val="00971638"/>
    <w:rsid w:val="00972E71"/>
    <w:rsid w:val="00973360"/>
    <w:rsid w:val="009740B5"/>
    <w:rsid w:val="00974901"/>
    <w:rsid w:val="00975800"/>
    <w:rsid w:val="009762C3"/>
    <w:rsid w:val="00976F87"/>
    <w:rsid w:val="00977E08"/>
    <w:rsid w:val="009807DE"/>
    <w:rsid w:val="00981C4B"/>
    <w:rsid w:val="00981F0A"/>
    <w:rsid w:val="00982325"/>
    <w:rsid w:val="0098235E"/>
    <w:rsid w:val="00984586"/>
    <w:rsid w:val="00985373"/>
    <w:rsid w:val="00987234"/>
    <w:rsid w:val="00987502"/>
    <w:rsid w:val="009907F5"/>
    <w:rsid w:val="0099119F"/>
    <w:rsid w:val="00991C99"/>
    <w:rsid w:val="009924C1"/>
    <w:rsid w:val="00993571"/>
    <w:rsid w:val="00994294"/>
    <w:rsid w:val="00994369"/>
    <w:rsid w:val="00995040"/>
    <w:rsid w:val="00995346"/>
    <w:rsid w:val="009955DC"/>
    <w:rsid w:val="009966C7"/>
    <w:rsid w:val="00997260"/>
    <w:rsid w:val="00997F4B"/>
    <w:rsid w:val="009A130C"/>
    <w:rsid w:val="009A1FC1"/>
    <w:rsid w:val="009A30F5"/>
    <w:rsid w:val="009A341E"/>
    <w:rsid w:val="009A3CD2"/>
    <w:rsid w:val="009A5E9F"/>
    <w:rsid w:val="009A7598"/>
    <w:rsid w:val="009B0AD1"/>
    <w:rsid w:val="009B0FBD"/>
    <w:rsid w:val="009B10D8"/>
    <w:rsid w:val="009B12A2"/>
    <w:rsid w:val="009B1F54"/>
    <w:rsid w:val="009B2329"/>
    <w:rsid w:val="009B26C5"/>
    <w:rsid w:val="009B28F8"/>
    <w:rsid w:val="009B3487"/>
    <w:rsid w:val="009B4805"/>
    <w:rsid w:val="009B4D78"/>
    <w:rsid w:val="009B4FEC"/>
    <w:rsid w:val="009B5112"/>
    <w:rsid w:val="009B52D8"/>
    <w:rsid w:val="009B5DD5"/>
    <w:rsid w:val="009B7259"/>
    <w:rsid w:val="009B72EF"/>
    <w:rsid w:val="009C0AB8"/>
    <w:rsid w:val="009C0C4E"/>
    <w:rsid w:val="009C1602"/>
    <w:rsid w:val="009C2088"/>
    <w:rsid w:val="009C29A0"/>
    <w:rsid w:val="009C2F2A"/>
    <w:rsid w:val="009C2FB1"/>
    <w:rsid w:val="009C4548"/>
    <w:rsid w:val="009C4D69"/>
    <w:rsid w:val="009C59E0"/>
    <w:rsid w:val="009C6956"/>
    <w:rsid w:val="009C77DF"/>
    <w:rsid w:val="009D02AD"/>
    <w:rsid w:val="009D0620"/>
    <w:rsid w:val="009D0A1F"/>
    <w:rsid w:val="009D118A"/>
    <w:rsid w:val="009D1FC1"/>
    <w:rsid w:val="009D2EC2"/>
    <w:rsid w:val="009D30C2"/>
    <w:rsid w:val="009D3839"/>
    <w:rsid w:val="009D3869"/>
    <w:rsid w:val="009D3AF2"/>
    <w:rsid w:val="009D3DE7"/>
    <w:rsid w:val="009D421C"/>
    <w:rsid w:val="009D45C4"/>
    <w:rsid w:val="009D4689"/>
    <w:rsid w:val="009D48C3"/>
    <w:rsid w:val="009D4CED"/>
    <w:rsid w:val="009D5159"/>
    <w:rsid w:val="009D5572"/>
    <w:rsid w:val="009D56A3"/>
    <w:rsid w:val="009D5B8D"/>
    <w:rsid w:val="009D7022"/>
    <w:rsid w:val="009E058C"/>
    <w:rsid w:val="009E1C95"/>
    <w:rsid w:val="009E1FEF"/>
    <w:rsid w:val="009E25B4"/>
    <w:rsid w:val="009E26EF"/>
    <w:rsid w:val="009E2A96"/>
    <w:rsid w:val="009E3301"/>
    <w:rsid w:val="009E3F82"/>
    <w:rsid w:val="009E4571"/>
    <w:rsid w:val="009E45F2"/>
    <w:rsid w:val="009E4E88"/>
    <w:rsid w:val="009E57B8"/>
    <w:rsid w:val="009E59A1"/>
    <w:rsid w:val="009E5A2D"/>
    <w:rsid w:val="009E5A97"/>
    <w:rsid w:val="009E6249"/>
    <w:rsid w:val="009E74F4"/>
    <w:rsid w:val="009E75F1"/>
    <w:rsid w:val="009F1537"/>
    <w:rsid w:val="009F2393"/>
    <w:rsid w:val="009F27CD"/>
    <w:rsid w:val="009F2CB8"/>
    <w:rsid w:val="009F3F46"/>
    <w:rsid w:val="009F4F5E"/>
    <w:rsid w:val="009F61B5"/>
    <w:rsid w:val="009F7345"/>
    <w:rsid w:val="00A0093D"/>
    <w:rsid w:val="00A031DC"/>
    <w:rsid w:val="00A0349D"/>
    <w:rsid w:val="00A037C6"/>
    <w:rsid w:val="00A05919"/>
    <w:rsid w:val="00A05E53"/>
    <w:rsid w:val="00A06340"/>
    <w:rsid w:val="00A065F6"/>
    <w:rsid w:val="00A06CAC"/>
    <w:rsid w:val="00A06D1F"/>
    <w:rsid w:val="00A0766D"/>
    <w:rsid w:val="00A137AB"/>
    <w:rsid w:val="00A13C3C"/>
    <w:rsid w:val="00A20655"/>
    <w:rsid w:val="00A21557"/>
    <w:rsid w:val="00A2271B"/>
    <w:rsid w:val="00A232B4"/>
    <w:rsid w:val="00A23D23"/>
    <w:rsid w:val="00A2448D"/>
    <w:rsid w:val="00A247A6"/>
    <w:rsid w:val="00A2498D"/>
    <w:rsid w:val="00A26B18"/>
    <w:rsid w:val="00A27AFD"/>
    <w:rsid w:val="00A30041"/>
    <w:rsid w:val="00A318FB"/>
    <w:rsid w:val="00A31E49"/>
    <w:rsid w:val="00A336AE"/>
    <w:rsid w:val="00A34A24"/>
    <w:rsid w:val="00A34CC3"/>
    <w:rsid w:val="00A34D75"/>
    <w:rsid w:val="00A40EE8"/>
    <w:rsid w:val="00A42312"/>
    <w:rsid w:val="00A42D2C"/>
    <w:rsid w:val="00A43440"/>
    <w:rsid w:val="00A440E4"/>
    <w:rsid w:val="00A44476"/>
    <w:rsid w:val="00A4448C"/>
    <w:rsid w:val="00A447A0"/>
    <w:rsid w:val="00A44D6F"/>
    <w:rsid w:val="00A455E1"/>
    <w:rsid w:val="00A46866"/>
    <w:rsid w:val="00A46A68"/>
    <w:rsid w:val="00A47A35"/>
    <w:rsid w:val="00A51482"/>
    <w:rsid w:val="00A51F86"/>
    <w:rsid w:val="00A526F0"/>
    <w:rsid w:val="00A53187"/>
    <w:rsid w:val="00A53627"/>
    <w:rsid w:val="00A53906"/>
    <w:rsid w:val="00A5570C"/>
    <w:rsid w:val="00A55C5C"/>
    <w:rsid w:val="00A55FBC"/>
    <w:rsid w:val="00A5661E"/>
    <w:rsid w:val="00A56BDD"/>
    <w:rsid w:val="00A57BC4"/>
    <w:rsid w:val="00A57DAC"/>
    <w:rsid w:val="00A60A65"/>
    <w:rsid w:val="00A60E83"/>
    <w:rsid w:val="00A624D3"/>
    <w:rsid w:val="00A625A5"/>
    <w:rsid w:val="00A62D40"/>
    <w:rsid w:val="00A63481"/>
    <w:rsid w:val="00A63B41"/>
    <w:rsid w:val="00A64409"/>
    <w:rsid w:val="00A64E78"/>
    <w:rsid w:val="00A65754"/>
    <w:rsid w:val="00A65C05"/>
    <w:rsid w:val="00A6601C"/>
    <w:rsid w:val="00A71C49"/>
    <w:rsid w:val="00A729DB"/>
    <w:rsid w:val="00A72B62"/>
    <w:rsid w:val="00A72E90"/>
    <w:rsid w:val="00A732D5"/>
    <w:rsid w:val="00A735BE"/>
    <w:rsid w:val="00A75535"/>
    <w:rsid w:val="00A80760"/>
    <w:rsid w:val="00A80DA0"/>
    <w:rsid w:val="00A80E34"/>
    <w:rsid w:val="00A82A37"/>
    <w:rsid w:val="00A82E4D"/>
    <w:rsid w:val="00A82F1F"/>
    <w:rsid w:val="00A83E34"/>
    <w:rsid w:val="00A84550"/>
    <w:rsid w:val="00A905A0"/>
    <w:rsid w:val="00A90F55"/>
    <w:rsid w:val="00A92C96"/>
    <w:rsid w:val="00A92DB5"/>
    <w:rsid w:val="00A939E8"/>
    <w:rsid w:val="00A94227"/>
    <w:rsid w:val="00A957ED"/>
    <w:rsid w:val="00A95ABB"/>
    <w:rsid w:val="00A95FBE"/>
    <w:rsid w:val="00A960A7"/>
    <w:rsid w:val="00A962C6"/>
    <w:rsid w:val="00A967E7"/>
    <w:rsid w:val="00A9722E"/>
    <w:rsid w:val="00A973EA"/>
    <w:rsid w:val="00A97C4F"/>
    <w:rsid w:val="00AA05E1"/>
    <w:rsid w:val="00AA0F80"/>
    <w:rsid w:val="00AA1E17"/>
    <w:rsid w:val="00AA1EC9"/>
    <w:rsid w:val="00AA28E2"/>
    <w:rsid w:val="00AA2CDE"/>
    <w:rsid w:val="00AA4F1D"/>
    <w:rsid w:val="00AA62C1"/>
    <w:rsid w:val="00AA677A"/>
    <w:rsid w:val="00AA6D1E"/>
    <w:rsid w:val="00AA7243"/>
    <w:rsid w:val="00AA77BC"/>
    <w:rsid w:val="00AA7E35"/>
    <w:rsid w:val="00AB004B"/>
    <w:rsid w:val="00AB02D5"/>
    <w:rsid w:val="00AB0AB9"/>
    <w:rsid w:val="00AB0CC4"/>
    <w:rsid w:val="00AB163D"/>
    <w:rsid w:val="00AB1CB8"/>
    <w:rsid w:val="00AB4BFC"/>
    <w:rsid w:val="00AB50D3"/>
    <w:rsid w:val="00AB612C"/>
    <w:rsid w:val="00AB6230"/>
    <w:rsid w:val="00AB679D"/>
    <w:rsid w:val="00AB7064"/>
    <w:rsid w:val="00AB706B"/>
    <w:rsid w:val="00AC045A"/>
    <w:rsid w:val="00AC0775"/>
    <w:rsid w:val="00AC12E2"/>
    <w:rsid w:val="00AC2AB1"/>
    <w:rsid w:val="00AC309D"/>
    <w:rsid w:val="00AC3A75"/>
    <w:rsid w:val="00AC40B0"/>
    <w:rsid w:val="00AC4447"/>
    <w:rsid w:val="00AC4A56"/>
    <w:rsid w:val="00AC662D"/>
    <w:rsid w:val="00AC6768"/>
    <w:rsid w:val="00AC6FD2"/>
    <w:rsid w:val="00AC7B62"/>
    <w:rsid w:val="00AD06C4"/>
    <w:rsid w:val="00AD151D"/>
    <w:rsid w:val="00AD1796"/>
    <w:rsid w:val="00AD17A6"/>
    <w:rsid w:val="00AD1ED3"/>
    <w:rsid w:val="00AD2456"/>
    <w:rsid w:val="00AD2BB7"/>
    <w:rsid w:val="00AD33D1"/>
    <w:rsid w:val="00AD4A34"/>
    <w:rsid w:val="00AD56DA"/>
    <w:rsid w:val="00AD596C"/>
    <w:rsid w:val="00AD5F2F"/>
    <w:rsid w:val="00AD5F73"/>
    <w:rsid w:val="00AD7AC9"/>
    <w:rsid w:val="00AE0330"/>
    <w:rsid w:val="00AE140F"/>
    <w:rsid w:val="00AE36F0"/>
    <w:rsid w:val="00AE41F9"/>
    <w:rsid w:val="00AE4260"/>
    <w:rsid w:val="00AE4B04"/>
    <w:rsid w:val="00AE58EE"/>
    <w:rsid w:val="00AE7B20"/>
    <w:rsid w:val="00AF0027"/>
    <w:rsid w:val="00AF0962"/>
    <w:rsid w:val="00AF2058"/>
    <w:rsid w:val="00AF20B2"/>
    <w:rsid w:val="00AF2847"/>
    <w:rsid w:val="00AF30D6"/>
    <w:rsid w:val="00AF3109"/>
    <w:rsid w:val="00AF3E15"/>
    <w:rsid w:val="00AF50AD"/>
    <w:rsid w:val="00AF5BB8"/>
    <w:rsid w:val="00AF655F"/>
    <w:rsid w:val="00AF6664"/>
    <w:rsid w:val="00AF6999"/>
    <w:rsid w:val="00AF69C5"/>
    <w:rsid w:val="00AF7195"/>
    <w:rsid w:val="00AF7640"/>
    <w:rsid w:val="00AF76BD"/>
    <w:rsid w:val="00AF7793"/>
    <w:rsid w:val="00AF7F5F"/>
    <w:rsid w:val="00AF7FFB"/>
    <w:rsid w:val="00B0084D"/>
    <w:rsid w:val="00B01500"/>
    <w:rsid w:val="00B02E80"/>
    <w:rsid w:val="00B033C6"/>
    <w:rsid w:val="00B035B0"/>
    <w:rsid w:val="00B03B9E"/>
    <w:rsid w:val="00B041A2"/>
    <w:rsid w:val="00B0449A"/>
    <w:rsid w:val="00B04D74"/>
    <w:rsid w:val="00B04D86"/>
    <w:rsid w:val="00B051C4"/>
    <w:rsid w:val="00B07B70"/>
    <w:rsid w:val="00B11055"/>
    <w:rsid w:val="00B111A7"/>
    <w:rsid w:val="00B141A9"/>
    <w:rsid w:val="00B151FA"/>
    <w:rsid w:val="00B1544E"/>
    <w:rsid w:val="00B15AE6"/>
    <w:rsid w:val="00B16839"/>
    <w:rsid w:val="00B1712C"/>
    <w:rsid w:val="00B20877"/>
    <w:rsid w:val="00B20ABF"/>
    <w:rsid w:val="00B20B75"/>
    <w:rsid w:val="00B20E0A"/>
    <w:rsid w:val="00B20FFA"/>
    <w:rsid w:val="00B21C06"/>
    <w:rsid w:val="00B21D9E"/>
    <w:rsid w:val="00B21DD6"/>
    <w:rsid w:val="00B23FDD"/>
    <w:rsid w:val="00B247B4"/>
    <w:rsid w:val="00B26633"/>
    <w:rsid w:val="00B2672E"/>
    <w:rsid w:val="00B27F24"/>
    <w:rsid w:val="00B30508"/>
    <w:rsid w:val="00B30518"/>
    <w:rsid w:val="00B31328"/>
    <w:rsid w:val="00B32084"/>
    <w:rsid w:val="00B32E46"/>
    <w:rsid w:val="00B33C11"/>
    <w:rsid w:val="00B33DB3"/>
    <w:rsid w:val="00B3411C"/>
    <w:rsid w:val="00B34561"/>
    <w:rsid w:val="00B34993"/>
    <w:rsid w:val="00B3517D"/>
    <w:rsid w:val="00B36025"/>
    <w:rsid w:val="00B368E8"/>
    <w:rsid w:val="00B36AB3"/>
    <w:rsid w:val="00B42EA4"/>
    <w:rsid w:val="00B43B42"/>
    <w:rsid w:val="00B445A3"/>
    <w:rsid w:val="00B45049"/>
    <w:rsid w:val="00B4584A"/>
    <w:rsid w:val="00B472C5"/>
    <w:rsid w:val="00B47F74"/>
    <w:rsid w:val="00B5100A"/>
    <w:rsid w:val="00B5152F"/>
    <w:rsid w:val="00B517C2"/>
    <w:rsid w:val="00B5187F"/>
    <w:rsid w:val="00B51EC3"/>
    <w:rsid w:val="00B51F8A"/>
    <w:rsid w:val="00B544B1"/>
    <w:rsid w:val="00B55689"/>
    <w:rsid w:val="00B60683"/>
    <w:rsid w:val="00B6124A"/>
    <w:rsid w:val="00B61A45"/>
    <w:rsid w:val="00B621B5"/>
    <w:rsid w:val="00B62552"/>
    <w:rsid w:val="00B63DD3"/>
    <w:rsid w:val="00B63ED6"/>
    <w:rsid w:val="00B63F8F"/>
    <w:rsid w:val="00B65816"/>
    <w:rsid w:val="00B65A8E"/>
    <w:rsid w:val="00B65ABE"/>
    <w:rsid w:val="00B65DF3"/>
    <w:rsid w:val="00B66256"/>
    <w:rsid w:val="00B66621"/>
    <w:rsid w:val="00B668C3"/>
    <w:rsid w:val="00B66EB7"/>
    <w:rsid w:val="00B674A3"/>
    <w:rsid w:val="00B7062A"/>
    <w:rsid w:val="00B70907"/>
    <w:rsid w:val="00B7093F"/>
    <w:rsid w:val="00B713A2"/>
    <w:rsid w:val="00B736B3"/>
    <w:rsid w:val="00B73830"/>
    <w:rsid w:val="00B75634"/>
    <w:rsid w:val="00B75967"/>
    <w:rsid w:val="00B76897"/>
    <w:rsid w:val="00B76A75"/>
    <w:rsid w:val="00B76C65"/>
    <w:rsid w:val="00B76EE8"/>
    <w:rsid w:val="00B7705C"/>
    <w:rsid w:val="00B80056"/>
    <w:rsid w:val="00B809FC"/>
    <w:rsid w:val="00B8148C"/>
    <w:rsid w:val="00B81CC5"/>
    <w:rsid w:val="00B8220C"/>
    <w:rsid w:val="00B830C3"/>
    <w:rsid w:val="00B8321A"/>
    <w:rsid w:val="00B83954"/>
    <w:rsid w:val="00B83C33"/>
    <w:rsid w:val="00B8472E"/>
    <w:rsid w:val="00B8495D"/>
    <w:rsid w:val="00B8546E"/>
    <w:rsid w:val="00B8646E"/>
    <w:rsid w:val="00B868AF"/>
    <w:rsid w:val="00B87522"/>
    <w:rsid w:val="00B879E7"/>
    <w:rsid w:val="00B905A0"/>
    <w:rsid w:val="00B90762"/>
    <w:rsid w:val="00B92901"/>
    <w:rsid w:val="00B93654"/>
    <w:rsid w:val="00B93828"/>
    <w:rsid w:val="00B94CE8"/>
    <w:rsid w:val="00B953E2"/>
    <w:rsid w:val="00B95799"/>
    <w:rsid w:val="00B95AE4"/>
    <w:rsid w:val="00B960B3"/>
    <w:rsid w:val="00B960C2"/>
    <w:rsid w:val="00B96850"/>
    <w:rsid w:val="00B96CE6"/>
    <w:rsid w:val="00BA1219"/>
    <w:rsid w:val="00BA1631"/>
    <w:rsid w:val="00BA17CA"/>
    <w:rsid w:val="00BA2CB9"/>
    <w:rsid w:val="00BA3141"/>
    <w:rsid w:val="00BA3817"/>
    <w:rsid w:val="00BA3DB5"/>
    <w:rsid w:val="00BA4140"/>
    <w:rsid w:val="00BA4436"/>
    <w:rsid w:val="00BA4731"/>
    <w:rsid w:val="00BA4DEA"/>
    <w:rsid w:val="00BA750B"/>
    <w:rsid w:val="00BA7B82"/>
    <w:rsid w:val="00BA7D0C"/>
    <w:rsid w:val="00BB07F0"/>
    <w:rsid w:val="00BB1D2B"/>
    <w:rsid w:val="00BB209E"/>
    <w:rsid w:val="00BB4013"/>
    <w:rsid w:val="00BB4223"/>
    <w:rsid w:val="00BB43E7"/>
    <w:rsid w:val="00BB4F8F"/>
    <w:rsid w:val="00BB5715"/>
    <w:rsid w:val="00BB63E3"/>
    <w:rsid w:val="00BB6A11"/>
    <w:rsid w:val="00BC04DE"/>
    <w:rsid w:val="00BC0757"/>
    <w:rsid w:val="00BC0D96"/>
    <w:rsid w:val="00BC0F5F"/>
    <w:rsid w:val="00BC15E5"/>
    <w:rsid w:val="00BC25AD"/>
    <w:rsid w:val="00BC26D9"/>
    <w:rsid w:val="00BC2ACB"/>
    <w:rsid w:val="00BC35B4"/>
    <w:rsid w:val="00BC3690"/>
    <w:rsid w:val="00BC3E37"/>
    <w:rsid w:val="00BC4225"/>
    <w:rsid w:val="00BC5B3E"/>
    <w:rsid w:val="00BC5C0C"/>
    <w:rsid w:val="00BC69ED"/>
    <w:rsid w:val="00BC7614"/>
    <w:rsid w:val="00BD02F7"/>
    <w:rsid w:val="00BD0418"/>
    <w:rsid w:val="00BD0536"/>
    <w:rsid w:val="00BD07C5"/>
    <w:rsid w:val="00BD0A8E"/>
    <w:rsid w:val="00BD0F01"/>
    <w:rsid w:val="00BD11CA"/>
    <w:rsid w:val="00BD2350"/>
    <w:rsid w:val="00BD3B70"/>
    <w:rsid w:val="00BD3C66"/>
    <w:rsid w:val="00BD4879"/>
    <w:rsid w:val="00BD7111"/>
    <w:rsid w:val="00BD7BAD"/>
    <w:rsid w:val="00BE000D"/>
    <w:rsid w:val="00BE05F9"/>
    <w:rsid w:val="00BE1F96"/>
    <w:rsid w:val="00BE2BE2"/>
    <w:rsid w:val="00BE3DEF"/>
    <w:rsid w:val="00BE4271"/>
    <w:rsid w:val="00BE47CA"/>
    <w:rsid w:val="00BE4E79"/>
    <w:rsid w:val="00BE4F10"/>
    <w:rsid w:val="00BE7C0D"/>
    <w:rsid w:val="00BF0866"/>
    <w:rsid w:val="00BF0906"/>
    <w:rsid w:val="00BF0AF7"/>
    <w:rsid w:val="00BF1BBB"/>
    <w:rsid w:val="00BF3102"/>
    <w:rsid w:val="00BF388C"/>
    <w:rsid w:val="00BF636E"/>
    <w:rsid w:val="00BF68DD"/>
    <w:rsid w:val="00BF712C"/>
    <w:rsid w:val="00BF768D"/>
    <w:rsid w:val="00BF7EEE"/>
    <w:rsid w:val="00C00BD1"/>
    <w:rsid w:val="00C00C52"/>
    <w:rsid w:val="00C01A2B"/>
    <w:rsid w:val="00C02859"/>
    <w:rsid w:val="00C03805"/>
    <w:rsid w:val="00C0383B"/>
    <w:rsid w:val="00C03999"/>
    <w:rsid w:val="00C03B60"/>
    <w:rsid w:val="00C04575"/>
    <w:rsid w:val="00C0491E"/>
    <w:rsid w:val="00C06D0C"/>
    <w:rsid w:val="00C1021C"/>
    <w:rsid w:val="00C11EFC"/>
    <w:rsid w:val="00C12EFF"/>
    <w:rsid w:val="00C13D79"/>
    <w:rsid w:val="00C16BCA"/>
    <w:rsid w:val="00C17067"/>
    <w:rsid w:val="00C17E83"/>
    <w:rsid w:val="00C207D5"/>
    <w:rsid w:val="00C20EBE"/>
    <w:rsid w:val="00C2214B"/>
    <w:rsid w:val="00C228B9"/>
    <w:rsid w:val="00C22E8F"/>
    <w:rsid w:val="00C22F0E"/>
    <w:rsid w:val="00C2305D"/>
    <w:rsid w:val="00C238C9"/>
    <w:rsid w:val="00C23DB5"/>
    <w:rsid w:val="00C24524"/>
    <w:rsid w:val="00C24856"/>
    <w:rsid w:val="00C24B39"/>
    <w:rsid w:val="00C255A9"/>
    <w:rsid w:val="00C25990"/>
    <w:rsid w:val="00C26BE0"/>
    <w:rsid w:val="00C27337"/>
    <w:rsid w:val="00C3010A"/>
    <w:rsid w:val="00C30515"/>
    <w:rsid w:val="00C30701"/>
    <w:rsid w:val="00C309E4"/>
    <w:rsid w:val="00C30DC1"/>
    <w:rsid w:val="00C31AB6"/>
    <w:rsid w:val="00C32C10"/>
    <w:rsid w:val="00C33381"/>
    <w:rsid w:val="00C33890"/>
    <w:rsid w:val="00C33D07"/>
    <w:rsid w:val="00C34709"/>
    <w:rsid w:val="00C35893"/>
    <w:rsid w:val="00C359B7"/>
    <w:rsid w:val="00C35C84"/>
    <w:rsid w:val="00C36335"/>
    <w:rsid w:val="00C366AB"/>
    <w:rsid w:val="00C36CA0"/>
    <w:rsid w:val="00C37526"/>
    <w:rsid w:val="00C406FF"/>
    <w:rsid w:val="00C40719"/>
    <w:rsid w:val="00C437EC"/>
    <w:rsid w:val="00C43F1E"/>
    <w:rsid w:val="00C440F1"/>
    <w:rsid w:val="00C44B9E"/>
    <w:rsid w:val="00C46011"/>
    <w:rsid w:val="00C466EB"/>
    <w:rsid w:val="00C475F4"/>
    <w:rsid w:val="00C47F34"/>
    <w:rsid w:val="00C5066C"/>
    <w:rsid w:val="00C50D3E"/>
    <w:rsid w:val="00C5111D"/>
    <w:rsid w:val="00C51EBD"/>
    <w:rsid w:val="00C5226C"/>
    <w:rsid w:val="00C52F5B"/>
    <w:rsid w:val="00C536E6"/>
    <w:rsid w:val="00C54535"/>
    <w:rsid w:val="00C546EB"/>
    <w:rsid w:val="00C562ED"/>
    <w:rsid w:val="00C56BEA"/>
    <w:rsid w:val="00C575F8"/>
    <w:rsid w:val="00C600F5"/>
    <w:rsid w:val="00C619F1"/>
    <w:rsid w:val="00C626E6"/>
    <w:rsid w:val="00C63D20"/>
    <w:rsid w:val="00C64BF2"/>
    <w:rsid w:val="00C64FAF"/>
    <w:rsid w:val="00C6589C"/>
    <w:rsid w:val="00C67541"/>
    <w:rsid w:val="00C67AD0"/>
    <w:rsid w:val="00C71C3F"/>
    <w:rsid w:val="00C73BB2"/>
    <w:rsid w:val="00C74954"/>
    <w:rsid w:val="00C750F5"/>
    <w:rsid w:val="00C77C64"/>
    <w:rsid w:val="00C80A00"/>
    <w:rsid w:val="00C8156B"/>
    <w:rsid w:val="00C81B86"/>
    <w:rsid w:val="00C822AA"/>
    <w:rsid w:val="00C829F4"/>
    <w:rsid w:val="00C8370A"/>
    <w:rsid w:val="00C83A57"/>
    <w:rsid w:val="00C84758"/>
    <w:rsid w:val="00C8554F"/>
    <w:rsid w:val="00C85893"/>
    <w:rsid w:val="00C8656D"/>
    <w:rsid w:val="00C86876"/>
    <w:rsid w:val="00C9057F"/>
    <w:rsid w:val="00C90C43"/>
    <w:rsid w:val="00C91690"/>
    <w:rsid w:val="00C924CE"/>
    <w:rsid w:val="00C949D2"/>
    <w:rsid w:val="00C94A2B"/>
    <w:rsid w:val="00C95183"/>
    <w:rsid w:val="00C9664D"/>
    <w:rsid w:val="00C967F2"/>
    <w:rsid w:val="00C97844"/>
    <w:rsid w:val="00CA0754"/>
    <w:rsid w:val="00CA0BB9"/>
    <w:rsid w:val="00CA18D7"/>
    <w:rsid w:val="00CA2B3A"/>
    <w:rsid w:val="00CA3BDB"/>
    <w:rsid w:val="00CA3E21"/>
    <w:rsid w:val="00CA51C4"/>
    <w:rsid w:val="00CA681E"/>
    <w:rsid w:val="00CB0CA0"/>
    <w:rsid w:val="00CB2329"/>
    <w:rsid w:val="00CB38C8"/>
    <w:rsid w:val="00CB3FE5"/>
    <w:rsid w:val="00CB4110"/>
    <w:rsid w:val="00CB5BD4"/>
    <w:rsid w:val="00CB5CDD"/>
    <w:rsid w:val="00CB5D63"/>
    <w:rsid w:val="00CB6673"/>
    <w:rsid w:val="00CB7751"/>
    <w:rsid w:val="00CC16D5"/>
    <w:rsid w:val="00CC2D9A"/>
    <w:rsid w:val="00CC3A05"/>
    <w:rsid w:val="00CC422C"/>
    <w:rsid w:val="00CC55CB"/>
    <w:rsid w:val="00CC59B8"/>
    <w:rsid w:val="00CC6CD7"/>
    <w:rsid w:val="00CC7201"/>
    <w:rsid w:val="00CC761D"/>
    <w:rsid w:val="00CD07E3"/>
    <w:rsid w:val="00CD0D18"/>
    <w:rsid w:val="00CD28BC"/>
    <w:rsid w:val="00CD428B"/>
    <w:rsid w:val="00CD5CE0"/>
    <w:rsid w:val="00CD7665"/>
    <w:rsid w:val="00CE02BC"/>
    <w:rsid w:val="00CE2DC9"/>
    <w:rsid w:val="00CE31C0"/>
    <w:rsid w:val="00CE45D6"/>
    <w:rsid w:val="00CE494F"/>
    <w:rsid w:val="00CE55C3"/>
    <w:rsid w:val="00CE5B09"/>
    <w:rsid w:val="00CE6E5F"/>
    <w:rsid w:val="00CE6FFA"/>
    <w:rsid w:val="00CE71BA"/>
    <w:rsid w:val="00CE760B"/>
    <w:rsid w:val="00CF04A5"/>
    <w:rsid w:val="00CF07B2"/>
    <w:rsid w:val="00CF0BDD"/>
    <w:rsid w:val="00CF1336"/>
    <w:rsid w:val="00CF13E0"/>
    <w:rsid w:val="00CF1A9C"/>
    <w:rsid w:val="00CF33E5"/>
    <w:rsid w:val="00CF4B6D"/>
    <w:rsid w:val="00CF4D80"/>
    <w:rsid w:val="00CF50A7"/>
    <w:rsid w:val="00CF582D"/>
    <w:rsid w:val="00CF5D29"/>
    <w:rsid w:val="00CF5DD4"/>
    <w:rsid w:val="00CF5E14"/>
    <w:rsid w:val="00CF6E3C"/>
    <w:rsid w:val="00CF6EF0"/>
    <w:rsid w:val="00D003C5"/>
    <w:rsid w:val="00D0250E"/>
    <w:rsid w:val="00D02576"/>
    <w:rsid w:val="00D02D65"/>
    <w:rsid w:val="00D03CE6"/>
    <w:rsid w:val="00D03EF6"/>
    <w:rsid w:val="00D10CF3"/>
    <w:rsid w:val="00D10CFD"/>
    <w:rsid w:val="00D10FAD"/>
    <w:rsid w:val="00D11265"/>
    <w:rsid w:val="00D132DD"/>
    <w:rsid w:val="00D1358B"/>
    <w:rsid w:val="00D13C41"/>
    <w:rsid w:val="00D14680"/>
    <w:rsid w:val="00D15EFE"/>
    <w:rsid w:val="00D15F89"/>
    <w:rsid w:val="00D1695C"/>
    <w:rsid w:val="00D17EFE"/>
    <w:rsid w:val="00D20AE7"/>
    <w:rsid w:val="00D2288E"/>
    <w:rsid w:val="00D24A43"/>
    <w:rsid w:val="00D24D18"/>
    <w:rsid w:val="00D2586D"/>
    <w:rsid w:val="00D25A11"/>
    <w:rsid w:val="00D26723"/>
    <w:rsid w:val="00D27F66"/>
    <w:rsid w:val="00D27F76"/>
    <w:rsid w:val="00D30229"/>
    <w:rsid w:val="00D31A21"/>
    <w:rsid w:val="00D31F22"/>
    <w:rsid w:val="00D34007"/>
    <w:rsid w:val="00D3540F"/>
    <w:rsid w:val="00D354B7"/>
    <w:rsid w:val="00D366FB"/>
    <w:rsid w:val="00D37D68"/>
    <w:rsid w:val="00D37F63"/>
    <w:rsid w:val="00D41669"/>
    <w:rsid w:val="00D42FAE"/>
    <w:rsid w:val="00D44611"/>
    <w:rsid w:val="00D451BC"/>
    <w:rsid w:val="00D45752"/>
    <w:rsid w:val="00D45B4F"/>
    <w:rsid w:val="00D463C0"/>
    <w:rsid w:val="00D4667E"/>
    <w:rsid w:val="00D46B94"/>
    <w:rsid w:val="00D46EB1"/>
    <w:rsid w:val="00D46F9D"/>
    <w:rsid w:val="00D47599"/>
    <w:rsid w:val="00D47C5C"/>
    <w:rsid w:val="00D50CB0"/>
    <w:rsid w:val="00D50F8C"/>
    <w:rsid w:val="00D51B32"/>
    <w:rsid w:val="00D51F8D"/>
    <w:rsid w:val="00D5254F"/>
    <w:rsid w:val="00D52EF3"/>
    <w:rsid w:val="00D5308C"/>
    <w:rsid w:val="00D53134"/>
    <w:rsid w:val="00D533A2"/>
    <w:rsid w:val="00D5411D"/>
    <w:rsid w:val="00D5475F"/>
    <w:rsid w:val="00D55363"/>
    <w:rsid w:val="00D55D46"/>
    <w:rsid w:val="00D57D64"/>
    <w:rsid w:val="00D6187B"/>
    <w:rsid w:val="00D6210E"/>
    <w:rsid w:val="00D632F5"/>
    <w:rsid w:val="00D63777"/>
    <w:rsid w:val="00D64BF9"/>
    <w:rsid w:val="00D65758"/>
    <w:rsid w:val="00D66E3A"/>
    <w:rsid w:val="00D700ED"/>
    <w:rsid w:val="00D72896"/>
    <w:rsid w:val="00D750DD"/>
    <w:rsid w:val="00D75709"/>
    <w:rsid w:val="00D75CCF"/>
    <w:rsid w:val="00D76507"/>
    <w:rsid w:val="00D7711B"/>
    <w:rsid w:val="00D77F5A"/>
    <w:rsid w:val="00D80968"/>
    <w:rsid w:val="00D810A8"/>
    <w:rsid w:val="00D81135"/>
    <w:rsid w:val="00D833E2"/>
    <w:rsid w:val="00D83C00"/>
    <w:rsid w:val="00D8430C"/>
    <w:rsid w:val="00D84725"/>
    <w:rsid w:val="00D865F6"/>
    <w:rsid w:val="00D86C5C"/>
    <w:rsid w:val="00D86E2F"/>
    <w:rsid w:val="00D871D9"/>
    <w:rsid w:val="00D917BB"/>
    <w:rsid w:val="00D9205D"/>
    <w:rsid w:val="00D92BB1"/>
    <w:rsid w:val="00D93BE8"/>
    <w:rsid w:val="00D93E73"/>
    <w:rsid w:val="00D94448"/>
    <w:rsid w:val="00D948E4"/>
    <w:rsid w:val="00D94A49"/>
    <w:rsid w:val="00D94D12"/>
    <w:rsid w:val="00D95759"/>
    <w:rsid w:val="00D9578C"/>
    <w:rsid w:val="00D95BFF"/>
    <w:rsid w:val="00D95FD1"/>
    <w:rsid w:val="00D9694B"/>
    <w:rsid w:val="00D97841"/>
    <w:rsid w:val="00D97DC6"/>
    <w:rsid w:val="00DA0EFF"/>
    <w:rsid w:val="00DA1091"/>
    <w:rsid w:val="00DA260B"/>
    <w:rsid w:val="00DA47BD"/>
    <w:rsid w:val="00DA4A18"/>
    <w:rsid w:val="00DA4E5A"/>
    <w:rsid w:val="00DA55D2"/>
    <w:rsid w:val="00DA57E7"/>
    <w:rsid w:val="00DA5843"/>
    <w:rsid w:val="00DA6445"/>
    <w:rsid w:val="00DA6B3A"/>
    <w:rsid w:val="00DA6BAE"/>
    <w:rsid w:val="00DA7C9F"/>
    <w:rsid w:val="00DB0D97"/>
    <w:rsid w:val="00DB1557"/>
    <w:rsid w:val="00DB342E"/>
    <w:rsid w:val="00DB4162"/>
    <w:rsid w:val="00DB466A"/>
    <w:rsid w:val="00DB4908"/>
    <w:rsid w:val="00DB4EB2"/>
    <w:rsid w:val="00DB5531"/>
    <w:rsid w:val="00DB68E3"/>
    <w:rsid w:val="00DB6CB7"/>
    <w:rsid w:val="00DC0D2B"/>
    <w:rsid w:val="00DC1604"/>
    <w:rsid w:val="00DC2AFB"/>
    <w:rsid w:val="00DC2BD4"/>
    <w:rsid w:val="00DC3695"/>
    <w:rsid w:val="00DC3A8C"/>
    <w:rsid w:val="00DC4549"/>
    <w:rsid w:val="00DC6750"/>
    <w:rsid w:val="00DC73E6"/>
    <w:rsid w:val="00DC778D"/>
    <w:rsid w:val="00DD0352"/>
    <w:rsid w:val="00DD07F5"/>
    <w:rsid w:val="00DD1417"/>
    <w:rsid w:val="00DD14B2"/>
    <w:rsid w:val="00DD3D46"/>
    <w:rsid w:val="00DD3F2F"/>
    <w:rsid w:val="00DD3F9F"/>
    <w:rsid w:val="00DD4378"/>
    <w:rsid w:val="00DD504A"/>
    <w:rsid w:val="00DD5163"/>
    <w:rsid w:val="00DD700E"/>
    <w:rsid w:val="00DD79FF"/>
    <w:rsid w:val="00DE1030"/>
    <w:rsid w:val="00DE168B"/>
    <w:rsid w:val="00DE34BB"/>
    <w:rsid w:val="00DE3B3A"/>
    <w:rsid w:val="00DE45C6"/>
    <w:rsid w:val="00DE487A"/>
    <w:rsid w:val="00DE4C2B"/>
    <w:rsid w:val="00DE5A98"/>
    <w:rsid w:val="00DE5D15"/>
    <w:rsid w:val="00DE5DF5"/>
    <w:rsid w:val="00DE6078"/>
    <w:rsid w:val="00DE6519"/>
    <w:rsid w:val="00DE65B1"/>
    <w:rsid w:val="00DE692A"/>
    <w:rsid w:val="00DE6CCB"/>
    <w:rsid w:val="00DF153E"/>
    <w:rsid w:val="00DF172A"/>
    <w:rsid w:val="00DF1A2B"/>
    <w:rsid w:val="00DF1C56"/>
    <w:rsid w:val="00DF1E59"/>
    <w:rsid w:val="00DF1E94"/>
    <w:rsid w:val="00DF2477"/>
    <w:rsid w:val="00DF2551"/>
    <w:rsid w:val="00DF36B2"/>
    <w:rsid w:val="00DF3CCC"/>
    <w:rsid w:val="00DF48B8"/>
    <w:rsid w:val="00DF69EB"/>
    <w:rsid w:val="00DF6EE9"/>
    <w:rsid w:val="00DF7457"/>
    <w:rsid w:val="00E009F0"/>
    <w:rsid w:val="00E00B8A"/>
    <w:rsid w:val="00E031D6"/>
    <w:rsid w:val="00E035D5"/>
    <w:rsid w:val="00E0372A"/>
    <w:rsid w:val="00E03A4C"/>
    <w:rsid w:val="00E04505"/>
    <w:rsid w:val="00E063BE"/>
    <w:rsid w:val="00E06E1C"/>
    <w:rsid w:val="00E07751"/>
    <w:rsid w:val="00E07A75"/>
    <w:rsid w:val="00E07BC9"/>
    <w:rsid w:val="00E07FFA"/>
    <w:rsid w:val="00E11B82"/>
    <w:rsid w:val="00E12449"/>
    <w:rsid w:val="00E13102"/>
    <w:rsid w:val="00E13BB9"/>
    <w:rsid w:val="00E15488"/>
    <w:rsid w:val="00E15580"/>
    <w:rsid w:val="00E15C19"/>
    <w:rsid w:val="00E15DCA"/>
    <w:rsid w:val="00E160C9"/>
    <w:rsid w:val="00E20679"/>
    <w:rsid w:val="00E2079D"/>
    <w:rsid w:val="00E2171D"/>
    <w:rsid w:val="00E21BC1"/>
    <w:rsid w:val="00E22142"/>
    <w:rsid w:val="00E22376"/>
    <w:rsid w:val="00E22625"/>
    <w:rsid w:val="00E23364"/>
    <w:rsid w:val="00E244F6"/>
    <w:rsid w:val="00E25F17"/>
    <w:rsid w:val="00E261E7"/>
    <w:rsid w:val="00E26B28"/>
    <w:rsid w:val="00E2702D"/>
    <w:rsid w:val="00E27637"/>
    <w:rsid w:val="00E2763E"/>
    <w:rsid w:val="00E27A15"/>
    <w:rsid w:val="00E30020"/>
    <w:rsid w:val="00E31386"/>
    <w:rsid w:val="00E3149A"/>
    <w:rsid w:val="00E316AD"/>
    <w:rsid w:val="00E32405"/>
    <w:rsid w:val="00E32998"/>
    <w:rsid w:val="00E32E0C"/>
    <w:rsid w:val="00E33F78"/>
    <w:rsid w:val="00E34813"/>
    <w:rsid w:val="00E34EE8"/>
    <w:rsid w:val="00E35C31"/>
    <w:rsid w:val="00E35DDB"/>
    <w:rsid w:val="00E35E83"/>
    <w:rsid w:val="00E3683A"/>
    <w:rsid w:val="00E370A0"/>
    <w:rsid w:val="00E37B2B"/>
    <w:rsid w:val="00E37D7F"/>
    <w:rsid w:val="00E405A2"/>
    <w:rsid w:val="00E40CE5"/>
    <w:rsid w:val="00E40D24"/>
    <w:rsid w:val="00E41C9A"/>
    <w:rsid w:val="00E41D24"/>
    <w:rsid w:val="00E42FF0"/>
    <w:rsid w:val="00E430C7"/>
    <w:rsid w:val="00E44804"/>
    <w:rsid w:val="00E44BE3"/>
    <w:rsid w:val="00E44D25"/>
    <w:rsid w:val="00E45F37"/>
    <w:rsid w:val="00E4610E"/>
    <w:rsid w:val="00E467C0"/>
    <w:rsid w:val="00E4690A"/>
    <w:rsid w:val="00E46A88"/>
    <w:rsid w:val="00E47A34"/>
    <w:rsid w:val="00E47F6A"/>
    <w:rsid w:val="00E5029B"/>
    <w:rsid w:val="00E51105"/>
    <w:rsid w:val="00E51E0F"/>
    <w:rsid w:val="00E51EC9"/>
    <w:rsid w:val="00E547CD"/>
    <w:rsid w:val="00E54CAB"/>
    <w:rsid w:val="00E55555"/>
    <w:rsid w:val="00E57A59"/>
    <w:rsid w:val="00E6143E"/>
    <w:rsid w:val="00E61AFF"/>
    <w:rsid w:val="00E6208D"/>
    <w:rsid w:val="00E624E3"/>
    <w:rsid w:val="00E63103"/>
    <w:rsid w:val="00E63ADC"/>
    <w:rsid w:val="00E643CB"/>
    <w:rsid w:val="00E64493"/>
    <w:rsid w:val="00E648CF"/>
    <w:rsid w:val="00E649AC"/>
    <w:rsid w:val="00E65784"/>
    <w:rsid w:val="00E6694E"/>
    <w:rsid w:val="00E676D2"/>
    <w:rsid w:val="00E67BFB"/>
    <w:rsid w:val="00E70271"/>
    <w:rsid w:val="00E70D97"/>
    <w:rsid w:val="00E70F3B"/>
    <w:rsid w:val="00E71575"/>
    <w:rsid w:val="00E73A1B"/>
    <w:rsid w:val="00E7694E"/>
    <w:rsid w:val="00E7708F"/>
    <w:rsid w:val="00E80567"/>
    <w:rsid w:val="00E807CF"/>
    <w:rsid w:val="00E81502"/>
    <w:rsid w:val="00E81DBD"/>
    <w:rsid w:val="00E81ED7"/>
    <w:rsid w:val="00E8211C"/>
    <w:rsid w:val="00E8295A"/>
    <w:rsid w:val="00E848CD"/>
    <w:rsid w:val="00E860FB"/>
    <w:rsid w:val="00E862EC"/>
    <w:rsid w:val="00E863E3"/>
    <w:rsid w:val="00E86C41"/>
    <w:rsid w:val="00E871C1"/>
    <w:rsid w:val="00E87288"/>
    <w:rsid w:val="00E87708"/>
    <w:rsid w:val="00E87881"/>
    <w:rsid w:val="00E87A41"/>
    <w:rsid w:val="00E87C5B"/>
    <w:rsid w:val="00E87F48"/>
    <w:rsid w:val="00E9087F"/>
    <w:rsid w:val="00E90B6D"/>
    <w:rsid w:val="00E91473"/>
    <w:rsid w:val="00E918D3"/>
    <w:rsid w:val="00E92461"/>
    <w:rsid w:val="00E9266D"/>
    <w:rsid w:val="00E92B35"/>
    <w:rsid w:val="00E92E00"/>
    <w:rsid w:val="00E93012"/>
    <w:rsid w:val="00E966C8"/>
    <w:rsid w:val="00E97A42"/>
    <w:rsid w:val="00E97D01"/>
    <w:rsid w:val="00E97F95"/>
    <w:rsid w:val="00EA02F4"/>
    <w:rsid w:val="00EA0BE9"/>
    <w:rsid w:val="00EA2661"/>
    <w:rsid w:val="00EA2777"/>
    <w:rsid w:val="00EA2A47"/>
    <w:rsid w:val="00EA2FC1"/>
    <w:rsid w:val="00EA3A4B"/>
    <w:rsid w:val="00EA3DFD"/>
    <w:rsid w:val="00EA4833"/>
    <w:rsid w:val="00EA4CE1"/>
    <w:rsid w:val="00EA508E"/>
    <w:rsid w:val="00EA570E"/>
    <w:rsid w:val="00EA5DA3"/>
    <w:rsid w:val="00EA67A4"/>
    <w:rsid w:val="00EB0F12"/>
    <w:rsid w:val="00EB1CB2"/>
    <w:rsid w:val="00EB26D5"/>
    <w:rsid w:val="00EB2F5E"/>
    <w:rsid w:val="00EB310A"/>
    <w:rsid w:val="00EB31AD"/>
    <w:rsid w:val="00EB36CC"/>
    <w:rsid w:val="00EB3EA4"/>
    <w:rsid w:val="00EB4014"/>
    <w:rsid w:val="00EB453F"/>
    <w:rsid w:val="00EB5191"/>
    <w:rsid w:val="00EB5324"/>
    <w:rsid w:val="00EB55F3"/>
    <w:rsid w:val="00EB65FD"/>
    <w:rsid w:val="00EB6690"/>
    <w:rsid w:val="00EB7811"/>
    <w:rsid w:val="00EC0B60"/>
    <w:rsid w:val="00EC0C52"/>
    <w:rsid w:val="00EC17EE"/>
    <w:rsid w:val="00EC1B61"/>
    <w:rsid w:val="00EC2953"/>
    <w:rsid w:val="00EC2CB4"/>
    <w:rsid w:val="00EC3145"/>
    <w:rsid w:val="00EC33E4"/>
    <w:rsid w:val="00EC4334"/>
    <w:rsid w:val="00EC5B63"/>
    <w:rsid w:val="00EC631E"/>
    <w:rsid w:val="00EC681E"/>
    <w:rsid w:val="00EC7145"/>
    <w:rsid w:val="00EC7A4B"/>
    <w:rsid w:val="00ED12BB"/>
    <w:rsid w:val="00ED2DCB"/>
    <w:rsid w:val="00ED2FDA"/>
    <w:rsid w:val="00ED32DC"/>
    <w:rsid w:val="00ED3F3A"/>
    <w:rsid w:val="00ED4F5C"/>
    <w:rsid w:val="00ED5117"/>
    <w:rsid w:val="00ED65E3"/>
    <w:rsid w:val="00ED6A8C"/>
    <w:rsid w:val="00ED6B7B"/>
    <w:rsid w:val="00ED6F0F"/>
    <w:rsid w:val="00ED7DA9"/>
    <w:rsid w:val="00EE20B3"/>
    <w:rsid w:val="00EE309D"/>
    <w:rsid w:val="00EE35A5"/>
    <w:rsid w:val="00EE3F51"/>
    <w:rsid w:val="00EE484F"/>
    <w:rsid w:val="00EE4945"/>
    <w:rsid w:val="00EE55DB"/>
    <w:rsid w:val="00EE5E4D"/>
    <w:rsid w:val="00EE5E6C"/>
    <w:rsid w:val="00EE69C3"/>
    <w:rsid w:val="00EE6A47"/>
    <w:rsid w:val="00EE78C0"/>
    <w:rsid w:val="00EF0684"/>
    <w:rsid w:val="00EF2790"/>
    <w:rsid w:val="00EF3ACA"/>
    <w:rsid w:val="00EF569D"/>
    <w:rsid w:val="00EF5ED3"/>
    <w:rsid w:val="00EF6751"/>
    <w:rsid w:val="00EF6AFF"/>
    <w:rsid w:val="00EF6E89"/>
    <w:rsid w:val="00EF7A13"/>
    <w:rsid w:val="00EF7B94"/>
    <w:rsid w:val="00EF7F6E"/>
    <w:rsid w:val="00F001D5"/>
    <w:rsid w:val="00F01954"/>
    <w:rsid w:val="00F01B90"/>
    <w:rsid w:val="00F01EF4"/>
    <w:rsid w:val="00F02450"/>
    <w:rsid w:val="00F02A1C"/>
    <w:rsid w:val="00F03246"/>
    <w:rsid w:val="00F04CF2"/>
    <w:rsid w:val="00F04F6C"/>
    <w:rsid w:val="00F059DD"/>
    <w:rsid w:val="00F065F1"/>
    <w:rsid w:val="00F07864"/>
    <w:rsid w:val="00F10767"/>
    <w:rsid w:val="00F1145C"/>
    <w:rsid w:val="00F11960"/>
    <w:rsid w:val="00F11C47"/>
    <w:rsid w:val="00F120B7"/>
    <w:rsid w:val="00F1275A"/>
    <w:rsid w:val="00F12D82"/>
    <w:rsid w:val="00F12DA7"/>
    <w:rsid w:val="00F13955"/>
    <w:rsid w:val="00F13A61"/>
    <w:rsid w:val="00F14802"/>
    <w:rsid w:val="00F14942"/>
    <w:rsid w:val="00F14D70"/>
    <w:rsid w:val="00F162C4"/>
    <w:rsid w:val="00F205E3"/>
    <w:rsid w:val="00F21167"/>
    <w:rsid w:val="00F21D4A"/>
    <w:rsid w:val="00F21DAE"/>
    <w:rsid w:val="00F22BF3"/>
    <w:rsid w:val="00F22FB7"/>
    <w:rsid w:val="00F23CD6"/>
    <w:rsid w:val="00F24474"/>
    <w:rsid w:val="00F249D0"/>
    <w:rsid w:val="00F24DE1"/>
    <w:rsid w:val="00F25335"/>
    <w:rsid w:val="00F25FB6"/>
    <w:rsid w:val="00F261F7"/>
    <w:rsid w:val="00F26441"/>
    <w:rsid w:val="00F2769F"/>
    <w:rsid w:val="00F30B47"/>
    <w:rsid w:val="00F311D4"/>
    <w:rsid w:val="00F3142F"/>
    <w:rsid w:val="00F32F4C"/>
    <w:rsid w:val="00F3441E"/>
    <w:rsid w:val="00F34A90"/>
    <w:rsid w:val="00F34E9B"/>
    <w:rsid w:val="00F35ADB"/>
    <w:rsid w:val="00F36255"/>
    <w:rsid w:val="00F37AF9"/>
    <w:rsid w:val="00F402CA"/>
    <w:rsid w:val="00F4066C"/>
    <w:rsid w:val="00F40E4D"/>
    <w:rsid w:val="00F415FE"/>
    <w:rsid w:val="00F435AC"/>
    <w:rsid w:val="00F43FC2"/>
    <w:rsid w:val="00F443DE"/>
    <w:rsid w:val="00F44F28"/>
    <w:rsid w:val="00F45C14"/>
    <w:rsid w:val="00F4777D"/>
    <w:rsid w:val="00F47FD7"/>
    <w:rsid w:val="00F50493"/>
    <w:rsid w:val="00F50BBF"/>
    <w:rsid w:val="00F50EC4"/>
    <w:rsid w:val="00F510A4"/>
    <w:rsid w:val="00F5143E"/>
    <w:rsid w:val="00F51691"/>
    <w:rsid w:val="00F516DB"/>
    <w:rsid w:val="00F51A43"/>
    <w:rsid w:val="00F527F5"/>
    <w:rsid w:val="00F5417F"/>
    <w:rsid w:val="00F54735"/>
    <w:rsid w:val="00F560CD"/>
    <w:rsid w:val="00F567F4"/>
    <w:rsid w:val="00F5785C"/>
    <w:rsid w:val="00F619EB"/>
    <w:rsid w:val="00F621C8"/>
    <w:rsid w:val="00F64726"/>
    <w:rsid w:val="00F64A9B"/>
    <w:rsid w:val="00F65A4A"/>
    <w:rsid w:val="00F65CA0"/>
    <w:rsid w:val="00F65EE6"/>
    <w:rsid w:val="00F67A31"/>
    <w:rsid w:val="00F67F92"/>
    <w:rsid w:val="00F70323"/>
    <w:rsid w:val="00F70F45"/>
    <w:rsid w:val="00F7190B"/>
    <w:rsid w:val="00F71BB4"/>
    <w:rsid w:val="00F71D75"/>
    <w:rsid w:val="00F7288D"/>
    <w:rsid w:val="00F7298B"/>
    <w:rsid w:val="00F72DB6"/>
    <w:rsid w:val="00F7456F"/>
    <w:rsid w:val="00F74CB6"/>
    <w:rsid w:val="00F751F5"/>
    <w:rsid w:val="00F75C79"/>
    <w:rsid w:val="00F76516"/>
    <w:rsid w:val="00F77E96"/>
    <w:rsid w:val="00F80FF6"/>
    <w:rsid w:val="00F82B26"/>
    <w:rsid w:val="00F82F6A"/>
    <w:rsid w:val="00F83B05"/>
    <w:rsid w:val="00F851C6"/>
    <w:rsid w:val="00F85C10"/>
    <w:rsid w:val="00F85EEA"/>
    <w:rsid w:val="00F86F05"/>
    <w:rsid w:val="00F90083"/>
    <w:rsid w:val="00F9062A"/>
    <w:rsid w:val="00F90F65"/>
    <w:rsid w:val="00F91AA6"/>
    <w:rsid w:val="00F93322"/>
    <w:rsid w:val="00F93706"/>
    <w:rsid w:val="00F938F0"/>
    <w:rsid w:val="00F946B1"/>
    <w:rsid w:val="00F947F8"/>
    <w:rsid w:val="00F94AA1"/>
    <w:rsid w:val="00F960CB"/>
    <w:rsid w:val="00F96266"/>
    <w:rsid w:val="00FA0848"/>
    <w:rsid w:val="00FA11A9"/>
    <w:rsid w:val="00FA263A"/>
    <w:rsid w:val="00FA2D50"/>
    <w:rsid w:val="00FA2DA4"/>
    <w:rsid w:val="00FA2F06"/>
    <w:rsid w:val="00FA3174"/>
    <w:rsid w:val="00FA382D"/>
    <w:rsid w:val="00FA445D"/>
    <w:rsid w:val="00FA46F0"/>
    <w:rsid w:val="00FA5CF7"/>
    <w:rsid w:val="00FA5FFC"/>
    <w:rsid w:val="00FA6B2E"/>
    <w:rsid w:val="00FB0F48"/>
    <w:rsid w:val="00FB19CD"/>
    <w:rsid w:val="00FB1EFF"/>
    <w:rsid w:val="00FB43E0"/>
    <w:rsid w:val="00FB4E1B"/>
    <w:rsid w:val="00FB520F"/>
    <w:rsid w:val="00FB578D"/>
    <w:rsid w:val="00FB57CB"/>
    <w:rsid w:val="00FB75FF"/>
    <w:rsid w:val="00FB7638"/>
    <w:rsid w:val="00FB775C"/>
    <w:rsid w:val="00FB7855"/>
    <w:rsid w:val="00FB7EE6"/>
    <w:rsid w:val="00FC000F"/>
    <w:rsid w:val="00FC036D"/>
    <w:rsid w:val="00FC069B"/>
    <w:rsid w:val="00FC0A43"/>
    <w:rsid w:val="00FC0FC6"/>
    <w:rsid w:val="00FC102A"/>
    <w:rsid w:val="00FC1FF9"/>
    <w:rsid w:val="00FC2676"/>
    <w:rsid w:val="00FC2D64"/>
    <w:rsid w:val="00FC33AA"/>
    <w:rsid w:val="00FC361C"/>
    <w:rsid w:val="00FC3CBE"/>
    <w:rsid w:val="00FC3F22"/>
    <w:rsid w:val="00FC4488"/>
    <w:rsid w:val="00FC450E"/>
    <w:rsid w:val="00FC52D5"/>
    <w:rsid w:val="00FC56A8"/>
    <w:rsid w:val="00FC5AE3"/>
    <w:rsid w:val="00FD0A48"/>
    <w:rsid w:val="00FD0DB8"/>
    <w:rsid w:val="00FD0EF0"/>
    <w:rsid w:val="00FD142A"/>
    <w:rsid w:val="00FD37A0"/>
    <w:rsid w:val="00FD3A4E"/>
    <w:rsid w:val="00FD4F0A"/>
    <w:rsid w:val="00FD5691"/>
    <w:rsid w:val="00FD5CA1"/>
    <w:rsid w:val="00FD5E46"/>
    <w:rsid w:val="00FE03F0"/>
    <w:rsid w:val="00FE1250"/>
    <w:rsid w:val="00FE1919"/>
    <w:rsid w:val="00FE1C28"/>
    <w:rsid w:val="00FE28F8"/>
    <w:rsid w:val="00FE37FE"/>
    <w:rsid w:val="00FE52CF"/>
    <w:rsid w:val="00FE54A8"/>
    <w:rsid w:val="00FE68F4"/>
    <w:rsid w:val="00FE70EE"/>
    <w:rsid w:val="00FE720C"/>
    <w:rsid w:val="00FE75C2"/>
    <w:rsid w:val="00FF1734"/>
    <w:rsid w:val="00FF213E"/>
    <w:rsid w:val="00FF2C39"/>
    <w:rsid w:val="00FF379F"/>
    <w:rsid w:val="00FF3E64"/>
    <w:rsid w:val="00FF4C59"/>
    <w:rsid w:val="00FF55C9"/>
    <w:rsid w:val="00FF6172"/>
    <w:rsid w:val="00FF63E2"/>
    <w:rsid w:val="00FF68F4"/>
    <w:rsid w:val="00FF6BB8"/>
    <w:rsid w:val="00FF77EC"/>
    <w:rsid w:val="00FF7D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5F8A"/>
  <w15:chartTrackingRefBased/>
  <w15:docId w15:val="{44A66F6A-1712-46CF-BED5-74537B09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6F"/>
  </w:style>
  <w:style w:type="paragraph" w:styleId="Heading1">
    <w:name w:val="heading 1"/>
    <w:basedOn w:val="Normal"/>
    <w:next w:val="Normal"/>
    <w:link w:val="Heading1Char"/>
    <w:uiPriority w:val="9"/>
    <w:qFormat/>
    <w:rsid w:val="00394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817"/>
    <w:rPr>
      <w:rFonts w:eastAsiaTheme="majorEastAsia" w:cstheme="majorBidi"/>
      <w:color w:val="272727" w:themeColor="text1" w:themeTint="D8"/>
    </w:rPr>
  </w:style>
  <w:style w:type="paragraph" w:styleId="Title">
    <w:name w:val="Title"/>
    <w:basedOn w:val="Normal"/>
    <w:next w:val="Normal"/>
    <w:link w:val="TitleChar"/>
    <w:uiPriority w:val="10"/>
    <w:qFormat/>
    <w:rsid w:val="00394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817"/>
    <w:pPr>
      <w:spacing w:before="160"/>
      <w:jc w:val="center"/>
    </w:pPr>
    <w:rPr>
      <w:i/>
      <w:iCs/>
      <w:color w:val="404040" w:themeColor="text1" w:themeTint="BF"/>
    </w:rPr>
  </w:style>
  <w:style w:type="character" w:customStyle="1" w:styleId="QuoteChar">
    <w:name w:val="Quote Char"/>
    <w:basedOn w:val="DefaultParagraphFont"/>
    <w:link w:val="Quote"/>
    <w:uiPriority w:val="29"/>
    <w:rsid w:val="00394817"/>
    <w:rPr>
      <w:i/>
      <w:iCs/>
      <w:color w:val="404040" w:themeColor="text1" w:themeTint="BF"/>
    </w:rPr>
  </w:style>
  <w:style w:type="paragraph" w:styleId="ListParagraph">
    <w:name w:val="List Paragraph"/>
    <w:aliases w:val="Paragraph,HEAD 3,Cell bullets,Noise heading,RUS List,Number abc,List Paragraph1,123 List Paragraph,main heading,Annexure,LP,List Para,LPARA,List Paragraph (numbered (a)),FooterText,Bullet List,numbered,Paragraphe de liste1,列出段落,列出段落1,lp1"/>
    <w:basedOn w:val="Normal"/>
    <w:link w:val="ListParagraphChar"/>
    <w:uiPriority w:val="34"/>
    <w:qFormat/>
    <w:rsid w:val="00394817"/>
    <w:pPr>
      <w:ind w:left="720"/>
      <w:contextualSpacing/>
    </w:pPr>
  </w:style>
  <w:style w:type="character" w:styleId="IntenseEmphasis">
    <w:name w:val="Intense Emphasis"/>
    <w:basedOn w:val="DefaultParagraphFont"/>
    <w:uiPriority w:val="21"/>
    <w:qFormat/>
    <w:rsid w:val="00394817"/>
    <w:rPr>
      <w:i/>
      <w:iCs/>
      <w:color w:val="0F4761" w:themeColor="accent1" w:themeShade="BF"/>
    </w:rPr>
  </w:style>
  <w:style w:type="paragraph" w:styleId="IntenseQuote">
    <w:name w:val="Intense Quote"/>
    <w:basedOn w:val="Normal"/>
    <w:next w:val="Normal"/>
    <w:link w:val="IntenseQuoteChar"/>
    <w:uiPriority w:val="30"/>
    <w:qFormat/>
    <w:rsid w:val="00394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817"/>
    <w:rPr>
      <w:i/>
      <w:iCs/>
      <w:color w:val="0F4761" w:themeColor="accent1" w:themeShade="BF"/>
    </w:rPr>
  </w:style>
  <w:style w:type="character" w:styleId="IntenseReference">
    <w:name w:val="Intense Reference"/>
    <w:basedOn w:val="DefaultParagraphFont"/>
    <w:uiPriority w:val="32"/>
    <w:qFormat/>
    <w:rsid w:val="00394817"/>
    <w:rPr>
      <w:b/>
      <w:bCs/>
      <w:smallCaps/>
      <w:color w:val="0F4761" w:themeColor="accent1" w:themeShade="BF"/>
      <w:spacing w:val="5"/>
    </w:rPr>
  </w:style>
  <w:style w:type="paragraph" w:styleId="Header">
    <w:name w:val="header"/>
    <w:basedOn w:val="Normal"/>
    <w:link w:val="HeaderChar"/>
    <w:uiPriority w:val="99"/>
    <w:unhideWhenUsed/>
    <w:rsid w:val="00E90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B6D"/>
  </w:style>
  <w:style w:type="paragraph" w:styleId="Footer">
    <w:name w:val="footer"/>
    <w:basedOn w:val="Normal"/>
    <w:link w:val="FooterChar"/>
    <w:uiPriority w:val="99"/>
    <w:unhideWhenUsed/>
    <w:rsid w:val="00E90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B6D"/>
  </w:style>
  <w:style w:type="table" w:styleId="TableGrid">
    <w:name w:val="Table Grid"/>
    <w:basedOn w:val="TableNormal"/>
    <w:uiPriority w:val="39"/>
    <w:rsid w:val="00E9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8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noteText">
    <w:name w:val="footnote text"/>
    <w:basedOn w:val="Normal"/>
    <w:link w:val="FootnoteTextChar"/>
    <w:uiPriority w:val="99"/>
    <w:semiHidden/>
    <w:unhideWhenUsed/>
    <w:rsid w:val="0072446D"/>
    <w:pPr>
      <w:spacing w:after="0" w:line="240" w:lineRule="auto"/>
    </w:pPr>
    <w:rPr>
      <w:rFonts w:ascii="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72446D"/>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72446D"/>
    <w:rPr>
      <w:vertAlign w:val="superscript"/>
    </w:rPr>
  </w:style>
  <w:style w:type="paragraph" w:styleId="Revision">
    <w:name w:val="Revision"/>
    <w:hidden/>
    <w:uiPriority w:val="99"/>
    <w:semiHidden/>
    <w:rsid w:val="00E8295A"/>
    <w:pPr>
      <w:spacing w:after="0" w:line="240" w:lineRule="auto"/>
    </w:pPr>
  </w:style>
  <w:style w:type="character" w:customStyle="1" w:styleId="ListParagraphChar">
    <w:name w:val="List Paragraph Char"/>
    <w:aliases w:val="Paragraph Char,HEAD 3 Char,Cell bullets Char,Noise heading Char,RUS List Char,Number abc Char,List Paragraph1 Char,123 List Paragraph Char,main heading Char,Annexure Char,LP Char,List Para Char,LPARA Char,FooterText Char,列出段落 Char"/>
    <w:basedOn w:val="DefaultParagraphFont"/>
    <w:link w:val="ListParagraph"/>
    <w:uiPriority w:val="34"/>
    <w:qFormat/>
    <w:locked/>
    <w:rsid w:val="00B9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119">
      <w:marLeft w:val="0"/>
      <w:marRight w:val="0"/>
      <w:marTop w:val="0"/>
      <w:marBottom w:val="0"/>
      <w:divBdr>
        <w:top w:val="none" w:sz="0" w:space="0" w:color="auto"/>
        <w:left w:val="none" w:sz="0" w:space="0" w:color="auto"/>
        <w:bottom w:val="none" w:sz="0" w:space="0" w:color="auto"/>
        <w:right w:val="none" w:sz="0" w:space="0" w:color="auto"/>
      </w:divBdr>
      <w:divsChild>
        <w:div w:id="211289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23282</Words>
  <Characters>132714</Characters>
  <Application>Microsoft Office Word</Application>
  <DocSecurity>4</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dc:creator>
  <cp:keywords/>
  <dc:description/>
  <cp:lastModifiedBy>Akhila Makam</cp:lastModifiedBy>
  <cp:revision>195</cp:revision>
  <dcterms:created xsi:type="dcterms:W3CDTF">2026-02-22T01:05:00Z</dcterms:created>
  <dcterms:modified xsi:type="dcterms:W3CDTF">2026-02-21T17:13:00Z</dcterms:modified>
</cp:coreProperties>
</file>