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0F44" w14:textId="6B1A494A" w:rsidR="00C24833" w:rsidRPr="002A27E6" w:rsidRDefault="00224B3E" w:rsidP="003E6E86">
      <w:pPr>
        <w:spacing w:before="120" w:after="120" w:line="276" w:lineRule="auto"/>
        <w:jc w:val="center"/>
        <w:rPr>
          <w:rFonts w:ascii="Calibri" w:hAnsi="Calibri" w:cs="Calibri"/>
          <w:b/>
        </w:rPr>
      </w:pPr>
      <w:r w:rsidRPr="002A27E6">
        <w:rPr>
          <w:rFonts w:ascii="Calibri" w:hAnsi="Calibri" w:cs="Calibri"/>
          <w:b/>
        </w:rPr>
        <w:t>POST</w:t>
      </w:r>
      <w:r w:rsidR="00C24833" w:rsidRPr="002A27E6">
        <w:rPr>
          <w:rFonts w:ascii="Calibri" w:hAnsi="Calibri" w:cs="Calibri"/>
          <w:b/>
        </w:rPr>
        <w:t>–BUDGET MEMORANDUM 202</w:t>
      </w:r>
      <w:r w:rsidR="00437224" w:rsidRPr="002A27E6">
        <w:rPr>
          <w:rFonts w:ascii="Calibri" w:hAnsi="Calibri" w:cs="Calibri"/>
          <w:b/>
        </w:rPr>
        <w:t>6-</w:t>
      </w:r>
      <w:r w:rsidR="00C24833" w:rsidRPr="002A27E6">
        <w:rPr>
          <w:rFonts w:ascii="Calibri" w:hAnsi="Calibri" w:cs="Calibri"/>
          <w:b/>
        </w:rPr>
        <w:t>2</w:t>
      </w:r>
      <w:r w:rsidR="00437224" w:rsidRPr="002A27E6">
        <w:rPr>
          <w:rFonts w:ascii="Calibri" w:hAnsi="Calibri" w:cs="Calibri"/>
          <w:b/>
        </w:rPr>
        <w:t>7</w:t>
      </w:r>
      <w:r w:rsidR="00C24833" w:rsidRPr="002A27E6">
        <w:rPr>
          <w:rFonts w:ascii="Calibri" w:hAnsi="Calibri" w:cs="Calibri"/>
          <w:b/>
        </w:rPr>
        <w:t xml:space="preserve">: DIRECT TAXES </w:t>
      </w:r>
    </w:p>
    <w:p w14:paraId="37525DCD" w14:textId="7CACCA03" w:rsidR="005D5860" w:rsidRPr="002A27E6" w:rsidRDefault="005D5860" w:rsidP="003E6E86">
      <w:pPr>
        <w:spacing w:before="120" w:after="120" w:line="276" w:lineRule="auto"/>
        <w:jc w:val="center"/>
        <w:rPr>
          <w:rFonts w:ascii="Calibri" w:hAnsi="Calibri" w:cs="Calibri"/>
          <w:b/>
        </w:rPr>
      </w:pPr>
      <w:r w:rsidRPr="002A27E6">
        <w:rPr>
          <w:rFonts w:ascii="Calibri" w:hAnsi="Calibri" w:cs="Calibri"/>
          <w:b/>
        </w:rPr>
        <w:t>INDEX</w:t>
      </w:r>
    </w:p>
    <w:tbl>
      <w:tblPr>
        <w:tblStyle w:val="TableGrid"/>
        <w:tblW w:w="13640" w:type="dxa"/>
        <w:tblInd w:w="103" w:type="dxa"/>
        <w:tblLook w:val="04A0" w:firstRow="1" w:lastRow="0" w:firstColumn="1" w:lastColumn="0" w:noHBand="0" w:noVBand="1"/>
      </w:tblPr>
      <w:tblGrid>
        <w:gridCol w:w="1026"/>
        <w:gridCol w:w="10773"/>
        <w:gridCol w:w="1841"/>
      </w:tblGrid>
      <w:tr w:rsidR="00340571" w:rsidRPr="002A27E6" w14:paraId="04321B72" w14:textId="77777777" w:rsidTr="009265A9">
        <w:trPr>
          <w:tblHeader/>
        </w:trPr>
        <w:tc>
          <w:tcPr>
            <w:tcW w:w="1026" w:type="dxa"/>
            <w:shd w:val="clear" w:color="auto" w:fill="A6A6A6" w:themeFill="background1" w:themeFillShade="A6"/>
          </w:tcPr>
          <w:p w14:paraId="0032DA9B" w14:textId="03CEFC12" w:rsidR="00340571" w:rsidRPr="002A27E6" w:rsidRDefault="00C24833" w:rsidP="009265A9">
            <w:pPr>
              <w:spacing w:before="120" w:after="240"/>
              <w:jc w:val="center"/>
              <w:rPr>
                <w:rFonts w:ascii="Calibri" w:hAnsi="Calibri" w:cs="Calibri"/>
                <w:b/>
              </w:rPr>
            </w:pPr>
            <w:r w:rsidRPr="002A27E6">
              <w:rPr>
                <w:rFonts w:ascii="Calibri" w:hAnsi="Calibri" w:cs="Calibri"/>
                <w:b/>
              </w:rPr>
              <w:br w:type="page"/>
            </w:r>
            <w:bookmarkStart w:id="0" w:name="_Hlk221295971"/>
            <w:r w:rsidR="00340571" w:rsidRPr="002A27E6">
              <w:rPr>
                <w:rFonts w:ascii="Calibri" w:hAnsi="Calibri" w:cs="Calibri"/>
                <w:b/>
              </w:rPr>
              <w:t>Sr. No.</w:t>
            </w:r>
          </w:p>
        </w:tc>
        <w:tc>
          <w:tcPr>
            <w:tcW w:w="10773" w:type="dxa"/>
            <w:shd w:val="clear" w:color="auto" w:fill="A6A6A6" w:themeFill="background1" w:themeFillShade="A6"/>
          </w:tcPr>
          <w:p w14:paraId="39F92A80" w14:textId="77777777" w:rsidR="00340571" w:rsidRPr="002A27E6" w:rsidRDefault="00340571" w:rsidP="009265A9">
            <w:pPr>
              <w:spacing w:before="120" w:after="240"/>
              <w:jc w:val="center"/>
              <w:rPr>
                <w:rFonts w:ascii="Calibri" w:hAnsi="Calibri" w:cs="Calibri"/>
                <w:b/>
              </w:rPr>
            </w:pPr>
            <w:r w:rsidRPr="002A27E6">
              <w:rPr>
                <w:rFonts w:ascii="Calibri" w:hAnsi="Calibri" w:cs="Calibri"/>
                <w:b/>
              </w:rPr>
              <w:t>Subject</w:t>
            </w:r>
          </w:p>
        </w:tc>
        <w:tc>
          <w:tcPr>
            <w:tcW w:w="1841" w:type="dxa"/>
            <w:shd w:val="clear" w:color="auto" w:fill="A6A6A6" w:themeFill="background1" w:themeFillShade="A6"/>
          </w:tcPr>
          <w:p w14:paraId="26E04133" w14:textId="77777777" w:rsidR="00340571" w:rsidRPr="002A27E6" w:rsidRDefault="00340571" w:rsidP="009265A9">
            <w:pPr>
              <w:spacing w:before="120" w:after="240"/>
              <w:jc w:val="center"/>
              <w:rPr>
                <w:rFonts w:ascii="Calibri" w:hAnsi="Calibri" w:cs="Calibri"/>
                <w:b/>
              </w:rPr>
            </w:pPr>
            <w:r w:rsidRPr="002A27E6">
              <w:rPr>
                <w:rFonts w:ascii="Calibri" w:hAnsi="Calibri" w:cs="Calibri"/>
                <w:b/>
              </w:rPr>
              <w:t>Page No.</w:t>
            </w:r>
          </w:p>
        </w:tc>
      </w:tr>
      <w:tr w:rsidR="00340571" w:rsidRPr="002A27E6" w14:paraId="27A04FD0" w14:textId="77777777" w:rsidTr="009265A9">
        <w:tc>
          <w:tcPr>
            <w:tcW w:w="1026" w:type="dxa"/>
          </w:tcPr>
          <w:p w14:paraId="115396B2"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4EC8D992" w14:textId="119AFBDD" w:rsidR="00340571" w:rsidRPr="002A27E6" w:rsidRDefault="00340571" w:rsidP="009265A9">
            <w:pPr>
              <w:spacing w:before="120" w:after="240"/>
              <w:rPr>
                <w:rFonts w:ascii="Calibri" w:hAnsi="Calibri" w:cs="Calibri"/>
                <w:bCs/>
              </w:rPr>
            </w:pPr>
            <w:r w:rsidRPr="002A27E6">
              <w:rPr>
                <w:rFonts w:ascii="Calibri" w:hAnsi="Calibri" w:cs="Calibri"/>
                <w:bCs/>
              </w:rPr>
              <w:t>Retrospective amendments on controversial assessment invalidation related issues</w:t>
            </w:r>
          </w:p>
        </w:tc>
        <w:tc>
          <w:tcPr>
            <w:tcW w:w="1841" w:type="dxa"/>
          </w:tcPr>
          <w:p w14:paraId="0A4F84A4" w14:textId="5642F7FB" w:rsidR="00340571" w:rsidRPr="002A27E6" w:rsidRDefault="00693F63" w:rsidP="009265A9">
            <w:pPr>
              <w:spacing w:before="120" w:after="240"/>
              <w:jc w:val="center"/>
              <w:rPr>
                <w:rFonts w:ascii="Calibri" w:hAnsi="Calibri" w:cs="Calibri"/>
                <w:bCs/>
              </w:rPr>
            </w:pPr>
            <w:r w:rsidRPr="002A27E6">
              <w:rPr>
                <w:rFonts w:ascii="Calibri" w:hAnsi="Calibri" w:cs="Calibri"/>
                <w:bCs/>
              </w:rPr>
              <w:t>4</w:t>
            </w:r>
          </w:p>
        </w:tc>
      </w:tr>
      <w:tr w:rsidR="00340571" w:rsidRPr="002A27E6" w14:paraId="56B03057" w14:textId="77777777" w:rsidTr="009265A9">
        <w:tc>
          <w:tcPr>
            <w:tcW w:w="1026" w:type="dxa"/>
          </w:tcPr>
          <w:p w14:paraId="4C2295EF"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65DED494" w14:textId="4CB8D4A8" w:rsidR="00340571" w:rsidRPr="002A27E6" w:rsidRDefault="00340571" w:rsidP="009265A9">
            <w:pPr>
              <w:spacing w:before="120" w:after="240"/>
              <w:rPr>
                <w:rFonts w:ascii="Calibri" w:hAnsi="Calibri" w:cs="Calibri"/>
                <w:bCs/>
              </w:rPr>
            </w:pPr>
            <w:r w:rsidRPr="002A27E6">
              <w:rPr>
                <w:rFonts w:ascii="Calibri" w:hAnsi="Calibri" w:cs="Calibri"/>
                <w:bCs/>
              </w:rPr>
              <w:t>Curative amendments to be given retrospective effect</w:t>
            </w:r>
          </w:p>
        </w:tc>
        <w:tc>
          <w:tcPr>
            <w:tcW w:w="1841" w:type="dxa"/>
          </w:tcPr>
          <w:p w14:paraId="308E1B0B" w14:textId="2B30D4D9" w:rsidR="00340571" w:rsidRPr="002A27E6" w:rsidRDefault="00D812BA" w:rsidP="009265A9">
            <w:pPr>
              <w:spacing w:before="120" w:after="240"/>
              <w:jc w:val="center"/>
              <w:rPr>
                <w:rFonts w:ascii="Calibri" w:hAnsi="Calibri" w:cs="Calibri"/>
                <w:bCs/>
              </w:rPr>
            </w:pPr>
            <w:r w:rsidRPr="002A27E6">
              <w:rPr>
                <w:rFonts w:ascii="Calibri" w:hAnsi="Calibri" w:cs="Calibri"/>
                <w:bCs/>
              </w:rPr>
              <w:t>6</w:t>
            </w:r>
          </w:p>
        </w:tc>
      </w:tr>
      <w:tr w:rsidR="00340571" w:rsidRPr="002A27E6" w14:paraId="22065E3B" w14:textId="77777777" w:rsidTr="009265A9">
        <w:tc>
          <w:tcPr>
            <w:tcW w:w="1026" w:type="dxa"/>
          </w:tcPr>
          <w:p w14:paraId="403B4E0D"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3E2E1766" w14:textId="7990A0AD" w:rsidR="00340571" w:rsidRPr="002A27E6" w:rsidRDefault="00340571" w:rsidP="009265A9">
            <w:pPr>
              <w:spacing w:before="120" w:after="240"/>
              <w:rPr>
                <w:rFonts w:ascii="Calibri" w:hAnsi="Calibri" w:cs="Calibri"/>
                <w:bCs/>
              </w:rPr>
            </w:pPr>
            <w:r w:rsidRPr="002A27E6">
              <w:rPr>
                <w:rFonts w:ascii="Calibri" w:hAnsi="Calibri" w:cs="Calibri"/>
                <w:bCs/>
              </w:rPr>
              <w:t>Missing references to effective dates</w:t>
            </w:r>
          </w:p>
        </w:tc>
        <w:tc>
          <w:tcPr>
            <w:tcW w:w="1841" w:type="dxa"/>
          </w:tcPr>
          <w:p w14:paraId="09447342" w14:textId="55BB7153" w:rsidR="00340571" w:rsidRPr="002A27E6" w:rsidRDefault="00D812BA" w:rsidP="009265A9">
            <w:pPr>
              <w:spacing w:before="120" w:after="240"/>
              <w:jc w:val="center"/>
              <w:rPr>
                <w:rFonts w:ascii="Calibri" w:hAnsi="Calibri" w:cs="Calibri"/>
                <w:bCs/>
              </w:rPr>
            </w:pPr>
            <w:r w:rsidRPr="002A27E6">
              <w:rPr>
                <w:rFonts w:ascii="Calibri" w:hAnsi="Calibri" w:cs="Calibri"/>
                <w:bCs/>
              </w:rPr>
              <w:t>7</w:t>
            </w:r>
          </w:p>
        </w:tc>
      </w:tr>
      <w:tr w:rsidR="00340571" w:rsidRPr="002A27E6" w14:paraId="4C25914B" w14:textId="77777777" w:rsidTr="009265A9">
        <w:tc>
          <w:tcPr>
            <w:tcW w:w="1026" w:type="dxa"/>
          </w:tcPr>
          <w:p w14:paraId="6959BA33"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32491C48" w14:textId="5762053A" w:rsidR="00340571" w:rsidRPr="002A27E6" w:rsidRDefault="00340571" w:rsidP="009265A9">
            <w:pPr>
              <w:spacing w:before="120" w:after="240"/>
              <w:rPr>
                <w:rFonts w:ascii="Calibri" w:hAnsi="Calibri" w:cs="Calibri"/>
                <w:bCs/>
              </w:rPr>
            </w:pPr>
            <w:r w:rsidRPr="002A27E6">
              <w:rPr>
                <w:rFonts w:ascii="Calibri" w:hAnsi="Calibri" w:cs="Calibri"/>
                <w:bCs/>
              </w:rPr>
              <w:t>Surcharge for additional tax on buyback of shares for promoters</w:t>
            </w:r>
          </w:p>
        </w:tc>
        <w:tc>
          <w:tcPr>
            <w:tcW w:w="1841" w:type="dxa"/>
          </w:tcPr>
          <w:p w14:paraId="39CEC342" w14:textId="351C0818" w:rsidR="00340571" w:rsidRPr="002A27E6" w:rsidRDefault="00D812BA" w:rsidP="009265A9">
            <w:pPr>
              <w:spacing w:before="120" w:after="240"/>
              <w:jc w:val="center"/>
              <w:rPr>
                <w:rFonts w:ascii="Calibri" w:hAnsi="Calibri" w:cs="Calibri"/>
                <w:bCs/>
              </w:rPr>
            </w:pPr>
            <w:r w:rsidRPr="002A27E6">
              <w:rPr>
                <w:rFonts w:ascii="Calibri" w:hAnsi="Calibri" w:cs="Calibri"/>
                <w:bCs/>
              </w:rPr>
              <w:t>8</w:t>
            </w:r>
          </w:p>
        </w:tc>
      </w:tr>
      <w:tr w:rsidR="00340571" w:rsidRPr="002A27E6" w14:paraId="4CFB59FC" w14:textId="77777777" w:rsidTr="009265A9">
        <w:tc>
          <w:tcPr>
            <w:tcW w:w="1026" w:type="dxa"/>
          </w:tcPr>
          <w:p w14:paraId="5843CDAD"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3C36411C" w14:textId="5CAF4294" w:rsidR="00340571" w:rsidRPr="002A27E6" w:rsidRDefault="00340571" w:rsidP="009265A9">
            <w:pPr>
              <w:spacing w:before="120" w:after="240"/>
              <w:rPr>
                <w:rFonts w:ascii="Calibri" w:hAnsi="Calibri" w:cs="Calibri"/>
                <w:bCs/>
              </w:rPr>
            </w:pPr>
            <w:r w:rsidRPr="002A27E6">
              <w:rPr>
                <w:rFonts w:ascii="Calibri" w:hAnsi="Calibri" w:cs="Calibri"/>
                <w:bCs/>
              </w:rPr>
              <w:t>Interest deduction prohibition against dividend income</w:t>
            </w:r>
          </w:p>
        </w:tc>
        <w:tc>
          <w:tcPr>
            <w:tcW w:w="1841" w:type="dxa"/>
          </w:tcPr>
          <w:p w14:paraId="086CB228" w14:textId="3C8AA1CA" w:rsidR="00340571" w:rsidRPr="002A27E6" w:rsidRDefault="00D812BA" w:rsidP="009265A9">
            <w:pPr>
              <w:spacing w:before="120" w:after="240"/>
              <w:jc w:val="center"/>
              <w:rPr>
                <w:rFonts w:ascii="Calibri" w:hAnsi="Calibri" w:cs="Calibri"/>
                <w:bCs/>
              </w:rPr>
            </w:pPr>
            <w:r w:rsidRPr="002A27E6">
              <w:rPr>
                <w:rFonts w:ascii="Calibri" w:hAnsi="Calibri" w:cs="Calibri"/>
                <w:bCs/>
              </w:rPr>
              <w:t>9</w:t>
            </w:r>
          </w:p>
        </w:tc>
      </w:tr>
      <w:tr w:rsidR="00340571" w:rsidRPr="002A27E6" w14:paraId="19D8835F" w14:textId="77777777" w:rsidTr="009265A9">
        <w:tc>
          <w:tcPr>
            <w:tcW w:w="1026" w:type="dxa"/>
          </w:tcPr>
          <w:p w14:paraId="61B7EDE3"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682E1965" w14:textId="1219BF07" w:rsidR="00340571" w:rsidRPr="002A27E6" w:rsidRDefault="00340571" w:rsidP="009265A9">
            <w:pPr>
              <w:spacing w:before="120" w:after="240"/>
              <w:rPr>
                <w:rFonts w:ascii="Calibri" w:hAnsi="Calibri" w:cs="Calibri"/>
                <w:bCs/>
              </w:rPr>
            </w:pPr>
            <w:r w:rsidRPr="002A27E6">
              <w:rPr>
                <w:rFonts w:ascii="Calibri" w:hAnsi="Calibri" w:cs="Calibri"/>
                <w:bCs/>
              </w:rPr>
              <w:t>Allowing deduction for non-life insurance business on compliance of conditions in subsequent years</w:t>
            </w:r>
          </w:p>
        </w:tc>
        <w:tc>
          <w:tcPr>
            <w:tcW w:w="1841" w:type="dxa"/>
          </w:tcPr>
          <w:p w14:paraId="4B91222A" w14:textId="4C839D52" w:rsidR="00340571" w:rsidRPr="002A27E6" w:rsidRDefault="00D812BA" w:rsidP="009265A9">
            <w:pPr>
              <w:spacing w:before="120" w:after="240"/>
              <w:jc w:val="center"/>
              <w:rPr>
                <w:rFonts w:ascii="Calibri" w:hAnsi="Calibri" w:cs="Calibri"/>
                <w:bCs/>
              </w:rPr>
            </w:pPr>
            <w:r w:rsidRPr="002A27E6">
              <w:rPr>
                <w:rFonts w:ascii="Calibri" w:hAnsi="Calibri" w:cs="Calibri"/>
                <w:bCs/>
              </w:rPr>
              <w:t>10</w:t>
            </w:r>
          </w:p>
        </w:tc>
      </w:tr>
      <w:tr w:rsidR="00340571" w:rsidRPr="002A27E6" w14:paraId="16A71525" w14:textId="77777777" w:rsidTr="009265A9">
        <w:tc>
          <w:tcPr>
            <w:tcW w:w="1026" w:type="dxa"/>
          </w:tcPr>
          <w:p w14:paraId="22348C62"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54FA6045" w14:textId="31257B3E" w:rsidR="00340571" w:rsidRPr="002A27E6" w:rsidRDefault="00340571" w:rsidP="009265A9">
            <w:pPr>
              <w:spacing w:before="120" w:after="240"/>
              <w:rPr>
                <w:rFonts w:ascii="Calibri" w:hAnsi="Calibri" w:cs="Calibri"/>
                <w:bCs/>
              </w:rPr>
            </w:pPr>
            <w:r w:rsidRPr="002A27E6">
              <w:rPr>
                <w:rFonts w:ascii="Calibri" w:hAnsi="Calibri" w:cs="Calibri"/>
                <w:bCs/>
              </w:rPr>
              <w:t>MAT credit for companies which transitioned to new regime in past</w:t>
            </w:r>
          </w:p>
        </w:tc>
        <w:tc>
          <w:tcPr>
            <w:tcW w:w="1841" w:type="dxa"/>
          </w:tcPr>
          <w:p w14:paraId="244C1AA6" w14:textId="75BC957E" w:rsidR="00340571" w:rsidRPr="002A27E6" w:rsidRDefault="005A1B1A" w:rsidP="009265A9">
            <w:pPr>
              <w:spacing w:before="120" w:after="240"/>
              <w:jc w:val="center"/>
              <w:rPr>
                <w:rFonts w:ascii="Calibri" w:hAnsi="Calibri" w:cs="Calibri"/>
                <w:bCs/>
              </w:rPr>
            </w:pPr>
            <w:r w:rsidRPr="002A27E6">
              <w:rPr>
                <w:rFonts w:ascii="Calibri" w:hAnsi="Calibri" w:cs="Calibri"/>
                <w:bCs/>
              </w:rPr>
              <w:t>10</w:t>
            </w:r>
          </w:p>
        </w:tc>
      </w:tr>
      <w:tr w:rsidR="00340571" w:rsidRPr="002A27E6" w14:paraId="7DCFF5B2" w14:textId="77777777" w:rsidTr="009265A9">
        <w:tc>
          <w:tcPr>
            <w:tcW w:w="1026" w:type="dxa"/>
          </w:tcPr>
          <w:p w14:paraId="22E2E0D2"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74D78A7D" w14:textId="403970CC" w:rsidR="00340571" w:rsidRPr="002A27E6" w:rsidRDefault="00340571" w:rsidP="009265A9">
            <w:pPr>
              <w:spacing w:before="120" w:after="240"/>
              <w:rPr>
                <w:rFonts w:ascii="Calibri" w:hAnsi="Calibri" w:cs="Calibri"/>
                <w:bCs/>
              </w:rPr>
            </w:pPr>
            <w:r w:rsidRPr="002A27E6">
              <w:rPr>
                <w:rFonts w:ascii="Calibri" w:hAnsi="Calibri" w:cs="Calibri"/>
                <w:bCs/>
              </w:rPr>
              <w:t xml:space="preserve">Adverse MAT impact for SPVs of REITs/ </w:t>
            </w:r>
            <w:proofErr w:type="spellStart"/>
            <w:r w:rsidRPr="002A27E6">
              <w:rPr>
                <w:rFonts w:ascii="Calibri" w:hAnsi="Calibri" w:cs="Calibri"/>
                <w:bCs/>
              </w:rPr>
              <w:t>InvITs</w:t>
            </w:r>
            <w:proofErr w:type="spellEnd"/>
          </w:p>
        </w:tc>
        <w:tc>
          <w:tcPr>
            <w:tcW w:w="1841" w:type="dxa"/>
          </w:tcPr>
          <w:p w14:paraId="0BE8D214" w14:textId="3510D510" w:rsidR="00340571" w:rsidRPr="002A27E6" w:rsidRDefault="005A1B1A" w:rsidP="009265A9">
            <w:pPr>
              <w:spacing w:before="120" w:after="240"/>
              <w:jc w:val="center"/>
              <w:rPr>
                <w:rFonts w:ascii="Calibri" w:hAnsi="Calibri" w:cs="Calibri"/>
                <w:bCs/>
              </w:rPr>
            </w:pPr>
            <w:r w:rsidRPr="002A27E6">
              <w:rPr>
                <w:rFonts w:ascii="Calibri" w:hAnsi="Calibri" w:cs="Calibri"/>
                <w:bCs/>
              </w:rPr>
              <w:t>11</w:t>
            </w:r>
          </w:p>
        </w:tc>
      </w:tr>
      <w:tr w:rsidR="00340571" w:rsidRPr="002A27E6" w14:paraId="5D830347" w14:textId="77777777" w:rsidTr="009265A9">
        <w:tc>
          <w:tcPr>
            <w:tcW w:w="1026" w:type="dxa"/>
          </w:tcPr>
          <w:p w14:paraId="2E11A2DA"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75A16254" w14:textId="5280A561" w:rsidR="00340571" w:rsidRPr="002A27E6" w:rsidRDefault="00340571" w:rsidP="009265A9">
            <w:pPr>
              <w:spacing w:before="120" w:after="240"/>
              <w:rPr>
                <w:rFonts w:ascii="Calibri" w:hAnsi="Calibri" w:cs="Calibri"/>
                <w:bCs/>
              </w:rPr>
            </w:pPr>
            <w:r w:rsidRPr="002A27E6">
              <w:rPr>
                <w:rFonts w:ascii="Calibri" w:hAnsi="Calibri" w:cs="Calibri"/>
                <w:bCs/>
              </w:rPr>
              <w:t>MAT exemption to all non-residents under presumptive taxation</w:t>
            </w:r>
          </w:p>
        </w:tc>
        <w:tc>
          <w:tcPr>
            <w:tcW w:w="1841" w:type="dxa"/>
          </w:tcPr>
          <w:p w14:paraId="4B462840" w14:textId="1ACAF0DE" w:rsidR="00340571" w:rsidRPr="002A27E6" w:rsidRDefault="00D812BA" w:rsidP="009265A9">
            <w:pPr>
              <w:spacing w:before="120" w:after="240"/>
              <w:jc w:val="center"/>
              <w:rPr>
                <w:rFonts w:ascii="Calibri" w:hAnsi="Calibri" w:cs="Calibri"/>
                <w:bCs/>
              </w:rPr>
            </w:pPr>
            <w:r w:rsidRPr="002A27E6">
              <w:rPr>
                <w:rFonts w:ascii="Calibri" w:hAnsi="Calibri" w:cs="Calibri"/>
                <w:bCs/>
              </w:rPr>
              <w:t>13</w:t>
            </w:r>
          </w:p>
        </w:tc>
      </w:tr>
      <w:tr w:rsidR="00340571" w:rsidRPr="002A27E6" w14:paraId="064C55AA" w14:textId="77777777" w:rsidTr="009265A9">
        <w:tc>
          <w:tcPr>
            <w:tcW w:w="1026" w:type="dxa"/>
          </w:tcPr>
          <w:p w14:paraId="0621A771"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54215C10" w14:textId="609E53E7" w:rsidR="00340571" w:rsidRPr="002A27E6" w:rsidRDefault="00340571" w:rsidP="009265A9">
            <w:pPr>
              <w:widowControl/>
              <w:autoSpaceDE/>
              <w:autoSpaceDN/>
              <w:spacing w:before="120" w:after="240"/>
              <w:jc w:val="both"/>
              <w:rPr>
                <w:rFonts w:ascii="Calibri" w:hAnsi="Calibri" w:cs="Calibri"/>
                <w:bCs/>
              </w:rPr>
            </w:pPr>
            <w:r w:rsidRPr="002A27E6">
              <w:rPr>
                <w:rFonts w:ascii="Calibri" w:hAnsi="Calibri" w:cs="Calibri"/>
                <w:bCs/>
              </w:rPr>
              <w:t>Retrospective impact for secondary purchasers of Sovereign Gold Bond Schemes</w:t>
            </w:r>
          </w:p>
        </w:tc>
        <w:tc>
          <w:tcPr>
            <w:tcW w:w="1841" w:type="dxa"/>
          </w:tcPr>
          <w:p w14:paraId="1ED5ACA1" w14:textId="14B20D06" w:rsidR="00340571" w:rsidRPr="002A27E6" w:rsidRDefault="00D812BA" w:rsidP="009265A9">
            <w:pPr>
              <w:spacing w:before="120" w:after="240"/>
              <w:jc w:val="center"/>
              <w:rPr>
                <w:rFonts w:ascii="Calibri" w:hAnsi="Calibri" w:cs="Calibri"/>
                <w:bCs/>
              </w:rPr>
            </w:pPr>
            <w:r w:rsidRPr="002A27E6">
              <w:rPr>
                <w:rFonts w:ascii="Calibri" w:hAnsi="Calibri" w:cs="Calibri"/>
                <w:bCs/>
              </w:rPr>
              <w:t>14</w:t>
            </w:r>
          </w:p>
        </w:tc>
      </w:tr>
      <w:tr w:rsidR="00340571" w:rsidRPr="002A27E6" w14:paraId="12EDE866" w14:textId="77777777" w:rsidTr="009265A9">
        <w:tc>
          <w:tcPr>
            <w:tcW w:w="1026" w:type="dxa"/>
          </w:tcPr>
          <w:p w14:paraId="397EFE93"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57F9207F" w14:textId="3466019D" w:rsidR="00340571" w:rsidRPr="002A27E6" w:rsidRDefault="00340571" w:rsidP="009265A9">
            <w:pPr>
              <w:spacing w:before="120" w:after="240"/>
              <w:rPr>
                <w:rFonts w:ascii="Calibri" w:hAnsi="Calibri" w:cs="Calibri"/>
                <w:bCs/>
              </w:rPr>
            </w:pPr>
            <w:r w:rsidRPr="002A27E6">
              <w:rPr>
                <w:rFonts w:ascii="Calibri" w:hAnsi="Calibri" w:cs="Calibri"/>
                <w:bCs/>
              </w:rPr>
              <w:t>Exemption to foreign company for procuring data centre services from Indian data centre</w:t>
            </w:r>
          </w:p>
        </w:tc>
        <w:tc>
          <w:tcPr>
            <w:tcW w:w="1841" w:type="dxa"/>
          </w:tcPr>
          <w:p w14:paraId="0B6092D7" w14:textId="40A93F65" w:rsidR="00340571" w:rsidRPr="002A27E6" w:rsidRDefault="00D812BA" w:rsidP="009265A9">
            <w:pPr>
              <w:spacing w:before="120" w:after="240"/>
              <w:jc w:val="center"/>
              <w:rPr>
                <w:rFonts w:ascii="Calibri" w:hAnsi="Calibri" w:cs="Calibri"/>
                <w:bCs/>
              </w:rPr>
            </w:pPr>
            <w:r w:rsidRPr="002A27E6">
              <w:rPr>
                <w:rFonts w:ascii="Calibri" w:hAnsi="Calibri" w:cs="Calibri"/>
                <w:bCs/>
              </w:rPr>
              <w:t>15</w:t>
            </w:r>
          </w:p>
        </w:tc>
      </w:tr>
      <w:tr w:rsidR="00340571" w:rsidRPr="002A27E6" w14:paraId="38F4AF66" w14:textId="77777777" w:rsidTr="009265A9">
        <w:tc>
          <w:tcPr>
            <w:tcW w:w="1026" w:type="dxa"/>
          </w:tcPr>
          <w:p w14:paraId="4BF93D90"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33BB931B" w14:textId="0EE392C6" w:rsidR="00340571" w:rsidRPr="002A27E6" w:rsidRDefault="00340571" w:rsidP="009265A9">
            <w:pPr>
              <w:spacing w:before="120" w:after="240"/>
              <w:rPr>
                <w:rFonts w:ascii="Calibri" w:hAnsi="Calibri" w:cs="Calibri"/>
                <w:bCs/>
                <w:color w:val="000000" w:themeColor="text1"/>
                <w:lang w:val="en-IN"/>
              </w:rPr>
            </w:pPr>
            <w:r w:rsidRPr="002A27E6">
              <w:rPr>
                <w:rFonts w:ascii="Calibri" w:hAnsi="Calibri" w:cs="Calibri"/>
                <w:bCs/>
                <w:color w:val="000000" w:themeColor="text1"/>
                <w:lang w:val="en-IN"/>
              </w:rPr>
              <w:t>Exemption to foreign company on income arising from providing capital goods, equipment tooling to an electronic goods manufacturer located in custom bonded area</w:t>
            </w:r>
          </w:p>
        </w:tc>
        <w:tc>
          <w:tcPr>
            <w:tcW w:w="1841" w:type="dxa"/>
          </w:tcPr>
          <w:p w14:paraId="3E074BD3" w14:textId="667168A8" w:rsidR="00340571" w:rsidRPr="002A27E6" w:rsidRDefault="00D812BA" w:rsidP="009265A9">
            <w:pPr>
              <w:spacing w:before="120" w:after="240"/>
              <w:jc w:val="center"/>
              <w:rPr>
                <w:rFonts w:ascii="Calibri" w:hAnsi="Calibri" w:cs="Calibri"/>
                <w:bCs/>
              </w:rPr>
            </w:pPr>
            <w:r w:rsidRPr="002A27E6">
              <w:rPr>
                <w:rFonts w:ascii="Calibri" w:hAnsi="Calibri" w:cs="Calibri"/>
                <w:bCs/>
              </w:rPr>
              <w:t>17</w:t>
            </w:r>
          </w:p>
        </w:tc>
      </w:tr>
      <w:tr w:rsidR="00340571" w:rsidRPr="002A27E6" w14:paraId="48D6F2B7" w14:textId="77777777" w:rsidTr="009265A9">
        <w:tc>
          <w:tcPr>
            <w:tcW w:w="1026" w:type="dxa"/>
          </w:tcPr>
          <w:p w14:paraId="1DF9BC6A"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10BDF89D" w14:textId="685FA66E" w:rsidR="00340571" w:rsidRPr="002A27E6" w:rsidRDefault="00340571" w:rsidP="009265A9">
            <w:pPr>
              <w:spacing w:before="120" w:after="240"/>
              <w:rPr>
                <w:rFonts w:ascii="Calibri" w:hAnsi="Calibri" w:cs="Calibri"/>
                <w:bCs/>
              </w:rPr>
            </w:pPr>
            <w:r w:rsidRPr="002A27E6">
              <w:rPr>
                <w:rFonts w:ascii="Calibri" w:hAnsi="Calibri" w:cs="Calibri"/>
                <w:bCs/>
              </w:rPr>
              <w:t>Support amendment required for corresponding relief in hands of AE to file modified return pursuant to APA</w:t>
            </w:r>
          </w:p>
        </w:tc>
        <w:tc>
          <w:tcPr>
            <w:tcW w:w="1841" w:type="dxa"/>
          </w:tcPr>
          <w:p w14:paraId="62F76B29" w14:textId="7DEE95EC" w:rsidR="00340571" w:rsidRPr="002A27E6" w:rsidRDefault="005A1B1A" w:rsidP="009265A9">
            <w:pPr>
              <w:spacing w:before="120" w:after="240"/>
              <w:jc w:val="center"/>
              <w:rPr>
                <w:rFonts w:ascii="Calibri" w:hAnsi="Calibri" w:cs="Calibri"/>
                <w:bCs/>
              </w:rPr>
            </w:pPr>
            <w:r w:rsidRPr="002A27E6">
              <w:rPr>
                <w:rFonts w:ascii="Calibri" w:hAnsi="Calibri" w:cs="Calibri"/>
                <w:bCs/>
              </w:rPr>
              <w:t>20</w:t>
            </w:r>
          </w:p>
        </w:tc>
      </w:tr>
      <w:tr w:rsidR="00340571" w:rsidRPr="002A27E6" w14:paraId="00646860" w14:textId="77777777" w:rsidTr="009265A9">
        <w:tc>
          <w:tcPr>
            <w:tcW w:w="1026" w:type="dxa"/>
          </w:tcPr>
          <w:p w14:paraId="792A22C1"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608442DE" w14:textId="3C6EA63F" w:rsidR="00340571" w:rsidRPr="002A27E6" w:rsidRDefault="00340571" w:rsidP="009265A9">
            <w:pPr>
              <w:spacing w:before="120" w:after="240"/>
              <w:rPr>
                <w:rFonts w:ascii="Calibri" w:hAnsi="Calibri" w:cs="Calibri"/>
                <w:bCs/>
              </w:rPr>
            </w:pPr>
            <w:r w:rsidRPr="002A27E6">
              <w:rPr>
                <w:rFonts w:ascii="Calibri" w:hAnsi="Calibri" w:cs="Calibri"/>
                <w:bCs/>
              </w:rPr>
              <w:t>TDS on NRI rent payment</w:t>
            </w:r>
          </w:p>
        </w:tc>
        <w:tc>
          <w:tcPr>
            <w:tcW w:w="1841" w:type="dxa"/>
          </w:tcPr>
          <w:p w14:paraId="4D06291F" w14:textId="2898F1CC" w:rsidR="00340571" w:rsidRPr="002A27E6" w:rsidRDefault="00D812BA" w:rsidP="009265A9">
            <w:pPr>
              <w:spacing w:before="120" w:after="240"/>
              <w:jc w:val="center"/>
              <w:rPr>
                <w:rFonts w:ascii="Calibri" w:hAnsi="Calibri" w:cs="Calibri"/>
                <w:bCs/>
              </w:rPr>
            </w:pPr>
            <w:r w:rsidRPr="002A27E6">
              <w:rPr>
                <w:rFonts w:ascii="Calibri" w:hAnsi="Calibri" w:cs="Calibri"/>
                <w:bCs/>
              </w:rPr>
              <w:t>22</w:t>
            </w:r>
          </w:p>
        </w:tc>
      </w:tr>
      <w:tr w:rsidR="00340571" w:rsidRPr="002A27E6" w14:paraId="52C85920" w14:textId="77777777" w:rsidTr="009265A9">
        <w:tc>
          <w:tcPr>
            <w:tcW w:w="1026" w:type="dxa"/>
          </w:tcPr>
          <w:p w14:paraId="2704E3BF"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01A1EB10" w14:textId="3CA0C0C8" w:rsidR="00340571" w:rsidRPr="002A27E6" w:rsidRDefault="00340571" w:rsidP="009265A9">
            <w:pPr>
              <w:widowControl/>
              <w:autoSpaceDE/>
              <w:autoSpaceDN/>
              <w:spacing w:before="120" w:after="240"/>
              <w:jc w:val="both"/>
              <w:rPr>
                <w:rFonts w:ascii="Calibri" w:hAnsi="Calibri" w:cs="Calibri"/>
                <w:bCs/>
              </w:rPr>
            </w:pPr>
            <w:r w:rsidRPr="002A27E6">
              <w:rPr>
                <w:rFonts w:ascii="Calibri" w:hAnsi="Calibri" w:cs="Calibri"/>
                <w:bCs/>
              </w:rPr>
              <w:t>Form 15G/H</w:t>
            </w:r>
          </w:p>
        </w:tc>
        <w:tc>
          <w:tcPr>
            <w:tcW w:w="1841" w:type="dxa"/>
          </w:tcPr>
          <w:p w14:paraId="3BC36A0D" w14:textId="43AE4C48" w:rsidR="00340571" w:rsidRPr="002A27E6" w:rsidRDefault="00D812BA" w:rsidP="009265A9">
            <w:pPr>
              <w:spacing w:before="120" w:after="240"/>
              <w:jc w:val="center"/>
              <w:rPr>
                <w:rFonts w:ascii="Calibri" w:hAnsi="Calibri" w:cs="Calibri"/>
                <w:bCs/>
              </w:rPr>
            </w:pPr>
            <w:r w:rsidRPr="002A27E6">
              <w:rPr>
                <w:rFonts w:ascii="Calibri" w:hAnsi="Calibri" w:cs="Calibri"/>
                <w:bCs/>
              </w:rPr>
              <w:t>22</w:t>
            </w:r>
          </w:p>
        </w:tc>
      </w:tr>
      <w:tr w:rsidR="00340571" w:rsidRPr="002A27E6" w14:paraId="06ADD030" w14:textId="77777777" w:rsidTr="009265A9">
        <w:tc>
          <w:tcPr>
            <w:tcW w:w="1026" w:type="dxa"/>
          </w:tcPr>
          <w:p w14:paraId="6B101536"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630AAABB" w14:textId="5A2A8254" w:rsidR="00340571" w:rsidRPr="002A27E6" w:rsidRDefault="00340571" w:rsidP="009265A9">
            <w:pPr>
              <w:spacing w:before="120" w:after="240"/>
              <w:rPr>
                <w:rFonts w:ascii="Calibri" w:hAnsi="Calibri" w:cs="Calibri"/>
                <w:bCs/>
              </w:rPr>
            </w:pPr>
            <w:r w:rsidRPr="002A27E6">
              <w:rPr>
                <w:rFonts w:ascii="Calibri" w:hAnsi="Calibri" w:cs="Calibri"/>
                <w:bCs/>
              </w:rPr>
              <w:t>TDS rate on professional vs. technical services</w:t>
            </w:r>
          </w:p>
        </w:tc>
        <w:tc>
          <w:tcPr>
            <w:tcW w:w="1841" w:type="dxa"/>
          </w:tcPr>
          <w:p w14:paraId="2B44BA5A" w14:textId="1B7EA8C9" w:rsidR="00340571" w:rsidRPr="002A27E6" w:rsidRDefault="00D812BA" w:rsidP="009265A9">
            <w:pPr>
              <w:spacing w:before="120" w:after="240"/>
              <w:jc w:val="center"/>
              <w:rPr>
                <w:rFonts w:ascii="Calibri" w:hAnsi="Calibri" w:cs="Calibri"/>
                <w:bCs/>
              </w:rPr>
            </w:pPr>
            <w:r w:rsidRPr="002A27E6">
              <w:rPr>
                <w:rFonts w:ascii="Calibri" w:hAnsi="Calibri" w:cs="Calibri"/>
                <w:bCs/>
              </w:rPr>
              <w:t>23</w:t>
            </w:r>
          </w:p>
        </w:tc>
      </w:tr>
      <w:tr w:rsidR="00340571" w:rsidRPr="002A27E6" w14:paraId="504CDA9F" w14:textId="77777777" w:rsidTr="009265A9">
        <w:tc>
          <w:tcPr>
            <w:tcW w:w="1026" w:type="dxa"/>
          </w:tcPr>
          <w:p w14:paraId="55186B79"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24DFD6FA" w14:textId="674C1FF8" w:rsidR="00340571" w:rsidRPr="002A27E6" w:rsidRDefault="00340571" w:rsidP="009265A9">
            <w:pPr>
              <w:spacing w:before="120" w:after="240"/>
              <w:rPr>
                <w:rFonts w:ascii="Calibri" w:hAnsi="Calibri" w:cs="Calibri"/>
                <w:bCs/>
              </w:rPr>
            </w:pPr>
            <w:r w:rsidRPr="002A27E6">
              <w:rPr>
                <w:rFonts w:ascii="Calibri" w:hAnsi="Calibri" w:cs="Calibri"/>
                <w:bCs/>
              </w:rPr>
              <w:t>Mandatory fees in lieu of penalty for tax audit default may be reduced</w:t>
            </w:r>
          </w:p>
        </w:tc>
        <w:tc>
          <w:tcPr>
            <w:tcW w:w="1841" w:type="dxa"/>
          </w:tcPr>
          <w:p w14:paraId="3A46FC61" w14:textId="2A6525B1" w:rsidR="00340571" w:rsidRPr="002A27E6" w:rsidRDefault="00D812BA" w:rsidP="009265A9">
            <w:pPr>
              <w:spacing w:before="120" w:after="240"/>
              <w:jc w:val="center"/>
              <w:rPr>
                <w:rFonts w:ascii="Calibri" w:hAnsi="Calibri" w:cs="Calibri"/>
                <w:bCs/>
              </w:rPr>
            </w:pPr>
            <w:r w:rsidRPr="002A27E6">
              <w:rPr>
                <w:rFonts w:ascii="Calibri" w:hAnsi="Calibri" w:cs="Calibri"/>
                <w:bCs/>
              </w:rPr>
              <w:t>23</w:t>
            </w:r>
          </w:p>
        </w:tc>
      </w:tr>
      <w:tr w:rsidR="00340571" w:rsidRPr="002A27E6" w14:paraId="5E4EDE4A" w14:textId="77777777" w:rsidTr="009265A9">
        <w:tc>
          <w:tcPr>
            <w:tcW w:w="1026" w:type="dxa"/>
          </w:tcPr>
          <w:p w14:paraId="2F6BE73F"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59931B6D" w14:textId="57EDCB10" w:rsidR="00340571" w:rsidRPr="002A27E6" w:rsidRDefault="00340571" w:rsidP="009265A9">
            <w:pPr>
              <w:spacing w:before="120" w:after="240"/>
              <w:rPr>
                <w:rFonts w:ascii="Calibri" w:hAnsi="Calibri" w:cs="Calibri"/>
                <w:bCs/>
              </w:rPr>
            </w:pPr>
            <w:r w:rsidRPr="002A27E6">
              <w:rPr>
                <w:rFonts w:ascii="Calibri" w:hAnsi="Calibri" w:cs="Calibri"/>
                <w:bCs/>
              </w:rPr>
              <w:t>Combined order for assessment and penalty</w:t>
            </w:r>
          </w:p>
        </w:tc>
        <w:tc>
          <w:tcPr>
            <w:tcW w:w="1841" w:type="dxa"/>
          </w:tcPr>
          <w:p w14:paraId="7B8FFFA2" w14:textId="207A118E" w:rsidR="00340571" w:rsidRPr="002A27E6" w:rsidRDefault="00D812BA" w:rsidP="009265A9">
            <w:pPr>
              <w:spacing w:before="120" w:after="240"/>
              <w:jc w:val="center"/>
              <w:rPr>
                <w:rFonts w:ascii="Calibri" w:hAnsi="Calibri" w:cs="Calibri"/>
                <w:bCs/>
              </w:rPr>
            </w:pPr>
            <w:r w:rsidRPr="002A27E6">
              <w:rPr>
                <w:rFonts w:ascii="Calibri" w:hAnsi="Calibri" w:cs="Calibri"/>
                <w:bCs/>
              </w:rPr>
              <w:t>24</w:t>
            </w:r>
          </w:p>
        </w:tc>
      </w:tr>
      <w:tr w:rsidR="00340571" w:rsidRPr="002A27E6" w14:paraId="6DA19199" w14:textId="77777777" w:rsidTr="009265A9">
        <w:tc>
          <w:tcPr>
            <w:tcW w:w="1026" w:type="dxa"/>
          </w:tcPr>
          <w:p w14:paraId="12B2A137"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69DF76C5" w14:textId="435A7EC9" w:rsidR="00340571" w:rsidRPr="002A27E6" w:rsidRDefault="00340571" w:rsidP="009265A9">
            <w:pPr>
              <w:spacing w:before="120" w:after="240"/>
              <w:rPr>
                <w:rFonts w:ascii="Calibri" w:hAnsi="Calibri" w:cs="Calibri"/>
                <w:bCs/>
              </w:rPr>
            </w:pPr>
            <w:r w:rsidRPr="002A27E6">
              <w:rPr>
                <w:rFonts w:ascii="Calibri" w:hAnsi="Calibri" w:cs="Calibri"/>
                <w:bCs/>
              </w:rPr>
              <w:t>Anomaly in language of amendment of s.440 of ITA 2025 (s.270AA of ITA 1961) on immunity from penalty and prosecution to be addressed</w:t>
            </w:r>
          </w:p>
        </w:tc>
        <w:tc>
          <w:tcPr>
            <w:tcW w:w="1841" w:type="dxa"/>
          </w:tcPr>
          <w:p w14:paraId="3CDC61D2" w14:textId="5F5EB580" w:rsidR="00340571" w:rsidRPr="002A27E6" w:rsidRDefault="00D812BA" w:rsidP="009265A9">
            <w:pPr>
              <w:spacing w:before="120" w:after="240"/>
              <w:jc w:val="center"/>
              <w:rPr>
                <w:rFonts w:ascii="Calibri" w:hAnsi="Calibri" w:cs="Calibri"/>
                <w:bCs/>
              </w:rPr>
            </w:pPr>
            <w:r w:rsidRPr="002A27E6">
              <w:rPr>
                <w:rFonts w:ascii="Calibri" w:hAnsi="Calibri" w:cs="Calibri"/>
                <w:bCs/>
              </w:rPr>
              <w:t>26</w:t>
            </w:r>
          </w:p>
        </w:tc>
      </w:tr>
      <w:tr w:rsidR="00340571" w:rsidRPr="002A27E6" w14:paraId="77729CB4" w14:textId="77777777" w:rsidTr="009265A9">
        <w:tc>
          <w:tcPr>
            <w:tcW w:w="1026" w:type="dxa"/>
          </w:tcPr>
          <w:p w14:paraId="6A5B9264"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560BF140" w14:textId="0C651E57" w:rsidR="00340571" w:rsidRPr="002A27E6" w:rsidRDefault="00340571" w:rsidP="009265A9">
            <w:pPr>
              <w:spacing w:before="120" w:after="240"/>
              <w:rPr>
                <w:rFonts w:ascii="Calibri" w:hAnsi="Calibri" w:cs="Calibri"/>
                <w:bCs/>
              </w:rPr>
            </w:pPr>
            <w:r w:rsidRPr="002A27E6">
              <w:rPr>
                <w:rFonts w:ascii="Calibri" w:hAnsi="Calibri" w:cs="Calibri"/>
                <w:bCs/>
              </w:rPr>
              <w:t>Bar from seeking immunity if any prosecution proceedings are initiated be removed</w:t>
            </w:r>
          </w:p>
        </w:tc>
        <w:tc>
          <w:tcPr>
            <w:tcW w:w="1841" w:type="dxa"/>
          </w:tcPr>
          <w:p w14:paraId="233305CF" w14:textId="022E3474" w:rsidR="00340571" w:rsidRPr="002A27E6" w:rsidRDefault="00D812BA" w:rsidP="009265A9">
            <w:pPr>
              <w:spacing w:before="120" w:after="240"/>
              <w:jc w:val="center"/>
              <w:rPr>
                <w:rFonts w:ascii="Calibri" w:hAnsi="Calibri" w:cs="Calibri"/>
                <w:bCs/>
              </w:rPr>
            </w:pPr>
            <w:r w:rsidRPr="002A27E6">
              <w:rPr>
                <w:rFonts w:ascii="Calibri" w:hAnsi="Calibri" w:cs="Calibri"/>
                <w:bCs/>
              </w:rPr>
              <w:t>27</w:t>
            </w:r>
          </w:p>
        </w:tc>
      </w:tr>
      <w:tr w:rsidR="00340571" w:rsidRPr="002A27E6" w14:paraId="11F116AB" w14:textId="77777777" w:rsidTr="009265A9">
        <w:tc>
          <w:tcPr>
            <w:tcW w:w="1026" w:type="dxa"/>
          </w:tcPr>
          <w:p w14:paraId="02F2A2AD"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31576EEF" w14:textId="0B5B35C7" w:rsidR="00340571" w:rsidRPr="002A27E6" w:rsidRDefault="00340571" w:rsidP="009265A9">
            <w:pPr>
              <w:spacing w:before="120" w:after="240"/>
              <w:rPr>
                <w:rFonts w:ascii="Calibri" w:hAnsi="Calibri" w:cs="Calibri"/>
                <w:bCs/>
              </w:rPr>
            </w:pPr>
            <w:r w:rsidRPr="002A27E6">
              <w:rPr>
                <w:rFonts w:ascii="Calibri" w:hAnsi="Calibri" w:cs="Calibri"/>
                <w:bCs/>
              </w:rPr>
              <w:t>Relaxation of prosecution provisions</w:t>
            </w:r>
          </w:p>
        </w:tc>
        <w:tc>
          <w:tcPr>
            <w:tcW w:w="1841" w:type="dxa"/>
          </w:tcPr>
          <w:p w14:paraId="0247A77D" w14:textId="2091DE37" w:rsidR="00340571" w:rsidRPr="002A27E6" w:rsidRDefault="00D812BA" w:rsidP="009265A9">
            <w:pPr>
              <w:spacing w:before="120" w:after="240"/>
              <w:jc w:val="center"/>
              <w:rPr>
                <w:rFonts w:ascii="Calibri" w:hAnsi="Calibri" w:cs="Calibri"/>
                <w:bCs/>
              </w:rPr>
            </w:pPr>
            <w:r w:rsidRPr="002A27E6">
              <w:rPr>
                <w:rFonts w:ascii="Calibri" w:hAnsi="Calibri" w:cs="Calibri"/>
                <w:bCs/>
              </w:rPr>
              <w:t>28</w:t>
            </w:r>
          </w:p>
        </w:tc>
      </w:tr>
      <w:tr w:rsidR="00340571" w:rsidRPr="002A27E6" w14:paraId="5EE19596" w14:textId="77777777" w:rsidTr="009265A9">
        <w:tc>
          <w:tcPr>
            <w:tcW w:w="1026" w:type="dxa"/>
          </w:tcPr>
          <w:p w14:paraId="68FF50B3" w14:textId="77777777" w:rsidR="00340571" w:rsidRPr="002A27E6" w:rsidRDefault="00340571" w:rsidP="009265A9">
            <w:pPr>
              <w:pStyle w:val="ListParagraph"/>
              <w:numPr>
                <w:ilvl w:val="0"/>
                <w:numId w:val="2"/>
              </w:numPr>
              <w:spacing w:before="120" w:after="240"/>
              <w:ind w:left="351" w:right="34"/>
              <w:contextualSpacing w:val="0"/>
              <w:rPr>
                <w:rFonts w:ascii="Calibri" w:hAnsi="Calibri" w:cs="Calibri"/>
                <w:bCs/>
              </w:rPr>
            </w:pPr>
          </w:p>
        </w:tc>
        <w:tc>
          <w:tcPr>
            <w:tcW w:w="10773" w:type="dxa"/>
          </w:tcPr>
          <w:p w14:paraId="25C7C4D0" w14:textId="17C2F687" w:rsidR="00340571" w:rsidRPr="002A27E6" w:rsidRDefault="00340571" w:rsidP="009265A9">
            <w:pPr>
              <w:spacing w:before="120" w:after="240"/>
              <w:rPr>
                <w:rFonts w:ascii="Calibri" w:hAnsi="Calibri" w:cs="Calibri"/>
                <w:bCs/>
              </w:rPr>
            </w:pPr>
            <w:r w:rsidRPr="002A27E6">
              <w:rPr>
                <w:rFonts w:ascii="Calibri" w:hAnsi="Calibri" w:cs="Calibri"/>
                <w:bCs/>
              </w:rPr>
              <w:t>Anomalies in language of tax payable on undisclosed income/foreign assets for availing protection under The Foreign Assets of Small Taxpayers Disclosure Scheme 2026</w:t>
            </w:r>
          </w:p>
        </w:tc>
        <w:tc>
          <w:tcPr>
            <w:tcW w:w="1841" w:type="dxa"/>
          </w:tcPr>
          <w:p w14:paraId="7BD6149C" w14:textId="1B33D2E0" w:rsidR="00340571" w:rsidRPr="002A27E6" w:rsidRDefault="005A1B1A" w:rsidP="009265A9">
            <w:pPr>
              <w:spacing w:before="120" w:after="240"/>
              <w:jc w:val="center"/>
              <w:rPr>
                <w:rFonts w:ascii="Calibri" w:hAnsi="Calibri" w:cs="Calibri"/>
                <w:bCs/>
              </w:rPr>
            </w:pPr>
            <w:r w:rsidRPr="002A27E6">
              <w:rPr>
                <w:rFonts w:ascii="Calibri" w:hAnsi="Calibri" w:cs="Calibri"/>
                <w:bCs/>
              </w:rPr>
              <w:t>28</w:t>
            </w:r>
          </w:p>
        </w:tc>
      </w:tr>
      <w:bookmarkEnd w:id="0"/>
    </w:tbl>
    <w:p w14:paraId="615FC26F" w14:textId="5500E08C" w:rsidR="00C24833" w:rsidRPr="002A27E6" w:rsidRDefault="00C24833" w:rsidP="003E6E86">
      <w:pPr>
        <w:widowControl/>
        <w:autoSpaceDE/>
        <w:autoSpaceDN/>
        <w:spacing w:before="120" w:after="120" w:line="276" w:lineRule="auto"/>
        <w:rPr>
          <w:rFonts w:ascii="Calibri" w:hAnsi="Calibri" w:cs="Calibri"/>
          <w:b/>
        </w:rPr>
      </w:pPr>
    </w:p>
    <w:p w14:paraId="244F988F" w14:textId="77777777" w:rsidR="005A1B1A" w:rsidRPr="002A27E6" w:rsidRDefault="005A1B1A">
      <w:pPr>
        <w:widowControl/>
        <w:autoSpaceDE/>
        <w:autoSpaceDN/>
        <w:spacing w:after="200" w:line="360" w:lineRule="auto"/>
        <w:rPr>
          <w:rFonts w:ascii="Calibri" w:hAnsi="Calibri" w:cs="Calibri"/>
          <w:b/>
        </w:rPr>
      </w:pPr>
      <w:r w:rsidRPr="002A27E6">
        <w:rPr>
          <w:rFonts w:ascii="Calibri" w:hAnsi="Calibri" w:cs="Calibri"/>
          <w:b/>
        </w:rPr>
        <w:br w:type="page"/>
      </w:r>
    </w:p>
    <w:p w14:paraId="2C770C12" w14:textId="2E2D8B8E" w:rsidR="00C24833" w:rsidRPr="002A27E6" w:rsidRDefault="00224B3E" w:rsidP="003E6E86">
      <w:pPr>
        <w:spacing w:before="120" w:after="120" w:line="276" w:lineRule="auto"/>
        <w:jc w:val="center"/>
        <w:rPr>
          <w:rFonts w:ascii="Calibri" w:hAnsi="Calibri" w:cs="Calibri"/>
          <w:b/>
        </w:rPr>
      </w:pPr>
      <w:r w:rsidRPr="002A27E6">
        <w:rPr>
          <w:rFonts w:ascii="Calibri" w:hAnsi="Calibri" w:cs="Calibri"/>
          <w:b/>
        </w:rPr>
        <w:lastRenderedPageBreak/>
        <w:t>POST</w:t>
      </w:r>
      <w:r w:rsidR="00C24833" w:rsidRPr="002A27E6">
        <w:rPr>
          <w:rFonts w:ascii="Calibri" w:hAnsi="Calibri" w:cs="Calibri"/>
          <w:b/>
        </w:rPr>
        <w:t>–BUDGET MEMORANDUM 202</w:t>
      </w:r>
      <w:r w:rsidR="00437224" w:rsidRPr="002A27E6">
        <w:rPr>
          <w:rFonts w:ascii="Calibri" w:hAnsi="Calibri" w:cs="Calibri"/>
          <w:b/>
        </w:rPr>
        <w:t>6</w:t>
      </w:r>
      <w:r w:rsidR="00C24833" w:rsidRPr="002A27E6">
        <w:rPr>
          <w:rFonts w:ascii="Calibri" w:hAnsi="Calibri" w:cs="Calibri"/>
          <w:b/>
        </w:rPr>
        <w:t>-2</w:t>
      </w:r>
      <w:r w:rsidR="00437224" w:rsidRPr="002A27E6">
        <w:rPr>
          <w:rFonts w:ascii="Calibri" w:hAnsi="Calibri" w:cs="Calibri"/>
          <w:b/>
        </w:rPr>
        <w:t>7</w:t>
      </w:r>
      <w:r w:rsidR="00C24833" w:rsidRPr="002A27E6">
        <w:rPr>
          <w:rFonts w:ascii="Calibri" w:hAnsi="Calibri" w:cs="Calibri"/>
          <w:b/>
        </w:rPr>
        <w:t>: DIRECT TAXES</w:t>
      </w:r>
    </w:p>
    <w:tbl>
      <w:tblPr>
        <w:tblStyle w:val="TableGrid"/>
        <w:tblW w:w="0" w:type="auto"/>
        <w:tblInd w:w="103" w:type="dxa"/>
        <w:tblLayout w:type="fixed"/>
        <w:tblLook w:val="04A0" w:firstRow="1" w:lastRow="0" w:firstColumn="1" w:lastColumn="0" w:noHBand="0" w:noVBand="1"/>
      </w:tblPr>
      <w:tblGrid>
        <w:gridCol w:w="885"/>
        <w:gridCol w:w="2551"/>
        <w:gridCol w:w="9984"/>
      </w:tblGrid>
      <w:tr w:rsidR="00C24833" w:rsidRPr="002A27E6" w14:paraId="24EB9BAA" w14:textId="77777777" w:rsidTr="002E68DE">
        <w:trPr>
          <w:tblHeader/>
        </w:trPr>
        <w:tc>
          <w:tcPr>
            <w:tcW w:w="885" w:type="dxa"/>
            <w:shd w:val="clear" w:color="auto" w:fill="A6A6A6" w:themeFill="background1" w:themeFillShade="A6"/>
          </w:tcPr>
          <w:p w14:paraId="03DC6B4D" w14:textId="77777777" w:rsidR="00C24833" w:rsidRPr="002A27E6" w:rsidRDefault="00C24833" w:rsidP="003E6E86">
            <w:pPr>
              <w:spacing w:before="120" w:after="120" w:line="276" w:lineRule="auto"/>
              <w:rPr>
                <w:rFonts w:ascii="Calibri" w:hAnsi="Calibri" w:cs="Calibri"/>
                <w:b/>
                <w:bCs/>
              </w:rPr>
            </w:pPr>
            <w:r w:rsidRPr="002A27E6">
              <w:rPr>
                <w:rFonts w:ascii="Calibri" w:hAnsi="Calibri" w:cs="Calibri"/>
                <w:b/>
                <w:bCs/>
              </w:rPr>
              <w:t>Sr. No.</w:t>
            </w:r>
          </w:p>
        </w:tc>
        <w:tc>
          <w:tcPr>
            <w:tcW w:w="2551" w:type="dxa"/>
            <w:shd w:val="clear" w:color="auto" w:fill="A6A6A6" w:themeFill="background1" w:themeFillShade="A6"/>
          </w:tcPr>
          <w:p w14:paraId="3A0D1076" w14:textId="77777777" w:rsidR="00C24833" w:rsidRPr="002A27E6" w:rsidRDefault="00C24833" w:rsidP="003E6E86">
            <w:pPr>
              <w:spacing w:before="120" w:after="120" w:line="276" w:lineRule="auto"/>
              <w:jc w:val="center"/>
              <w:rPr>
                <w:rFonts w:ascii="Calibri" w:hAnsi="Calibri" w:cs="Calibri"/>
                <w:b/>
              </w:rPr>
            </w:pPr>
            <w:r w:rsidRPr="002A27E6">
              <w:rPr>
                <w:rFonts w:ascii="Calibri" w:hAnsi="Calibri" w:cs="Calibri"/>
                <w:b/>
              </w:rPr>
              <w:t>Subject</w:t>
            </w:r>
          </w:p>
        </w:tc>
        <w:tc>
          <w:tcPr>
            <w:tcW w:w="9984" w:type="dxa"/>
            <w:shd w:val="clear" w:color="auto" w:fill="A6A6A6" w:themeFill="background1" w:themeFillShade="A6"/>
          </w:tcPr>
          <w:p w14:paraId="223D4E25" w14:textId="77777777" w:rsidR="00C24833" w:rsidRPr="002A27E6" w:rsidRDefault="00C24833" w:rsidP="003E6E86">
            <w:pPr>
              <w:spacing w:before="120" w:after="120" w:line="276" w:lineRule="auto"/>
              <w:jc w:val="center"/>
              <w:rPr>
                <w:rFonts w:ascii="Calibri" w:hAnsi="Calibri" w:cs="Calibri"/>
              </w:rPr>
            </w:pPr>
            <w:r w:rsidRPr="002A27E6">
              <w:rPr>
                <w:rFonts w:ascii="Calibri" w:hAnsi="Calibri" w:cs="Calibri"/>
                <w:b/>
              </w:rPr>
              <w:t>Comments / Recommendations</w:t>
            </w:r>
          </w:p>
        </w:tc>
      </w:tr>
      <w:tr w:rsidR="00E14373" w:rsidRPr="002A27E6" w14:paraId="4721A6B3" w14:textId="77777777" w:rsidTr="002E68DE">
        <w:tc>
          <w:tcPr>
            <w:tcW w:w="885" w:type="dxa"/>
          </w:tcPr>
          <w:p w14:paraId="41F89729" w14:textId="2211A0BA" w:rsidR="00E14373" w:rsidRPr="002A27E6" w:rsidRDefault="00E14373" w:rsidP="00E14373">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78CBCA12" w14:textId="2C63BA5D" w:rsidR="00E14373" w:rsidRPr="002A27E6" w:rsidRDefault="00E14373" w:rsidP="00E14373">
            <w:pPr>
              <w:spacing w:before="120" w:after="120" w:line="276" w:lineRule="auto"/>
              <w:rPr>
                <w:rFonts w:ascii="Calibri" w:hAnsi="Calibri" w:cs="Calibri"/>
                <w:b/>
                <w:color w:val="000000" w:themeColor="text1"/>
              </w:rPr>
            </w:pPr>
            <w:r w:rsidRPr="002A27E6">
              <w:rPr>
                <w:rFonts w:ascii="Calibri" w:hAnsi="Calibri" w:cs="Calibri"/>
                <w:b/>
                <w:bCs/>
                <w:lang w:val="en-IN"/>
              </w:rPr>
              <w:t>Retrospective amendments on controversial assessment invalidation related issues</w:t>
            </w:r>
          </w:p>
        </w:tc>
        <w:tc>
          <w:tcPr>
            <w:tcW w:w="9984" w:type="dxa"/>
          </w:tcPr>
          <w:p w14:paraId="08F14F1D" w14:textId="77777777" w:rsidR="00E14373" w:rsidRPr="002A27E6" w:rsidRDefault="00E14373" w:rsidP="00E14373">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2C74D065"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It is proposed to address various controversies related to invalidation of assessment on technical grounds like citing of DIN, jurisdiction to issue notice u/s. 148 with Jurisdictional AO vs. Faceless AO, time barring limit for passing assessment order pursuant to DRP’s directions (ROCA/Shelf Drilling controversy) and time limit for passing TPO’s order (Pfizer controversy) through retrospective amendments in Income Tax Act 1961.</w:t>
            </w:r>
          </w:p>
          <w:p w14:paraId="186B89C3"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All the above controversies are pending before Supreme Court for adjudication. In fact, on the issue of time limit for passing assessment order pursuant to DRP’s direction, there was a split verdict of the 2-Judge Bench and hence the issue is referred to a larger bench. </w:t>
            </w:r>
          </w:p>
          <w:p w14:paraId="7090B3DC"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rationale provided for all the above amendments is that the new income tax law is coming into force from 1 April 2026 and objective of new law is to provide simplicity in language to avoid interpretational issues and prevent litigation. Therefore, there is urgent need to clarify the position of law in the new law.</w:t>
            </w:r>
          </w:p>
          <w:p w14:paraId="7A50FDB3"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While clarity in law is always desirable, it is not a sound tax policy to make retrospective amendments which are presently </w:t>
            </w:r>
            <w:proofErr w:type="spellStart"/>
            <w:r w:rsidRPr="002A27E6">
              <w:rPr>
                <w:rFonts w:ascii="Calibri" w:hAnsi="Calibri" w:cs="Calibri"/>
              </w:rPr>
              <w:t>subjudice</w:t>
            </w:r>
            <w:proofErr w:type="spellEnd"/>
            <w:r w:rsidRPr="002A27E6">
              <w:rPr>
                <w:rFonts w:ascii="Calibri" w:hAnsi="Calibri" w:cs="Calibri"/>
              </w:rPr>
              <w:t xml:space="preserve"> before the Supreme Court. If the Supreme Court verdict goes in favour of the Tax Department, there will be no need to the amend the law at all. If the Supreme Court verdict goes against the Tax Department, the amendment can be made with prospective effect. </w:t>
            </w:r>
          </w:p>
          <w:p w14:paraId="1021A2C2"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In respect of time limit for passing assessment order pursuant to DRP directions, the Explanatory Memorandum states </w:t>
            </w:r>
            <w:r w:rsidRPr="002A27E6">
              <w:rPr>
                <w:rFonts w:ascii="Calibri" w:hAnsi="Calibri" w:cs="Calibri"/>
                <w:i/>
                <w:iCs/>
              </w:rPr>
              <w:t xml:space="preserve">“On plain reading of section 144C and 153 and 153B, as the case may be, </w:t>
            </w:r>
            <w:r w:rsidRPr="002A27E6">
              <w:rPr>
                <w:rFonts w:ascii="Calibri" w:hAnsi="Calibri" w:cs="Calibri"/>
                <w:b/>
                <w:bCs/>
                <w:i/>
                <w:iCs/>
                <w:u w:val="single"/>
              </w:rPr>
              <w:t xml:space="preserve">leaves no doubt </w:t>
            </w:r>
            <w:r w:rsidRPr="002A27E6">
              <w:rPr>
                <w:rFonts w:ascii="Calibri" w:hAnsi="Calibri" w:cs="Calibri"/>
                <w:i/>
                <w:iCs/>
              </w:rPr>
              <w:t>that section 153 or section 153B provides for time limit for assessment but where assessment is made under section 144C(3) or 144C(13), the time available as per section 144C(4) or 144C(13) shall apply, notwithstanding the provisions of section 153 or section 153B.”</w:t>
            </w:r>
            <w:r w:rsidRPr="002A27E6">
              <w:rPr>
                <w:rFonts w:ascii="Calibri" w:hAnsi="Calibri" w:cs="Calibri"/>
              </w:rPr>
              <w:t xml:space="preserve">  It further states that the apex court has rendered split verdict on this issue. It is submitted that if the issue was so crystal clear and left no doubt </w:t>
            </w:r>
            <w:r w:rsidRPr="002A27E6">
              <w:rPr>
                <w:rFonts w:ascii="Calibri" w:hAnsi="Calibri" w:cs="Calibri"/>
              </w:rPr>
              <w:lastRenderedPageBreak/>
              <w:t xml:space="preserve">whatsoever, there was no need for a split verdict by the highest court of the nation.  The very fact of split verdict shows that the issue is highly controversial and requires judicial interpretation in view of lack of clarity in the text of the law. </w:t>
            </w:r>
          </w:p>
          <w:p w14:paraId="756DA126"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The amendments are contrary to professed tax policy of current Government of not making retrospective amendments prejudicial to the taxpayers which has been diligently followed since 2014 (barring certain exceptions). It sends out a negative signal to the stakeholders of policy uncertainty. </w:t>
            </w:r>
          </w:p>
          <w:p w14:paraId="09CC233F"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It is true that CBDT instruction no. F.No.400/29/2002-IT(B) dated 26 June 2006 provides relief from interest u/s. 234B/C in certain circumstances. Para 2(c) of the order covers cases where there is jurisdictional High Court judgement in </w:t>
            </w:r>
            <w:proofErr w:type="spellStart"/>
            <w:r w:rsidRPr="002A27E6">
              <w:rPr>
                <w:rFonts w:ascii="Calibri" w:hAnsi="Calibri" w:cs="Calibri"/>
              </w:rPr>
              <w:t>favor</w:t>
            </w:r>
            <w:proofErr w:type="spellEnd"/>
            <w:r w:rsidRPr="002A27E6">
              <w:rPr>
                <w:rFonts w:ascii="Calibri" w:hAnsi="Calibri" w:cs="Calibri"/>
              </w:rPr>
              <w:t xml:space="preserve"> of taxpayer and subsequently, it is reversed by Supreme court ruling or by retrospective amendment or by Larger Bench ruling of same High Court (which is not challenged further). This is restrictive and may not cover all taxpayers who are impacted by retrospective amendments proposed to be made by Finance Bill 2021. For instance, there may be no jurisdictional HC ruling in favour of the taxpayer in many cases. Hence, there is a need to extend relief to all taxpayers who are impacted by these retrospective amendments</w:t>
            </w:r>
          </w:p>
          <w:p w14:paraId="7770E5D9" w14:textId="77777777" w:rsidR="00E14373" w:rsidRPr="002A27E6" w:rsidRDefault="00E14373" w:rsidP="00E14373">
            <w:pPr>
              <w:widowControl/>
              <w:autoSpaceDE/>
              <w:autoSpaceDN/>
              <w:spacing w:before="120" w:after="240"/>
              <w:jc w:val="both"/>
              <w:rPr>
                <w:rFonts w:ascii="Calibri" w:hAnsi="Calibri" w:cs="Calibri"/>
                <w:b/>
                <w:lang w:val="en-IN"/>
              </w:rPr>
            </w:pPr>
            <w:r w:rsidRPr="002A27E6">
              <w:rPr>
                <w:rFonts w:ascii="Calibri" w:hAnsi="Calibri" w:cs="Calibri"/>
                <w:b/>
                <w:lang w:val="en-IN"/>
              </w:rPr>
              <w:t>Recommendation:</w:t>
            </w:r>
          </w:p>
          <w:p w14:paraId="412EBE5A" w14:textId="77777777" w:rsidR="00E14373" w:rsidRPr="002A27E6" w:rsidRDefault="00E14373" w:rsidP="00E1437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above referred retrospective amendments proposed by Finance Bill 2026 should be made with prospective effect from tax year 2026-27 in the new law.</w:t>
            </w:r>
          </w:p>
          <w:p w14:paraId="79471DAD" w14:textId="77777777" w:rsidR="00E14373" w:rsidRPr="002A27E6" w:rsidRDefault="00E14373" w:rsidP="00E14373">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rPr>
            </w:pPr>
            <w:r w:rsidRPr="002A27E6">
              <w:rPr>
                <w:rFonts w:ascii="Calibri" w:hAnsi="Calibri" w:cs="Calibri"/>
              </w:rPr>
              <w:t xml:space="preserve">Alternatively, a general relief should be granted to all taxpayers impacted by such retrospective amendments by permitting to pay the shortfall of advance tax within extended time limit </w:t>
            </w:r>
            <w:proofErr w:type="spellStart"/>
            <w:r w:rsidRPr="002A27E6">
              <w:rPr>
                <w:rFonts w:ascii="Calibri" w:hAnsi="Calibri" w:cs="Calibri"/>
              </w:rPr>
              <w:t>upto</w:t>
            </w:r>
            <w:proofErr w:type="spellEnd"/>
            <w:r w:rsidRPr="002A27E6">
              <w:rPr>
                <w:rFonts w:ascii="Calibri" w:hAnsi="Calibri" w:cs="Calibri"/>
              </w:rPr>
              <w:t xml:space="preserve"> 30th June 2021 without incurring interest liability u/s. 234B or 234C.</w:t>
            </w:r>
          </w:p>
          <w:p w14:paraId="74A61A09" w14:textId="77777777" w:rsidR="00D812BA" w:rsidRPr="002A27E6" w:rsidRDefault="00D812BA" w:rsidP="00D812BA">
            <w:pPr>
              <w:widowControl/>
              <w:autoSpaceDE/>
              <w:autoSpaceDN/>
              <w:spacing w:before="120" w:after="120" w:line="276" w:lineRule="auto"/>
              <w:jc w:val="both"/>
              <w:rPr>
                <w:rFonts w:ascii="Calibri" w:hAnsi="Calibri" w:cs="Calibri"/>
                <w:color w:val="000000" w:themeColor="text1"/>
              </w:rPr>
            </w:pPr>
          </w:p>
          <w:p w14:paraId="3D141976" w14:textId="39495ABD" w:rsidR="00D812BA" w:rsidRPr="002A27E6" w:rsidRDefault="00D812BA" w:rsidP="00D812BA">
            <w:pPr>
              <w:widowControl/>
              <w:autoSpaceDE/>
              <w:autoSpaceDN/>
              <w:spacing w:before="120" w:after="120" w:line="276" w:lineRule="auto"/>
              <w:jc w:val="both"/>
              <w:rPr>
                <w:rFonts w:ascii="Calibri" w:hAnsi="Calibri" w:cs="Calibri"/>
                <w:color w:val="000000" w:themeColor="text1"/>
              </w:rPr>
            </w:pPr>
          </w:p>
        </w:tc>
      </w:tr>
      <w:tr w:rsidR="00C105DA" w:rsidRPr="002A27E6" w14:paraId="3A877689" w14:textId="77777777" w:rsidTr="002E68DE">
        <w:tc>
          <w:tcPr>
            <w:tcW w:w="885" w:type="dxa"/>
          </w:tcPr>
          <w:p w14:paraId="4161C8A4" w14:textId="77777777" w:rsidR="00C105DA" w:rsidRPr="002A27E6" w:rsidRDefault="00C105DA" w:rsidP="00C105DA">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5F5B0694" w14:textId="776B4B0B" w:rsidR="00C105DA" w:rsidRPr="002A27E6" w:rsidRDefault="00C105DA" w:rsidP="00C105DA">
            <w:pPr>
              <w:spacing w:before="120" w:after="120" w:line="276" w:lineRule="auto"/>
              <w:rPr>
                <w:rFonts w:ascii="Calibri" w:hAnsi="Calibri" w:cs="Calibri"/>
                <w:b/>
                <w:bCs/>
                <w:lang w:val="en-IN"/>
              </w:rPr>
            </w:pPr>
            <w:r w:rsidRPr="002A27E6">
              <w:rPr>
                <w:rFonts w:ascii="Calibri" w:hAnsi="Calibri" w:cs="Calibri"/>
                <w:b/>
                <w:bCs/>
                <w:lang w:val="en-IN"/>
              </w:rPr>
              <w:t>Curative amendments to be given retrospective effect</w:t>
            </w:r>
          </w:p>
        </w:tc>
        <w:tc>
          <w:tcPr>
            <w:tcW w:w="9984" w:type="dxa"/>
          </w:tcPr>
          <w:p w14:paraId="6A2AE904" w14:textId="77777777" w:rsidR="00C105DA" w:rsidRPr="002A27E6" w:rsidRDefault="00C105DA" w:rsidP="00C105DA">
            <w:pPr>
              <w:widowControl/>
              <w:autoSpaceDE/>
              <w:autoSpaceDN/>
              <w:spacing w:before="120" w:after="120" w:line="276" w:lineRule="auto"/>
              <w:jc w:val="both"/>
              <w:rPr>
                <w:rFonts w:ascii="Calibri" w:hAnsi="Calibri" w:cs="Calibri"/>
                <w:b/>
                <w:bCs/>
              </w:rPr>
            </w:pPr>
            <w:r w:rsidRPr="002A27E6">
              <w:rPr>
                <w:rFonts w:ascii="Calibri" w:hAnsi="Calibri" w:cs="Calibri"/>
                <w:b/>
                <w:bCs/>
              </w:rPr>
              <w:t xml:space="preserve">Rationale </w:t>
            </w:r>
          </w:p>
          <w:p w14:paraId="0B3A40C2" w14:textId="77777777" w:rsidR="00C105DA" w:rsidRPr="002A27E6" w:rsidRDefault="00C105DA" w:rsidP="00C105DA">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There are a number of amendments in the Finance Bill 2026 which are intended to address anomalies and hardships for the taxpayers. It is well settled the curative amendments to remove hardships for taxpayers should be given retrospective effect (Refer, SC rulings in the cases of Allied Motors (P.) Ltd. v. CIT [1997] 224 ITR 677 (SC) and CIT vs. Alom Extrusions Ltd. [2009] 319 ITR 306 (SC)). But an express provision to give retrospective effect will avoid litigation on this issue travelling to the courts. It would be consistent with the retrospective amendments proposed in the same Bill which favour the tax authorities like those addressing controversies on DIN, JAO vs. FAO, ROCA/Shelf Drilling and time limit for passing TPO’s order.</w:t>
            </w:r>
          </w:p>
          <w:p w14:paraId="54D30115" w14:textId="77777777" w:rsidR="00C105DA" w:rsidRPr="002A27E6" w:rsidRDefault="00C105DA" w:rsidP="00C105DA">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3DDD5BB8" w14:textId="77777777" w:rsidR="00C105DA" w:rsidRPr="002A27E6" w:rsidRDefault="00C105DA" w:rsidP="00C105DA">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Following is a list of such amendments favouring the taxpayer which are recommended to be made with retrospective effect :-</w:t>
            </w:r>
          </w:p>
          <w:p w14:paraId="70147A8E" w14:textId="77777777" w:rsidR="00C105DA" w:rsidRPr="002A27E6" w:rsidRDefault="00C105DA" w:rsidP="00C105DA">
            <w:pPr>
              <w:widowControl/>
              <w:numPr>
                <w:ilvl w:val="1"/>
                <w:numId w:val="9"/>
              </w:numPr>
              <w:autoSpaceDE/>
              <w:autoSpaceDN/>
              <w:spacing w:before="120" w:after="120" w:line="276" w:lineRule="auto"/>
              <w:jc w:val="both"/>
              <w:rPr>
                <w:rFonts w:ascii="Calibri" w:hAnsi="Calibri" w:cs="Calibri"/>
              </w:rPr>
            </w:pPr>
            <w:r w:rsidRPr="002A27E6">
              <w:rPr>
                <w:rFonts w:ascii="Calibri" w:hAnsi="Calibri" w:cs="Calibri"/>
                <w:b/>
                <w:bCs/>
              </w:rPr>
              <w:t xml:space="preserve">Tonnage tax for inland vessels </w:t>
            </w:r>
            <w:r w:rsidRPr="002A27E6">
              <w:rPr>
                <w:rFonts w:ascii="Calibri" w:hAnsi="Calibri" w:cs="Calibri"/>
              </w:rPr>
              <w:t xml:space="preserve">– Finance Act 2025 had extended tonnage tax scheme for inland vessels from tax year 2025-26. The proposed amendments with respect to inland vessels should therefore be made from tax year 2025-26 instead of tax year 2026-27 onwards as proposed in the Finance Bill 2026 </w:t>
            </w:r>
          </w:p>
          <w:p w14:paraId="5CAE9C2F" w14:textId="77777777" w:rsidR="00C105DA" w:rsidRPr="002A27E6" w:rsidRDefault="00C105DA" w:rsidP="00C105DA">
            <w:pPr>
              <w:widowControl/>
              <w:numPr>
                <w:ilvl w:val="1"/>
                <w:numId w:val="9"/>
              </w:numPr>
              <w:autoSpaceDE/>
              <w:autoSpaceDN/>
              <w:spacing w:before="120" w:after="120" w:line="276" w:lineRule="auto"/>
              <w:jc w:val="both"/>
              <w:rPr>
                <w:rFonts w:ascii="Calibri" w:hAnsi="Calibri" w:cs="Calibri"/>
              </w:rPr>
            </w:pPr>
            <w:r w:rsidRPr="002A27E6">
              <w:rPr>
                <w:rFonts w:ascii="Calibri" w:hAnsi="Calibri" w:cs="Calibri"/>
                <w:b/>
                <w:bCs/>
              </w:rPr>
              <w:t xml:space="preserve">Belated employee contributions to welfare funds </w:t>
            </w:r>
            <w:r w:rsidRPr="002A27E6">
              <w:rPr>
                <w:rFonts w:ascii="Calibri" w:hAnsi="Calibri" w:cs="Calibri"/>
              </w:rPr>
              <w:t>– Finance Act 2021 amendment s.36(1)(</w:t>
            </w:r>
            <w:proofErr w:type="spellStart"/>
            <w:r w:rsidRPr="002A27E6">
              <w:rPr>
                <w:rFonts w:ascii="Calibri" w:hAnsi="Calibri" w:cs="Calibri"/>
              </w:rPr>
              <w:t>va</w:t>
            </w:r>
            <w:proofErr w:type="spellEnd"/>
            <w:r w:rsidRPr="002A27E6">
              <w:rPr>
                <w:rFonts w:ascii="Calibri" w:hAnsi="Calibri" w:cs="Calibri"/>
              </w:rPr>
              <w:t xml:space="preserve">) and s.43B from AY 2021-22 onwards to deny deduction for belated employee contributions to welfare funds beyond the statutory due date. The proposed amendment in Finance Bill 2026 to allow such contributions if paid till due date of filing return of income proposed to be made from tax year 2026-27. It should be made retrospectively applicable at least from AY  2021-22 onwards </w:t>
            </w:r>
          </w:p>
          <w:p w14:paraId="38AE6F7F" w14:textId="77777777" w:rsidR="00125D3E" w:rsidRPr="002A27E6" w:rsidRDefault="00C105DA" w:rsidP="00C105DA">
            <w:pPr>
              <w:widowControl/>
              <w:numPr>
                <w:ilvl w:val="1"/>
                <w:numId w:val="9"/>
              </w:numPr>
              <w:autoSpaceDE/>
              <w:autoSpaceDN/>
              <w:spacing w:before="120" w:after="120" w:line="276" w:lineRule="auto"/>
              <w:jc w:val="both"/>
              <w:rPr>
                <w:rFonts w:ascii="Calibri" w:hAnsi="Calibri" w:cs="Calibri"/>
              </w:rPr>
            </w:pPr>
            <w:r w:rsidRPr="002A27E6">
              <w:rPr>
                <w:rFonts w:ascii="Calibri" w:hAnsi="Calibri" w:cs="Calibri"/>
                <w:b/>
                <w:bCs/>
              </w:rPr>
              <w:t>MAT exclusion for presumptive businesses of non-residents</w:t>
            </w:r>
            <w:r w:rsidRPr="002A27E6">
              <w:rPr>
                <w:rFonts w:ascii="Calibri" w:hAnsi="Calibri" w:cs="Calibri"/>
              </w:rPr>
              <w:t xml:space="preserve"> – The Finance Bill 2026 proposes to make amendments to MAT provisions to exclude profits from specified business activities of non-</w:t>
            </w:r>
            <w:r w:rsidRPr="002A27E6">
              <w:rPr>
                <w:rFonts w:ascii="Calibri" w:hAnsi="Calibri" w:cs="Calibri"/>
              </w:rPr>
              <w:lastRenderedPageBreak/>
              <w:t>residents which are covered by presumptive taxation provisions like cruise ship operations and provision of technology/service for electronic manufacturing in India Since presumptive taxation for cruise ship operations was introduced by Finance (No.2) Act 2024 from AY 2025-26 and electronic manufacturing was introduced by Finance Act 2026 from AY 2026-27, the MAT amendments proposed in Finance Bill 2026 to exclude such activities should be made retrospectively applicable from respective prior dates.</w:t>
            </w:r>
          </w:p>
          <w:p w14:paraId="42185526" w14:textId="26557D23" w:rsidR="00C105DA" w:rsidRPr="002A27E6" w:rsidRDefault="00C105DA" w:rsidP="00C105DA">
            <w:pPr>
              <w:widowControl/>
              <w:numPr>
                <w:ilvl w:val="1"/>
                <w:numId w:val="9"/>
              </w:numPr>
              <w:autoSpaceDE/>
              <w:autoSpaceDN/>
              <w:spacing w:before="120" w:after="120" w:line="276" w:lineRule="auto"/>
              <w:jc w:val="both"/>
              <w:rPr>
                <w:rFonts w:ascii="Calibri" w:hAnsi="Calibri" w:cs="Calibri"/>
              </w:rPr>
            </w:pPr>
            <w:r w:rsidRPr="002A27E6">
              <w:rPr>
                <w:rFonts w:ascii="Calibri" w:hAnsi="Calibri" w:cs="Calibri"/>
                <w:b/>
                <w:bCs/>
              </w:rPr>
              <w:t xml:space="preserve">Corresponding relief to AE in APA </w:t>
            </w:r>
            <w:r w:rsidRPr="002A27E6">
              <w:rPr>
                <w:rFonts w:ascii="Calibri" w:hAnsi="Calibri" w:cs="Calibri"/>
              </w:rPr>
              <w:t>– Since APA was introduced by Finance Act 2012 w.e.f. 1 July 2012, the proposed amendment to provide corresponding relief to AE who is not party to APA as proposed in Finance Bill 2026 for APAs signed on or after 1 April 2026 should be made applicable with retrospective effect from 1 July 2012.</w:t>
            </w:r>
          </w:p>
        </w:tc>
      </w:tr>
      <w:tr w:rsidR="00BF6FDE" w:rsidRPr="002A27E6" w14:paraId="0CF2B56E" w14:textId="77777777" w:rsidTr="002E68DE">
        <w:tc>
          <w:tcPr>
            <w:tcW w:w="885" w:type="dxa"/>
          </w:tcPr>
          <w:p w14:paraId="43C86622" w14:textId="77777777" w:rsidR="00BF6FDE" w:rsidRPr="002A27E6" w:rsidRDefault="00BF6FDE" w:rsidP="00BF6FDE">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7FC6ACE2" w14:textId="77777777" w:rsidR="00BF6FDE" w:rsidRPr="002A27E6" w:rsidRDefault="00BF6FDE" w:rsidP="00BF6FDE">
            <w:pPr>
              <w:spacing w:before="120" w:after="120" w:line="276" w:lineRule="auto"/>
              <w:rPr>
                <w:rFonts w:ascii="Calibri" w:hAnsi="Calibri" w:cs="Calibri"/>
                <w:b/>
                <w:bCs/>
              </w:rPr>
            </w:pPr>
            <w:r w:rsidRPr="002A27E6">
              <w:rPr>
                <w:rFonts w:ascii="Calibri" w:hAnsi="Calibri" w:cs="Calibri"/>
                <w:b/>
                <w:bCs/>
              </w:rPr>
              <w:t>Missing references to effective dates</w:t>
            </w:r>
          </w:p>
          <w:p w14:paraId="03E347CD" w14:textId="77777777" w:rsidR="00BF6FDE" w:rsidRPr="002A27E6" w:rsidRDefault="00BF6FDE" w:rsidP="00BF6FDE">
            <w:pPr>
              <w:spacing w:before="120" w:after="120" w:line="276" w:lineRule="auto"/>
              <w:rPr>
                <w:rFonts w:ascii="Calibri" w:hAnsi="Calibri" w:cs="Calibri"/>
                <w:b/>
                <w:bCs/>
              </w:rPr>
            </w:pPr>
          </w:p>
          <w:p w14:paraId="7A02EDAE" w14:textId="414633F4" w:rsidR="00BF6FDE" w:rsidRPr="002A27E6" w:rsidRDefault="00BF6FDE" w:rsidP="00BF6FDE">
            <w:pPr>
              <w:spacing w:before="120" w:after="120" w:line="276" w:lineRule="auto"/>
              <w:rPr>
                <w:rFonts w:ascii="Calibri" w:hAnsi="Calibri" w:cs="Calibri"/>
                <w:b/>
                <w:bCs/>
                <w:lang w:val="en-IN"/>
              </w:rPr>
            </w:pPr>
            <w:r w:rsidRPr="002A27E6">
              <w:rPr>
                <w:rFonts w:ascii="Calibri" w:hAnsi="Calibri" w:cs="Calibri"/>
                <w:b/>
                <w:bCs/>
              </w:rPr>
              <w:t>(S. 292BA of the ITA, 1961)</w:t>
            </w:r>
            <w:r w:rsidRPr="002A27E6">
              <w:rPr>
                <w:rFonts w:ascii="Calibri" w:hAnsi="Calibri" w:cs="Calibri"/>
                <w:b/>
                <w:bCs/>
              </w:rPr>
              <w:br/>
              <w:t>(S. 522 of the ITA, 2025)</w:t>
            </w:r>
          </w:p>
        </w:tc>
        <w:tc>
          <w:tcPr>
            <w:tcW w:w="9984" w:type="dxa"/>
          </w:tcPr>
          <w:p w14:paraId="3D43DF1F" w14:textId="77777777" w:rsidR="00BF6FDE" w:rsidRPr="002A27E6" w:rsidRDefault="00BF6FDE" w:rsidP="00BF6FDE">
            <w:pPr>
              <w:widowControl/>
              <w:autoSpaceDE/>
              <w:autoSpaceDN/>
              <w:spacing w:before="120" w:after="120" w:line="276" w:lineRule="auto"/>
              <w:jc w:val="both"/>
              <w:rPr>
                <w:rFonts w:ascii="Calibri" w:hAnsi="Calibri" w:cs="Calibri"/>
                <w:b/>
                <w:bCs/>
              </w:rPr>
            </w:pPr>
            <w:r w:rsidRPr="002A27E6">
              <w:rPr>
                <w:rFonts w:ascii="Calibri" w:hAnsi="Calibri" w:cs="Calibri"/>
                <w:b/>
                <w:bCs/>
              </w:rPr>
              <w:t xml:space="preserve">Rationale and Recommendation </w:t>
            </w:r>
          </w:p>
          <w:p w14:paraId="6FD38D0A" w14:textId="77777777" w:rsidR="00BF6FDE" w:rsidRPr="002A27E6" w:rsidRDefault="00BF6FDE" w:rsidP="00BF6FDE">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Clause 26 of Finance Bill 2026 seeks to insert a new section 292BA in the ITA 1961 to clarify that assessments shall not be invalid for non-quoting of DIN if the assessment order is referenced by such number in any manner.</w:t>
            </w:r>
          </w:p>
          <w:p w14:paraId="21D69E3D" w14:textId="77777777" w:rsidR="00BF6FDE" w:rsidRPr="002A27E6" w:rsidRDefault="00BF6FDE" w:rsidP="00BF6FDE">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As per notes to clauses and Explanatory Memorandum, this amendment is intended to retrospectively apply from 1 October 2019. However, the text of clause 26 of Finance Bill does not bear the retrospective effective data in absence of which it may be implied to be effective from 1 April 2026 as per clause 1(2)(a) of the Bill. Hence, it is recommended that the effective date of clause 26 may be specified to be 1 October 2019.</w:t>
            </w:r>
          </w:p>
          <w:p w14:paraId="41814953" w14:textId="77777777" w:rsidR="00BF6FDE" w:rsidRPr="002A27E6" w:rsidRDefault="00BF6FDE" w:rsidP="00BF6FDE">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Clause 11 of Finance Bill 2026 seeks to amend s.220(2) of ITA 1961 [S. 411 of the ITA, 2025] to insert a third proviso with effect from 1 March 2026 to provide that interest shall not be charged in respect of any demand raised on account of penalty levied u/s. 270A of the ITA, 1961 [ S. 439 of the ITA, 2025] till the outcome of first appellate authority (CIT(A) or ITAT in case of DRP directions, as the case may be). This is </w:t>
            </w:r>
            <w:r w:rsidRPr="002A27E6">
              <w:rPr>
                <w:rFonts w:ascii="Calibri" w:hAnsi="Calibri" w:cs="Calibri"/>
              </w:rPr>
              <w:lastRenderedPageBreak/>
              <w:t>pursuant to proposal in the Bill for passing of composite order of assessment and penalty on or after 1 April 2027.</w:t>
            </w:r>
          </w:p>
          <w:p w14:paraId="550E6C74" w14:textId="77777777" w:rsidR="00352818" w:rsidRPr="002A27E6" w:rsidRDefault="00BF6FDE" w:rsidP="00BF6FDE">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However, unlike the proposed amendment in s.274 of ITA 1961 by clause 16 of the Bill where there is specific reference to assessment order made on or after 1</w:t>
            </w:r>
            <w:r w:rsidRPr="002A27E6">
              <w:rPr>
                <w:rFonts w:ascii="Calibri" w:hAnsi="Calibri" w:cs="Calibri"/>
                <w:vertAlign w:val="superscript"/>
              </w:rPr>
              <w:t>st</w:t>
            </w:r>
            <w:r w:rsidRPr="002A27E6">
              <w:rPr>
                <w:rFonts w:ascii="Calibri" w:hAnsi="Calibri" w:cs="Calibri"/>
              </w:rPr>
              <w:t xml:space="preserve"> of April 2027, there is no such reference in clause 11. This will unintentionally have the implication that no interest can be charged on any standalone penalty order u/s. 270A of the ITA, 1961 passed on or after 1</w:t>
            </w:r>
            <w:r w:rsidRPr="002A27E6">
              <w:rPr>
                <w:rFonts w:ascii="Calibri" w:hAnsi="Calibri" w:cs="Calibri"/>
                <w:vertAlign w:val="superscript"/>
              </w:rPr>
              <w:t>st</w:t>
            </w:r>
            <w:r w:rsidRPr="002A27E6">
              <w:rPr>
                <w:rFonts w:ascii="Calibri" w:hAnsi="Calibri" w:cs="Calibri"/>
              </w:rPr>
              <w:t xml:space="preserve"> March 2026 till the outcome of first appellate authority. </w:t>
            </w:r>
          </w:p>
          <w:p w14:paraId="5D65296A" w14:textId="76091242" w:rsidR="00BF6FDE" w:rsidRPr="002A27E6" w:rsidRDefault="00BF6FDE" w:rsidP="00BF6FDE">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above being completely unintentional, it is recommended that the phrase “on or after 1</w:t>
            </w:r>
            <w:r w:rsidRPr="002A27E6">
              <w:rPr>
                <w:rFonts w:ascii="Calibri" w:hAnsi="Calibri" w:cs="Calibri"/>
                <w:vertAlign w:val="superscript"/>
              </w:rPr>
              <w:t>st</w:t>
            </w:r>
            <w:r w:rsidRPr="002A27E6">
              <w:rPr>
                <w:rFonts w:ascii="Calibri" w:hAnsi="Calibri" w:cs="Calibri"/>
              </w:rPr>
              <w:t xml:space="preserve"> April 2027” be inserted after “penalty levied under section 270A” in clause 11 of the Bill.</w:t>
            </w:r>
          </w:p>
        </w:tc>
      </w:tr>
      <w:tr w:rsidR="00541C03" w:rsidRPr="002A27E6" w14:paraId="006432BC" w14:textId="77777777" w:rsidTr="002E68DE">
        <w:tc>
          <w:tcPr>
            <w:tcW w:w="885" w:type="dxa"/>
          </w:tcPr>
          <w:p w14:paraId="76CB74EB" w14:textId="77777777" w:rsidR="00541C03" w:rsidRPr="002A27E6" w:rsidRDefault="00541C03" w:rsidP="00541C03">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353816F8" w14:textId="77777777" w:rsidR="00541C03" w:rsidRPr="002A27E6" w:rsidRDefault="00541C03" w:rsidP="00541C03">
            <w:pPr>
              <w:spacing w:before="120" w:after="120" w:line="276" w:lineRule="auto"/>
              <w:rPr>
                <w:rFonts w:ascii="Calibri" w:hAnsi="Calibri" w:cs="Calibri"/>
                <w:b/>
                <w:bCs/>
              </w:rPr>
            </w:pPr>
            <w:r w:rsidRPr="002A27E6">
              <w:rPr>
                <w:rFonts w:ascii="Calibri" w:hAnsi="Calibri" w:cs="Calibri"/>
                <w:b/>
                <w:bCs/>
              </w:rPr>
              <w:t>Surcharge for additional tax on buyback of shares for promoters</w:t>
            </w:r>
          </w:p>
          <w:p w14:paraId="76514AC9" w14:textId="43D603CE" w:rsidR="00541C03" w:rsidRPr="002A27E6" w:rsidRDefault="00541C03" w:rsidP="00541C03">
            <w:pPr>
              <w:spacing w:before="120" w:after="120" w:line="276" w:lineRule="auto"/>
              <w:rPr>
                <w:rFonts w:ascii="Calibri" w:hAnsi="Calibri" w:cs="Calibri"/>
                <w:b/>
                <w:bCs/>
              </w:rPr>
            </w:pPr>
            <w:r w:rsidRPr="002A27E6">
              <w:rPr>
                <w:rFonts w:ascii="Calibri" w:hAnsi="Calibri" w:cs="Calibri"/>
                <w:b/>
                <w:bCs/>
              </w:rPr>
              <w:t>(S. 69 of the ITA, 2025</w:t>
            </w:r>
            <w:r w:rsidRPr="002A27E6">
              <w:rPr>
                <w:rFonts w:ascii="Calibri" w:hAnsi="Calibri" w:cs="Calibri"/>
                <w:b/>
                <w:bCs/>
              </w:rPr>
              <w:br/>
              <w:t>S. 46A of the ITA, 1961)</w:t>
            </w:r>
          </w:p>
        </w:tc>
        <w:tc>
          <w:tcPr>
            <w:tcW w:w="9984" w:type="dxa"/>
          </w:tcPr>
          <w:p w14:paraId="045CDC44" w14:textId="77777777" w:rsidR="00541C03" w:rsidRPr="002A27E6" w:rsidRDefault="00541C03" w:rsidP="00541C03">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797ADBCA" w14:textId="77777777" w:rsidR="00541C03" w:rsidRPr="002A27E6" w:rsidRDefault="00541C03" w:rsidP="00541C0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Clause 34 of the Finance Bill seeks to amend s.69 of ITA 2025 to provide for additional tax on buyback of shares on promoters such that effective tax rate for promoters being domestic companies will 22% and 30% for other promoters. However, Table I of Part I- B of First Schedule does not provide a separate surcharge on additional tax levied u/s. 69 of ITA 2025 for taxpayers falling under Sl. No. 1 (i.e. non-corporate taxpayers like individual, HUF, etc). </w:t>
            </w:r>
          </w:p>
          <w:p w14:paraId="794ED256" w14:textId="77777777" w:rsidR="00541C03" w:rsidRPr="002A27E6" w:rsidRDefault="00541C03" w:rsidP="00541C0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This can ignite controversy whether the surcharge does not apply to such additional tax. In this regard, reference may be to SC ruling in the case of CIT vs. </w:t>
            </w:r>
            <w:proofErr w:type="spellStart"/>
            <w:r w:rsidRPr="002A27E6">
              <w:rPr>
                <w:rFonts w:ascii="Calibri" w:hAnsi="Calibri" w:cs="Calibri"/>
              </w:rPr>
              <w:t>Vatika</w:t>
            </w:r>
            <w:proofErr w:type="spellEnd"/>
            <w:r w:rsidRPr="002A27E6">
              <w:rPr>
                <w:rFonts w:ascii="Calibri" w:hAnsi="Calibri" w:cs="Calibri"/>
              </w:rPr>
              <w:t xml:space="preserve"> Township </w:t>
            </w:r>
            <w:proofErr w:type="spellStart"/>
            <w:r w:rsidRPr="002A27E6">
              <w:rPr>
                <w:rFonts w:ascii="Calibri" w:hAnsi="Calibri" w:cs="Calibri"/>
              </w:rPr>
              <w:t>Pvt.</w:t>
            </w:r>
            <w:proofErr w:type="spellEnd"/>
            <w:r w:rsidRPr="002A27E6">
              <w:rPr>
                <w:rFonts w:ascii="Calibri" w:hAnsi="Calibri" w:cs="Calibri"/>
              </w:rPr>
              <w:t xml:space="preserve"> Ltd (2014)(49 taxmann.com 249) which held that in absence of specific provision, surcharge does not apply to special rate of 60% for undisclosed income u/s. 113 prior to specific amendment by Finance Act 2002 w.e.f. 1 June 2002.  </w:t>
            </w:r>
          </w:p>
          <w:p w14:paraId="5FE8141E" w14:textId="77777777" w:rsidR="00541C03" w:rsidRPr="002A27E6" w:rsidRDefault="00541C03" w:rsidP="00541C03">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27AF051F" w14:textId="6558ABDF" w:rsidR="00541C03" w:rsidRPr="002A27E6" w:rsidRDefault="00541C03" w:rsidP="00DC2EFA">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lastRenderedPageBreak/>
              <w:t>To avoid a repeat of such controversy, Table I of Part I- B of First Schedule may be specifically amended to levy surcharge on additional tax payable u/s. 69 of ITA 2025 or alternatively, the additional tax related provisions may be moved from s.69 to respective capital gains sections 196, 197 and 198 of ITA 2025.</w:t>
            </w:r>
          </w:p>
        </w:tc>
      </w:tr>
      <w:tr w:rsidR="00D773A8" w:rsidRPr="002A27E6" w14:paraId="7643F559" w14:textId="77777777" w:rsidTr="002E68DE">
        <w:tc>
          <w:tcPr>
            <w:tcW w:w="885" w:type="dxa"/>
          </w:tcPr>
          <w:p w14:paraId="2B0A8B4D" w14:textId="77777777" w:rsidR="00D773A8" w:rsidRPr="002A27E6" w:rsidRDefault="00D773A8" w:rsidP="00D773A8">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57410F56" w14:textId="77777777" w:rsidR="00D773A8" w:rsidRPr="002A27E6" w:rsidRDefault="00D773A8" w:rsidP="00D773A8">
            <w:pPr>
              <w:spacing w:before="120" w:after="120" w:line="276" w:lineRule="auto"/>
              <w:rPr>
                <w:rFonts w:ascii="Calibri" w:hAnsi="Calibri" w:cs="Calibri"/>
                <w:b/>
                <w:bCs/>
                <w:lang w:val="en-IN"/>
              </w:rPr>
            </w:pPr>
            <w:r w:rsidRPr="002A27E6">
              <w:rPr>
                <w:rFonts w:ascii="Calibri" w:hAnsi="Calibri" w:cs="Calibri"/>
                <w:b/>
                <w:bCs/>
                <w:lang w:val="en-IN"/>
              </w:rPr>
              <w:t>Interest deduction prohibition against dividend income</w:t>
            </w:r>
          </w:p>
          <w:p w14:paraId="75F63EFD" w14:textId="77777777" w:rsidR="00D773A8" w:rsidRPr="002A27E6" w:rsidRDefault="00D773A8" w:rsidP="00D773A8">
            <w:pPr>
              <w:spacing w:before="120" w:after="120" w:line="276" w:lineRule="auto"/>
              <w:rPr>
                <w:rFonts w:ascii="Calibri" w:hAnsi="Calibri" w:cs="Calibri"/>
                <w:b/>
                <w:bCs/>
                <w:lang w:val="en-IN"/>
              </w:rPr>
            </w:pPr>
            <w:r w:rsidRPr="002A27E6">
              <w:rPr>
                <w:rFonts w:ascii="Calibri" w:hAnsi="Calibri" w:cs="Calibri"/>
                <w:b/>
                <w:bCs/>
                <w:lang w:val="en-IN"/>
              </w:rPr>
              <w:t xml:space="preserve">(Section 93 of the ITA 2025) </w:t>
            </w:r>
          </w:p>
          <w:p w14:paraId="02DB6D92" w14:textId="77777777" w:rsidR="00D773A8" w:rsidRPr="002A27E6" w:rsidRDefault="00D773A8" w:rsidP="00D773A8">
            <w:pPr>
              <w:spacing w:before="120" w:after="120" w:line="276" w:lineRule="auto"/>
              <w:rPr>
                <w:rFonts w:ascii="Calibri" w:hAnsi="Calibri" w:cs="Calibri"/>
                <w:b/>
                <w:bCs/>
                <w:lang w:val="en-IN"/>
              </w:rPr>
            </w:pPr>
            <w:r w:rsidRPr="002A27E6">
              <w:rPr>
                <w:rFonts w:ascii="Calibri" w:hAnsi="Calibri" w:cs="Calibri"/>
                <w:b/>
                <w:bCs/>
                <w:lang w:val="en-IN"/>
              </w:rPr>
              <w:t>(Section 57 of ITA 1961)</w:t>
            </w:r>
          </w:p>
          <w:p w14:paraId="4E8ECD88" w14:textId="77777777" w:rsidR="00D773A8" w:rsidRPr="002A27E6" w:rsidRDefault="00D773A8" w:rsidP="00D773A8">
            <w:pPr>
              <w:spacing w:before="120" w:after="120" w:line="276" w:lineRule="auto"/>
              <w:rPr>
                <w:rFonts w:ascii="Calibri" w:hAnsi="Calibri" w:cs="Calibri"/>
                <w:b/>
                <w:bCs/>
              </w:rPr>
            </w:pPr>
          </w:p>
        </w:tc>
        <w:tc>
          <w:tcPr>
            <w:tcW w:w="9984" w:type="dxa"/>
          </w:tcPr>
          <w:p w14:paraId="37071EAE" w14:textId="77777777" w:rsidR="00D773A8" w:rsidRPr="002A27E6" w:rsidRDefault="00D773A8" w:rsidP="00D773A8">
            <w:pPr>
              <w:widowControl/>
              <w:autoSpaceDE/>
              <w:autoSpaceDN/>
              <w:spacing w:before="120" w:after="120" w:line="276" w:lineRule="auto"/>
              <w:jc w:val="both"/>
              <w:rPr>
                <w:rFonts w:ascii="Calibri" w:hAnsi="Calibri" w:cs="Calibri"/>
                <w:b/>
                <w:bCs/>
                <w:lang w:val="en-IN"/>
              </w:rPr>
            </w:pPr>
            <w:r w:rsidRPr="002A27E6">
              <w:rPr>
                <w:rFonts w:ascii="Calibri" w:hAnsi="Calibri" w:cs="Calibri"/>
                <w:b/>
                <w:bCs/>
                <w:lang w:val="en-IN"/>
              </w:rPr>
              <w:t>Rationale</w:t>
            </w:r>
          </w:p>
          <w:p w14:paraId="2730CC3C" w14:textId="77777777" w:rsidR="00D773A8" w:rsidRPr="002A27E6" w:rsidRDefault="00D773A8" w:rsidP="00D773A8">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 xml:space="preserve">As per the provisions of ITA, a deduction of interest expense </w:t>
            </w:r>
            <w:proofErr w:type="spellStart"/>
            <w:r w:rsidRPr="002A27E6">
              <w:rPr>
                <w:rFonts w:ascii="Calibri" w:hAnsi="Calibri" w:cs="Calibri"/>
                <w:lang w:val="en-IN"/>
              </w:rPr>
              <w:t>upto</w:t>
            </w:r>
            <w:proofErr w:type="spellEnd"/>
            <w:r w:rsidRPr="002A27E6">
              <w:rPr>
                <w:rFonts w:ascii="Calibri" w:hAnsi="Calibri" w:cs="Calibri"/>
                <w:lang w:val="en-IN"/>
              </w:rPr>
              <w:t xml:space="preserve"> 20% of dividend income is allowed against dividend income u/s. 93(2) of ITA 2025 (s.57(iii) of ITA 1961). This provision was perceived as harsh and onerous by stakeholders and hence representations were made as part of pre-budget recommendations to allow full deduction of interest expenditure which is </w:t>
            </w:r>
            <w:proofErr w:type="spellStart"/>
            <w:r w:rsidRPr="002A27E6">
              <w:rPr>
                <w:rFonts w:ascii="Calibri" w:hAnsi="Calibri" w:cs="Calibri"/>
                <w:lang w:val="en-IN"/>
              </w:rPr>
              <w:t>bonafide</w:t>
            </w:r>
            <w:proofErr w:type="spellEnd"/>
            <w:r w:rsidRPr="002A27E6">
              <w:rPr>
                <w:rFonts w:ascii="Calibri" w:hAnsi="Calibri" w:cs="Calibri"/>
                <w:lang w:val="en-IN"/>
              </w:rPr>
              <w:t xml:space="preserve"> incurred for earning dividend income.</w:t>
            </w:r>
          </w:p>
          <w:p w14:paraId="1617EE2B" w14:textId="77777777" w:rsidR="00D773A8" w:rsidRPr="002A27E6" w:rsidRDefault="00D773A8" w:rsidP="00D773A8">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rPr>
              <w:t>However, contrary to stakeholder representation, FB 2026 proposed to completely disallow any deduction (including interest) against dividend income from tax year 2026-27. This is contrary to the well settled principle of taxing “income” and not “gross receipts”.</w:t>
            </w:r>
          </w:p>
          <w:p w14:paraId="2F18AF54" w14:textId="77777777" w:rsidR="00D773A8" w:rsidRPr="002A27E6" w:rsidRDefault="00D773A8" w:rsidP="00D773A8">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rPr>
              <w:t xml:space="preserve">The introduction of artificial disallowance for interest and any other expenditure incurred for earning dividend income is not consistent with classical system of dividend taxation. The tax policy intent behind introducing such artificial restriction is not clear. The switch from DDT regime to classical system was motivated by one of the reasons being that DDT regime resulted in artificial disallowance of genuine expenditure by taxing dividend on gross basis in hands of dividend paying company and disallowing corresponding expenditure in hands of dividend receiving entity. The taxation of gross dividends will create great hardship for companies which make investment in shares with borrowed funds for various commercial reasons. It is very common in insolvency resolution plans to set up an SPV to pool funds from acquirer and lenders to acquire a company undergoing insolvency resolution under IBC. The tax cost of such arrangements will become very onerous and adversely impact resolution of stressed companies. It </w:t>
            </w:r>
            <w:r w:rsidRPr="002A27E6">
              <w:rPr>
                <w:rFonts w:ascii="Calibri" w:hAnsi="Calibri" w:cs="Calibri"/>
              </w:rPr>
              <w:lastRenderedPageBreak/>
              <w:t xml:space="preserve">may be noted that there is no carry forward benefit for loss under Income from other sources and hence the introduction of artificial limitation lacks sufficient rationale. </w:t>
            </w:r>
          </w:p>
          <w:p w14:paraId="610AFCD6" w14:textId="77777777" w:rsidR="00D773A8" w:rsidRPr="002A27E6" w:rsidRDefault="00D773A8" w:rsidP="00D773A8">
            <w:pPr>
              <w:widowControl/>
              <w:autoSpaceDE/>
              <w:autoSpaceDN/>
              <w:spacing w:before="120" w:after="120" w:line="276" w:lineRule="auto"/>
              <w:jc w:val="both"/>
              <w:rPr>
                <w:rFonts w:ascii="Calibri" w:hAnsi="Calibri" w:cs="Calibri"/>
                <w:b/>
                <w:bCs/>
                <w:lang w:val="en-IN"/>
              </w:rPr>
            </w:pPr>
            <w:r w:rsidRPr="002A27E6">
              <w:rPr>
                <w:rFonts w:ascii="Calibri" w:hAnsi="Calibri" w:cs="Calibri"/>
                <w:b/>
                <w:bCs/>
                <w:lang w:val="en-IN"/>
              </w:rPr>
              <w:t>Recommendation</w:t>
            </w:r>
          </w:p>
          <w:p w14:paraId="576FC777" w14:textId="7D9276FA" w:rsidR="00D773A8" w:rsidRPr="002A27E6" w:rsidRDefault="00D773A8" w:rsidP="00313F61">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Since the main purpose of making strategic investments is to run business and make commercial profits, any expenditure in relation to such investments be allowable as deduction and the restriction under section 93(2) should not be made applicable in such cases.</w:t>
            </w:r>
          </w:p>
        </w:tc>
      </w:tr>
      <w:tr w:rsidR="005870E1" w:rsidRPr="002A27E6" w14:paraId="0B921297" w14:textId="77777777" w:rsidTr="002E68DE">
        <w:tc>
          <w:tcPr>
            <w:tcW w:w="885" w:type="dxa"/>
          </w:tcPr>
          <w:p w14:paraId="140D9B56" w14:textId="77777777" w:rsidR="005870E1" w:rsidRPr="002A27E6" w:rsidRDefault="005870E1" w:rsidP="005870E1">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154900A3" w14:textId="77777777" w:rsidR="005870E1" w:rsidRPr="002A27E6" w:rsidRDefault="005870E1" w:rsidP="005870E1">
            <w:pPr>
              <w:spacing w:before="120" w:after="120" w:line="276" w:lineRule="auto"/>
              <w:rPr>
                <w:rFonts w:ascii="Calibri" w:hAnsi="Calibri" w:cs="Calibri"/>
                <w:b/>
                <w:bCs/>
              </w:rPr>
            </w:pPr>
            <w:r w:rsidRPr="002A27E6">
              <w:rPr>
                <w:rFonts w:ascii="Calibri" w:hAnsi="Calibri" w:cs="Calibri"/>
                <w:b/>
                <w:bCs/>
              </w:rPr>
              <w:t>Allowing deduction for non-life insurance business on compliance of conditions in subsequent years</w:t>
            </w:r>
          </w:p>
          <w:p w14:paraId="690CF4A0" w14:textId="2CAA366C" w:rsidR="005870E1" w:rsidRPr="002A27E6" w:rsidRDefault="005870E1" w:rsidP="005870E1">
            <w:pPr>
              <w:spacing w:before="120" w:after="120" w:line="276" w:lineRule="auto"/>
              <w:rPr>
                <w:rFonts w:ascii="Calibri" w:hAnsi="Calibri" w:cs="Calibri"/>
                <w:b/>
                <w:bCs/>
                <w:lang w:val="en-IN"/>
              </w:rPr>
            </w:pPr>
            <w:r w:rsidRPr="002A27E6">
              <w:rPr>
                <w:rFonts w:ascii="Calibri" w:hAnsi="Calibri" w:cs="Calibri"/>
                <w:b/>
                <w:bCs/>
                <w:lang w:val="en-IN"/>
              </w:rPr>
              <w:t>(</w:t>
            </w:r>
            <w:r w:rsidRPr="002A27E6">
              <w:rPr>
                <w:rFonts w:ascii="Calibri" w:hAnsi="Calibri" w:cs="Calibri"/>
                <w:b/>
                <w:bCs/>
              </w:rPr>
              <w:t>S.29(2)(a) of ITA 2025) (Section 40A(7)(a) of the ITA 1961)</w:t>
            </w:r>
          </w:p>
        </w:tc>
        <w:tc>
          <w:tcPr>
            <w:tcW w:w="9984" w:type="dxa"/>
          </w:tcPr>
          <w:p w14:paraId="18F69279" w14:textId="77777777" w:rsidR="005870E1" w:rsidRPr="002A27E6" w:rsidRDefault="005870E1" w:rsidP="005870E1">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465DD924" w14:textId="77777777" w:rsidR="005870E1" w:rsidRPr="002A27E6" w:rsidRDefault="005870E1" w:rsidP="005870E1">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existing ITA 2025 and proposed amendment covers granting deduction in subsequent years for timing difference disallowances for actual payment condition related expenses (s.43B of ITA 1961) [s.37 of IT 2025] and TDS defaults (s.40(a)(i/(</w:t>
            </w:r>
            <w:proofErr w:type="spellStart"/>
            <w:r w:rsidRPr="002A27E6">
              <w:rPr>
                <w:rFonts w:ascii="Calibri" w:hAnsi="Calibri" w:cs="Calibri"/>
              </w:rPr>
              <w:t>ia</w:t>
            </w:r>
            <w:proofErr w:type="spellEnd"/>
            <w:r w:rsidRPr="002A27E6">
              <w:rPr>
                <w:rFonts w:ascii="Calibri" w:hAnsi="Calibri" w:cs="Calibri"/>
              </w:rPr>
              <w:t xml:space="preserve">) of ITA 1961) [Section 35(b)(ii) of the ITA, 2025 </w:t>
            </w:r>
            <w:proofErr w:type="spellStart"/>
            <w:r w:rsidRPr="002A27E6">
              <w:rPr>
                <w:rFonts w:ascii="Calibri" w:hAnsi="Calibri" w:cs="Calibri"/>
              </w:rPr>
              <w:t>r.w</w:t>
            </w:r>
            <w:proofErr w:type="spellEnd"/>
            <w:r w:rsidRPr="002A27E6">
              <w:rPr>
                <w:rFonts w:ascii="Calibri" w:hAnsi="Calibri" w:cs="Calibri"/>
              </w:rPr>
              <w:t xml:space="preserve"> S. 66 of the ITA, 2025]. </w:t>
            </w:r>
          </w:p>
          <w:p w14:paraId="196001DD" w14:textId="77777777" w:rsidR="005870E1" w:rsidRPr="002A27E6" w:rsidRDefault="005870E1" w:rsidP="005870E1">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31119BC8" w14:textId="13342F37" w:rsidR="005870E1" w:rsidRPr="002A27E6" w:rsidRDefault="005870E1" w:rsidP="00B77D31">
            <w:pPr>
              <w:widowControl/>
              <w:numPr>
                <w:ilvl w:val="0"/>
                <w:numId w:val="9"/>
              </w:numPr>
              <w:autoSpaceDE/>
              <w:autoSpaceDN/>
              <w:spacing w:before="120" w:after="120" w:line="276" w:lineRule="auto"/>
              <w:jc w:val="both"/>
              <w:rPr>
                <w:rFonts w:ascii="Calibri" w:hAnsi="Calibri" w:cs="Calibri"/>
                <w:b/>
                <w:bCs/>
                <w:lang w:val="en-IN"/>
              </w:rPr>
            </w:pPr>
            <w:r w:rsidRPr="002A27E6">
              <w:rPr>
                <w:rFonts w:ascii="Calibri" w:hAnsi="Calibri" w:cs="Calibri"/>
              </w:rPr>
              <w:t>On similar lines, it is recommended to cover another item for deduction in subsequent years for non-life insurance business viz. provision for gratuity which is disallowable in the year of provision u/s. 29(2)(a) of ITA 2025 (Section 40A(7)(a) of the ITA, 1961) but allowable u/s. 29(1)(d) of ITA 2025 (Section 40A(7)(b) of the ITA, 1961) in the year in which gratuity becomes payable to the employee. Presently, there is no provision to grant deduction in the subsequent year in case of general insurance company. Hence, it is recommended to insert the same on lines of amendment proposed in Finance Bill 2026</w:t>
            </w:r>
          </w:p>
        </w:tc>
      </w:tr>
      <w:tr w:rsidR="00BF1D35" w:rsidRPr="002A27E6" w14:paraId="070D5795" w14:textId="77777777" w:rsidTr="002E68DE">
        <w:tc>
          <w:tcPr>
            <w:tcW w:w="885" w:type="dxa"/>
          </w:tcPr>
          <w:p w14:paraId="7F424F75" w14:textId="77777777" w:rsidR="00BF1D35" w:rsidRPr="002A27E6" w:rsidRDefault="00BF1D35" w:rsidP="00BF1D35">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2A796815" w14:textId="77777777" w:rsidR="00BF1D35" w:rsidRPr="002A27E6" w:rsidRDefault="00BF1D35" w:rsidP="00BF1D35">
            <w:pPr>
              <w:widowControl/>
              <w:autoSpaceDE/>
              <w:autoSpaceDN/>
              <w:spacing w:before="120" w:after="120" w:line="276" w:lineRule="auto"/>
              <w:jc w:val="both"/>
              <w:rPr>
                <w:rFonts w:ascii="Calibri" w:hAnsi="Calibri" w:cs="Calibri"/>
                <w:b/>
                <w:bCs/>
              </w:rPr>
            </w:pPr>
            <w:r w:rsidRPr="002A27E6">
              <w:rPr>
                <w:rFonts w:ascii="Calibri" w:hAnsi="Calibri" w:cs="Calibri"/>
                <w:b/>
                <w:bCs/>
              </w:rPr>
              <w:t xml:space="preserve">MAT credit for companies which transitioned to new regime in past </w:t>
            </w:r>
          </w:p>
          <w:p w14:paraId="2DEF3DF5" w14:textId="77777777" w:rsidR="00BF1D35" w:rsidRPr="002A27E6" w:rsidRDefault="00BF1D35" w:rsidP="00BF1D35">
            <w:pPr>
              <w:spacing w:before="120" w:after="120" w:line="276" w:lineRule="auto"/>
              <w:rPr>
                <w:rFonts w:ascii="Calibri" w:hAnsi="Calibri" w:cs="Calibri"/>
                <w:b/>
                <w:bCs/>
              </w:rPr>
            </w:pPr>
          </w:p>
        </w:tc>
        <w:tc>
          <w:tcPr>
            <w:tcW w:w="9984" w:type="dxa"/>
          </w:tcPr>
          <w:p w14:paraId="0E9ABB2F" w14:textId="77777777" w:rsidR="00BF1D35" w:rsidRPr="002A27E6" w:rsidRDefault="00BF1D35" w:rsidP="00BF1D35">
            <w:pPr>
              <w:widowControl/>
              <w:autoSpaceDE/>
              <w:autoSpaceDN/>
              <w:spacing w:before="120" w:after="120" w:line="276" w:lineRule="auto"/>
              <w:jc w:val="both"/>
              <w:rPr>
                <w:rFonts w:ascii="Calibri" w:hAnsi="Calibri" w:cs="Calibri"/>
                <w:b/>
                <w:bCs/>
              </w:rPr>
            </w:pPr>
            <w:r w:rsidRPr="002A27E6">
              <w:rPr>
                <w:rFonts w:ascii="Calibri" w:hAnsi="Calibri" w:cs="Calibri"/>
                <w:b/>
                <w:bCs/>
              </w:rPr>
              <w:lastRenderedPageBreak/>
              <w:t>Rationale</w:t>
            </w:r>
          </w:p>
          <w:p w14:paraId="610BAD79" w14:textId="77777777" w:rsidR="00BF1D35" w:rsidRPr="002A27E6" w:rsidRDefault="00BF1D35" w:rsidP="00BF1D35">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 xml:space="preserve">The Union Budget 2026 has proposed that companies opting for the new tax regime after April 1, 2026 will be eligible to set off their accumulated Minimum Alternate Tax (MAT) credits. This measure is a welcome step, as it provides relief to corporates carrying forward MAT credits and ensures smoother </w:t>
            </w:r>
            <w:r w:rsidRPr="002A27E6">
              <w:rPr>
                <w:rFonts w:ascii="Calibri" w:hAnsi="Calibri" w:cs="Calibri"/>
              </w:rPr>
              <w:lastRenderedPageBreak/>
              <w:t>transition to the simplified regime. However, companies that had already opted for the new regime prior to April 1, 2026 are excluded from this benefit. As a result, such companies are placed at a disadvantage compared to later entrants, despite having demonstrated early compliance and alignment with the government’s policy intent.</w:t>
            </w:r>
          </w:p>
          <w:p w14:paraId="180AEC07" w14:textId="77777777" w:rsidR="00BF1D35" w:rsidRPr="002A27E6" w:rsidRDefault="00BF1D35" w:rsidP="00BF1D35">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While CBDT has provided rationale at FAQ 14 on the above issue, it proceeds on the assumption that all companies who transitioned to new regime in the past would have done so only if the new regime is more beneficial than MAT credit loss suffered by them. This is not always true. Some companies have transitioned considering the Government’s thrust on new regime and/or to avoid complexities and litigation on tax holiday provisions and MAT computation.</w:t>
            </w:r>
          </w:p>
          <w:p w14:paraId="760D7FB0" w14:textId="77777777" w:rsidR="00BF1D35" w:rsidRPr="002A27E6" w:rsidRDefault="00BF1D35" w:rsidP="00BF1D35">
            <w:pPr>
              <w:widowControl/>
              <w:autoSpaceDE/>
              <w:autoSpaceDN/>
              <w:spacing w:before="120" w:after="120" w:line="276" w:lineRule="auto"/>
              <w:jc w:val="both"/>
              <w:rPr>
                <w:rFonts w:ascii="Calibri" w:hAnsi="Calibri" w:cs="Calibri"/>
                <w:b/>
                <w:bCs/>
              </w:rPr>
            </w:pPr>
            <w:r w:rsidRPr="002A27E6">
              <w:rPr>
                <w:rFonts w:ascii="Calibri" w:hAnsi="Calibri" w:cs="Calibri"/>
                <w:b/>
                <w:bCs/>
              </w:rPr>
              <w:t xml:space="preserve">Recommendation </w:t>
            </w:r>
          </w:p>
          <w:p w14:paraId="4E289C9F" w14:textId="7EE87726" w:rsidR="00BF1D35" w:rsidRPr="002A27E6" w:rsidRDefault="00BF1D35" w:rsidP="006B512A">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 xml:space="preserve">It is recommended to extend the benefit of set off of accumulated MAT credits even to companies opting for the new tax regime prior to 1 April 2026. If the past assessments are not to be disturbed, the MAT credit set off may be allowed from tax year 2026-27 onwards in respect of accumulated MAT credit till the tax year immediately preceding the tax year in which such domestic company opted for new regime subject to 15 </w:t>
            </w:r>
            <w:proofErr w:type="spellStart"/>
            <w:r w:rsidRPr="002A27E6">
              <w:rPr>
                <w:rFonts w:ascii="Calibri" w:hAnsi="Calibri" w:cs="Calibri"/>
              </w:rPr>
              <w:t>years time</w:t>
            </w:r>
            <w:proofErr w:type="spellEnd"/>
            <w:r w:rsidRPr="002A27E6">
              <w:rPr>
                <w:rFonts w:ascii="Calibri" w:hAnsi="Calibri" w:cs="Calibri"/>
              </w:rPr>
              <w:t xml:space="preserve"> limit. For example, if a domestic company has opted for new regime in FY 2024-25, then MAT credit accumulated till 31 March 2024 may be permitted to be set off </w:t>
            </w:r>
            <w:proofErr w:type="spellStart"/>
            <w:r w:rsidRPr="002A27E6">
              <w:rPr>
                <w:rFonts w:ascii="Calibri" w:hAnsi="Calibri" w:cs="Calibri"/>
              </w:rPr>
              <w:t>upto</w:t>
            </w:r>
            <w:proofErr w:type="spellEnd"/>
            <w:r w:rsidRPr="002A27E6">
              <w:rPr>
                <w:rFonts w:ascii="Calibri" w:hAnsi="Calibri" w:cs="Calibri"/>
              </w:rPr>
              <w:t xml:space="preserve"> 25% of tax liability under new regime for tax year 2026-27 &amp; onwards subject to 15 year time limit from respective tax year in which MAT credit first became available. </w:t>
            </w:r>
          </w:p>
        </w:tc>
      </w:tr>
      <w:tr w:rsidR="001073A2" w:rsidRPr="002A27E6" w14:paraId="096A6EF9" w14:textId="77777777" w:rsidTr="002E68DE">
        <w:tc>
          <w:tcPr>
            <w:tcW w:w="885" w:type="dxa"/>
          </w:tcPr>
          <w:p w14:paraId="6C785495" w14:textId="77777777" w:rsidR="001073A2" w:rsidRPr="002A27E6" w:rsidRDefault="001073A2" w:rsidP="001073A2">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46A2F08F" w14:textId="77777777" w:rsidR="001073A2" w:rsidRPr="002A27E6" w:rsidRDefault="001073A2" w:rsidP="001073A2">
            <w:pPr>
              <w:widowControl/>
              <w:autoSpaceDE/>
              <w:autoSpaceDN/>
              <w:spacing w:after="120" w:line="276" w:lineRule="auto"/>
              <w:jc w:val="both"/>
              <w:outlineLvl w:val="0"/>
              <w:rPr>
                <w:rFonts w:ascii="Calibri" w:hAnsi="Calibri" w:cs="Calibri"/>
                <w:b/>
                <w:bCs/>
              </w:rPr>
            </w:pPr>
            <w:bookmarkStart w:id="1" w:name="_Toc221290828"/>
            <w:r w:rsidRPr="002A27E6">
              <w:rPr>
                <w:rFonts w:ascii="Calibri" w:hAnsi="Calibri" w:cs="Calibri"/>
                <w:b/>
                <w:bCs/>
              </w:rPr>
              <w:t xml:space="preserve">Adverse MAT impact for SPVs of REITs/ </w:t>
            </w:r>
            <w:proofErr w:type="spellStart"/>
            <w:r w:rsidRPr="002A27E6">
              <w:rPr>
                <w:rFonts w:ascii="Calibri" w:hAnsi="Calibri" w:cs="Calibri"/>
                <w:b/>
                <w:bCs/>
              </w:rPr>
              <w:t>InvITs</w:t>
            </w:r>
            <w:bookmarkEnd w:id="1"/>
            <w:proofErr w:type="spellEnd"/>
          </w:p>
          <w:p w14:paraId="73F36A99" w14:textId="77777777" w:rsidR="001073A2" w:rsidRPr="002A27E6" w:rsidRDefault="001073A2" w:rsidP="001073A2">
            <w:pPr>
              <w:widowControl/>
              <w:autoSpaceDE/>
              <w:autoSpaceDN/>
              <w:spacing w:after="120" w:line="276" w:lineRule="auto"/>
              <w:jc w:val="both"/>
              <w:outlineLvl w:val="0"/>
              <w:rPr>
                <w:rFonts w:ascii="Calibri" w:hAnsi="Calibri" w:cs="Calibri"/>
                <w:b/>
                <w:bCs/>
              </w:rPr>
            </w:pPr>
          </w:p>
          <w:p w14:paraId="5F51BDF4" w14:textId="5C4D68D1" w:rsidR="001073A2" w:rsidRPr="002A27E6" w:rsidRDefault="001073A2" w:rsidP="001073A2">
            <w:pPr>
              <w:widowControl/>
              <w:autoSpaceDE/>
              <w:autoSpaceDN/>
              <w:spacing w:before="120" w:after="120" w:line="276" w:lineRule="auto"/>
              <w:jc w:val="both"/>
              <w:rPr>
                <w:rFonts w:ascii="Calibri" w:hAnsi="Calibri" w:cs="Calibri"/>
                <w:b/>
                <w:bCs/>
              </w:rPr>
            </w:pPr>
            <w:r w:rsidRPr="002A27E6">
              <w:rPr>
                <w:rFonts w:ascii="Calibri" w:hAnsi="Calibri" w:cs="Calibri"/>
                <w:b/>
                <w:bCs/>
                <w:lang w:bidi="hi-IN"/>
              </w:rPr>
              <w:lastRenderedPageBreak/>
              <w:t>(S. 223 r/w Schedule V, Table Sl. No 5 of ITA 2025) (S. 10(23FD) of ITA 1961)</w:t>
            </w:r>
          </w:p>
        </w:tc>
        <w:tc>
          <w:tcPr>
            <w:tcW w:w="9984" w:type="dxa"/>
          </w:tcPr>
          <w:p w14:paraId="20BAEFDF" w14:textId="77777777" w:rsidR="001073A2" w:rsidRPr="002A27E6" w:rsidRDefault="001073A2" w:rsidP="001073A2">
            <w:pPr>
              <w:spacing w:after="120" w:line="276" w:lineRule="auto"/>
              <w:rPr>
                <w:rFonts w:ascii="Calibri" w:hAnsi="Calibri" w:cs="Calibri"/>
                <w:b/>
                <w:bCs/>
                <w:lang w:bidi="hi-IN"/>
              </w:rPr>
            </w:pPr>
            <w:r w:rsidRPr="002A27E6">
              <w:rPr>
                <w:rFonts w:ascii="Calibri" w:hAnsi="Calibri" w:cs="Calibri"/>
                <w:b/>
                <w:bCs/>
                <w:lang w:bidi="hi-IN"/>
              </w:rPr>
              <w:lastRenderedPageBreak/>
              <w:t>Rationale</w:t>
            </w:r>
          </w:p>
          <w:p w14:paraId="3E90FE9A" w14:textId="77777777" w:rsidR="001073A2" w:rsidRPr="002A27E6" w:rsidRDefault="001073A2" w:rsidP="001073A2">
            <w:pPr>
              <w:widowControl/>
              <w:numPr>
                <w:ilvl w:val="0"/>
                <w:numId w:val="9"/>
              </w:numPr>
              <w:autoSpaceDE/>
              <w:autoSpaceDN/>
              <w:spacing w:before="120" w:after="120" w:line="276" w:lineRule="auto"/>
              <w:jc w:val="both"/>
              <w:rPr>
                <w:rFonts w:ascii="Calibri" w:hAnsi="Calibri" w:cs="Calibri"/>
                <w:lang w:bidi="hi-IN"/>
              </w:rPr>
            </w:pPr>
            <w:r w:rsidRPr="002A27E6">
              <w:rPr>
                <w:rFonts w:ascii="Calibri" w:hAnsi="Calibri" w:cs="Calibri"/>
                <w:lang w:bidi="hi-IN"/>
              </w:rPr>
              <w:t xml:space="preserve">Special pass-through taxation regime was introduced for business trusts (REITs and </w:t>
            </w:r>
            <w:proofErr w:type="spellStart"/>
            <w:r w:rsidRPr="002A27E6">
              <w:rPr>
                <w:rFonts w:ascii="Calibri" w:hAnsi="Calibri" w:cs="Calibri"/>
                <w:lang w:bidi="hi-IN"/>
              </w:rPr>
              <w:t>InvITs</w:t>
            </w:r>
            <w:proofErr w:type="spellEnd"/>
            <w:r w:rsidRPr="002A27E6">
              <w:rPr>
                <w:rFonts w:ascii="Calibri" w:hAnsi="Calibri" w:cs="Calibri"/>
                <w:lang w:bidi="hi-IN"/>
              </w:rPr>
              <w:t xml:space="preserve">) vide Finance Act, 2014 [S. 223 r/w Schedule V, Table Sl. No 3 &amp; 5 of the ITA, 2025] (S. 115UA r/w S. 10(23FC) and 10(23FD) of ITA 1961). As per the regime, dividend distributed by SPV was exempt from tax in the hands of the business trust as well as the unit holders. SPVs distributing dividend to business trusts were exempted from DDT to ensure tax free dividend distribution to unit holders. Incidentally, when dividend </w:t>
            </w:r>
            <w:r w:rsidRPr="002A27E6">
              <w:rPr>
                <w:rFonts w:ascii="Calibri" w:hAnsi="Calibri" w:cs="Calibri"/>
                <w:lang w:bidi="hi-IN"/>
              </w:rPr>
              <w:lastRenderedPageBreak/>
              <w:t xml:space="preserve">taxation was changed from DDT to taxation in the hands of the shareholders vide Finance Act, 2020, it was also provided that unitholders would remain exempt from dividend taxation conditional upon SPVs not opting for concessional tax regime of s.115BAA of ITA 1961 [s. 200 of ITA 2025]. In other words, while dividend distribution by SPV opting for concessional tax regime is taxable in hands of unit holders, dividend distribution by SPV continuing under old regime is exempt in hands of unit holders. </w:t>
            </w:r>
          </w:p>
          <w:p w14:paraId="5B842373" w14:textId="77777777" w:rsidR="001073A2" w:rsidRPr="002A27E6" w:rsidRDefault="001073A2" w:rsidP="001073A2">
            <w:pPr>
              <w:widowControl/>
              <w:numPr>
                <w:ilvl w:val="0"/>
                <w:numId w:val="9"/>
              </w:numPr>
              <w:autoSpaceDE/>
              <w:autoSpaceDN/>
              <w:spacing w:before="120" w:after="120" w:line="276" w:lineRule="auto"/>
              <w:jc w:val="both"/>
              <w:rPr>
                <w:rFonts w:ascii="Calibri" w:hAnsi="Calibri" w:cs="Calibri"/>
                <w:lang w:bidi="hi-IN"/>
              </w:rPr>
            </w:pPr>
            <w:r w:rsidRPr="002A27E6">
              <w:rPr>
                <w:rFonts w:ascii="Calibri" w:hAnsi="Calibri" w:cs="Calibri"/>
                <w:lang w:bidi="hi-IN"/>
              </w:rPr>
              <w:t xml:space="preserve">It is now proposed in FB 2026 that companies continuing under the old regime will be subject to MAT at 14% </w:t>
            </w:r>
            <w:r w:rsidRPr="002A27E6">
              <w:rPr>
                <w:rFonts w:ascii="Calibri" w:hAnsi="Calibri" w:cs="Calibri"/>
              </w:rPr>
              <w:t>without</w:t>
            </w:r>
            <w:r w:rsidRPr="002A27E6">
              <w:rPr>
                <w:rFonts w:ascii="Calibri" w:hAnsi="Calibri" w:cs="Calibri"/>
                <w:lang w:bidi="hi-IN"/>
              </w:rPr>
              <w:t xml:space="preserve"> allowing any utilisation of MAT credit in future. The proposed amendment is likely to adversely impact SPVs of business trusts who would prefer to continue with the old regime to preserve tax exemption of dividends in the hands of its unitholders. Non-creditable MAT will put extra tax burden on such companies to preserve the tax-free status of dividends for unitholders.</w:t>
            </w:r>
          </w:p>
          <w:p w14:paraId="7750D3E2" w14:textId="77777777" w:rsidR="001073A2" w:rsidRPr="002A27E6" w:rsidRDefault="001073A2" w:rsidP="001073A2">
            <w:pPr>
              <w:widowControl/>
              <w:autoSpaceDE/>
              <w:autoSpaceDN/>
              <w:spacing w:before="120" w:after="120" w:line="276" w:lineRule="auto"/>
              <w:jc w:val="both"/>
              <w:rPr>
                <w:rFonts w:ascii="Calibri" w:hAnsi="Calibri" w:cs="Calibri"/>
                <w:lang w:val="en-US" w:bidi="hi-IN"/>
              </w:rPr>
            </w:pPr>
            <w:r w:rsidRPr="002A27E6">
              <w:rPr>
                <w:rFonts w:ascii="Calibri" w:hAnsi="Calibri" w:cs="Calibri"/>
                <w:b/>
                <w:bCs/>
                <w:lang w:bidi="hi-IN"/>
              </w:rPr>
              <w:t xml:space="preserve">Recommendations </w:t>
            </w:r>
          </w:p>
          <w:p w14:paraId="3739F197" w14:textId="77777777" w:rsidR="00B926AB" w:rsidRPr="002A27E6" w:rsidRDefault="001073A2" w:rsidP="001073A2">
            <w:pPr>
              <w:widowControl/>
              <w:numPr>
                <w:ilvl w:val="0"/>
                <w:numId w:val="9"/>
              </w:numPr>
              <w:autoSpaceDE/>
              <w:autoSpaceDN/>
              <w:spacing w:before="120" w:after="120" w:line="276" w:lineRule="auto"/>
              <w:jc w:val="both"/>
              <w:rPr>
                <w:rFonts w:ascii="Calibri" w:hAnsi="Calibri" w:cs="Calibri"/>
                <w:lang w:val="en-US" w:bidi="hi-IN"/>
              </w:rPr>
            </w:pPr>
            <w:r w:rsidRPr="002A27E6">
              <w:rPr>
                <w:rFonts w:ascii="Calibri" w:hAnsi="Calibri" w:cs="Calibri"/>
              </w:rPr>
              <w:t>In</w:t>
            </w:r>
            <w:r w:rsidRPr="002A27E6">
              <w:rPr>
                <w:rFonts w:ascii="Calibri" w:hAnsi="Calibri" w:cs="Calibri"/>
                <w:lang w:bidi="hi-IN"/>
              </w:rPr>
              <w:t xml:space="preserve"> order to ensure that the tax position of unit holders of business trusts is not adversely affected, s. 223 r/w Schedule V, Table Sl. No 5 (S. 10(23FD) of ITA 1961) may be amended to provide exemption to unitholders in respect of dividend income from business trusts, irrespective of whether SPV has opted for new or old regime. This would enable such SPVs to switch over to new regime without any disadvantage other than loss of MAT credit. </w:t>
            </w:r>
          </w:p>
          <w:p w14:paraId="0E703CE8" w14:textId="77777777" w:rsidR="001073A2" w:rsidRPr="002A27E6" w:rsidRDefault="001073A2" w:rsidP="001073A2">
            <w:pPr>
              <w:widowControl/>
              <w:numPr>
                <w:ilvl w:val="0"/>
                <w:numId w:val="9"/>
              </w:numPr>
              <w:autoSpaceDE/>
              <w:autoSpaceDN/>
              <w:spacing w:before="120" w:after="120" w:line="276" w:lineRule="auto"/>
              <w:jc w:val="both"/>
              <w:rPr>
                <w:rFonts w:ascii="Calibri" w:hAnsi="Calibri" w:cs="Calibri"/>
                <w:lang w:val="en-US" w:bidi="hi-IN"/>
              </w:rPr>
            </w:pPr>
            <w:r w:rsidRPr="002A27E6">
              <w:rPr>
                <w:rFonts w:ascii="Calibri" w:hAnsi="Calibri" w:cs="Calibri"/>
                <w:lang w:bidi="hi-IN"/>
              </w:rPr>
              <w:t xml:space="preserve">If </w:t>
            </w:r>
            <w:r w:rsidRPr="002A27E6">
              <w:rPr>
                <w:rFonts w:ascii="Calibri" w:hAnsi="Calibri" w:cs="Calibri"/>
              </w:rPr>
              <w:t>the</w:t>
            </w:r>
            <w:r w:rsidRPr="002A27E6">
              <w:rPr>
                <w:rFonts w:ascii="Calibri" w:hAnsi="Calibri" w:cs="Calibri"/>
                <w:lang w:bidi="hi-IN"/>
              </w:rPr>
              <w:t xml:space="preserve"> above option is not feasible, SPVs of business trusts which would prefer to continue with the old regime may be allowed to utilise their accumulated MAT credit as per position prevailing under existing law.</w:t>
            </w:r>
          </w:p>
          <w:p w14:paraId="7ED62BA0" w14:textId="77777777" w:rsidR="00D812BA" w:rsidRPr="002A27E6" w:rsidRDefault="00D812BA" w:rsidP="00D812BA">
            <w:pPr>
              <w:widowControl/>
              <w:autoSpaceDE/>
              <w:autoSpaceDN/>
              <w:spacing w:before="120" w:after="120" w:line="276" w:lineRule="auto"/>
              <w:jc w:val="both"/>
              <w:rPr>
                <w:rFonts w:ascii="Calibri" w:hAnsi="Calibri" w:cs="Calibri"/>
                <w:lang w:val="en-US" w:bidi="hi-IN"/>
              </w:rPr>
            </w:pPr>
          </w:p>
          <w:p w14:paraId="3E1ACDB9" w14:textId="77777777" w:rsidR="00D812BA" w:rsidRPr="002A27E6" w:rsidRDefault="00D812BA" w:rsidP="00D812BA">
            <w:pPr>
              <w:widowControl/>
              <w:autoSpaceDE/>
              <w:autoSpaceDN/>
              <w:spacing w:before="120" w:after="120" w:line="276" w:lineRule="auto"/>
              <w:jc w:val="both"/>
              <w:rPr>
                <w:rFonts w:ascii="Calibri" w:hAnsi="Calibri" w:cs="Calibri"/>
                <w:lang w:val="en-US" w:bidi="hi-IN"/>
              </w:rPr>
            </w:pPr>
          </w:p>
          <w:p w14:paraId="5DF13426" w14:textId="2BBAC590" w:rsidR="00D812BA" w:rsidRPr="002A27E6" w:rsidRDefault="00D812BA" w:rsidP="00D812BA">
            <w:pPr>
              <w:widowControl/>
              <w:autoSpaceDE/>
              <w:autoSpaceDN/>
              <w:spacing w:before="120" w:after="120" w:line="276" w:lineRule="auto"/>
              <w:jc w:val="both"/>
              <w:rPr>
                <w:rFonts w:ascii="Calibri" w:hAnsi="Calibri" w:cs="Calibri"/>
                <w:lang w:val="en-US" w:bidi="hi-IN"/>
              </w:rPr>
            </w:pPr>
          </w:p>
        </w:tc>
      </w:tr>
      <w:tr w:rsidR="00FE12F7" w:rsidRPr="002A27E6" w14:paraId="1FAF9F59" w14:textId="77777777" w:rsidTr="002E68DE">
        <w:tc>
          <w:tcPr>
            <w:tcW w:w="885" w:type="dxa"/>
          </w:tcPr>
          <w:p w14:paraId="1C33CEEB" w14:textId="77777777" w:rsidR="00FE12F7" w:rsidRPr="002A27E6" w:rsidRDefault="00FE12F7" w:rsidP="00FE12F7">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7DA1A49F" w14:textId="77777777" w:rsidR="00FE12F7" w:rsidRPr="002A27E6" w:rsidRDefault="00FE12F7" w:rsidP="00FE12F7">
            <w:pPr>
              <w:spacing w:before="120" w:after="120" w:line="276" w:lineRule="auto"/>
              <w:rPr>
                <w:rFonts w:ascii="Calibri" w:hAnsi="Calibri" w:cs="Calibri"/>
                <w:b/>
                <w:bCs/>
                <w:lang w:val="en-IN"/>
              </w:rPr>
            </w:pPr>
            <w:r w:rsidRPr="002A27E6">
              <w:rPr>
                <w:rFonts w:ascii="Calibri" w:hAnsi="Calibri" w:cs="Calibri"/>
                <w:b/>
                <w:bCs/>
                <w:lang w:val="en-IN"/>
              </w:rPr>
              <w:t>MAT exemption to all non-residents under presumptive taxation</w:t>
            </w:r>
          </w:p>
          <w:p w14:paraId="3D35754D" w14:textId="77777777" w:rsidR="00FE12F7" w:rsidRPr="002A27E6" w:rsidRDefault="00FE12F7" w:rsidP="00FE12F7">
            <w:pPr>
              <w:spacing w:before="120" w:after="120" w:line="276" w:lineRule="auto"/>
              <w:rPr>
                <w:rFonts w:ascii="Calibri" w:hAnsi="Calibri" w:cs="Calibri"/>
                <w:b/>
                <w:bCs/>
              </w:rPr>
            </w:pPr>
            <w:r w:rsidRPr="002A27E6">
              <w:rPr>
                <w:rFonts w:ascii="Calibri" w:hAnsi="Calibri" w:cs="Calibri"/>
                <w:b/>
                <w:bCs/>
              </w:rPr>
              <w:t>(Section 206(1)(l) of ITA 2025)</w:t>
            </w:r>
          </w:p>
          <w:p w14:paraId="46E1E975" w14:textId="77777777" w:rsidR="00FE12F7" w:rsidRPr="002A27E6" w:rsidRDefault="00FE12F7" w:rsidP="00FE12F7">
            <w:pPr>
              <w:spacing w:before="120" w:after="120" w:line="276" w:lineRule="auto"/>
              <w:rPr>
                <w:rFonts w:ascii="Calibri" w:hAnsi="Calibri" w:cs="Calibri"/>
                <w:b/>
                <w:bCs/>
              </w:rPr>
            </w:pPr>
          </w:p>
          <w:p w14:paraId="63C60937" w14:textId="77777777" w:rsidR="00FE12F7" w:rsidRPr="002A27E6" w:rsidRDefault="00FE12F7" w:rsidP="00FE12F7">
            <w:pPr>
              <w:spacing w:before="120" w:after="120" w:line="276" w:lineRule="auto"/>
              <w:rPr>
                <w:rFonts w:ascii="Calibri" w:hAnsi="Calibri" w:cs="Calibri"/>
                <w:b/>
                <w:bCs/>
                <w:lang w:val="en-IN"/>
              </w:rPr>
            </w:pPr>
            <w:r w:rsidRPr="002A27E6">
              <w:rPr>
                <w:rFonts w:ascii="Calibri" w:hAnsi="Calibri" w:cs="Calibri"/>
                <w:b/>
                <w:bCs/>
              </w:rPr>
              <w:t>(Explanation 4 &amp; 4A S. 115JB of ITA 1961)</w:t>
            </w:r>
          </w:p>
          <w:p w14:paraId="3F5C6968" w14:textId="77777777" w:rsidR="00FE12F7" w:rsidRPr="002A27E6" w:rsidRDefault="00FE12F7" w:rsidP="00FE12F7">
            <w:pPr>
              <w:spacing w:before="120" w:after="120" w:line="276" w:lineRule="auto"/>
              <w:rPr>
                <w:rFonts w:ascii="Calibri" w:hAnsi="Calibri" w:cs="Calibri"/>
                <w:b/>
                <w:bCs/>
                <w:lang w:val="en-IN"/>
              </w:rPr>
            </w:pPr>
          </w:p>
          <w:p w14:paraId="0A95E0FF" w14:textId="77777777" w:rsidR="00FE12F7" w:rsidRPr="002A27E6" w:rsidRDefault="00FE12F7" w:rsidP="00FE12F7">
            <w:pPr>
              <w:widowControl/>
              <w:autoSpaceDE/>
              <w:autoSpaceDN/>
              <w:spacing w:after="120" w:line="276" w:lineRule="auto"/>
              <w:jc w:val="both"/>
              <w:outlineLvl w:val="0"/>
              <w:rPr>
                <w:rFonts w:ascii="Calibri" w:hAnsi="Calibri" w:cs="Calibri"/>
                <w:b/>
                <w:bCs/>
              </w:rPr>
            </w:pPr>
          </w:p>
        </w:tc>
        <w:tc>
          <w:tcPr>
            <w:tcW w:w="9984" w:type="dxa"/>
          </w:tcPr>
          <w:p w14:paraId="5744A03C" w14:textId="77777777" w:rsidR="00FE12F7" w:rsidRPr="002A27E6" w:rsidRDefault="00FE12F7" w:rsidP="00FE12F7">
            <w:pPr>
              <w:widowControl/>
              <w:autoSpaceDE/>
              <w:autoSpaceDN/>
              <w:spacing w:before="120" w:after="120" w:line="276" w:lineRule="auto"/>
              <w:jc w:val="both"/>
              <w:rPr>
                <w:rFonts w:ascii="Calibri" w:hAnsi="Calibri" w:cs="Calibri"/>
                <w:b/>
                <w:bCs/>
                <w:lang w:val="en-IN"/>
              </w:rPr>
            </w:pPr>
            <w:r w:rsidRPr="002A27E6">
              <w:rPr>
                <w:rFonts w:ascii="Calibri" w:hAnsi="Calibri" w:cs="Calibri"/>
                <w:b/>
                <w:bCs/>
                <w:lang w:val="en-IN"/>
              </w:rPr>
              <w:t>Rationale</w:t>
            </w:r>
          </w:p>
          <w:p w14:paraId="7EC3F562" w14:textId="77777777" w:rsidR="00FE12F7" w:rsidRPr="002A27E6" w:rsidRDefault="00FE12F7" w:rsidP="00FE12F7">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The proposal to exempt from MAT all NRs under presumptive taxation scheme (including cruise ship operators and those providing technology/services for electronic manufacturing in India) is a welcome move. The amendment is proposed in ITA 2025 w.e.f. tax year 2026-27 onwards.</w:t>
            </w:r>
          </w:p>
          <w:p w14:paraId="3EA9BDC4" w14:textId="77777777" w:rsidR="00FE12F7" w:rsidRPr="002A27E6" w:rsidRDefault="00FE12F7" w:rsidP="00FE12F7">
            <w:pPr>
              <w:widowControl/>
              <w:autoSpaceDE/>
              <w:autoSpaceDN/>
              <w:spacing w:before="120" w:after="120" w:line="276" w:lineRule="auto"/>
              <w:jc w:val="both"/>
              <w:rPr>
                <w:rFonts w:ascii="Calibri" w:hAnsi="Calibri" w:cs="Calibri"/>
                <w:b/>
                <w:bCs/>
                <w:lang w:val="en-IN"/>
              </w:rPr>
            </w:pPr>
            <w:r w:rsidRPr="002A27E6">
              <w:rPr>
                <w:rFonts w:ascii="Calibri" w:hAnsi="Calibri" w:cs="Calibri"/>
                <w:b/>
                <w:bCs/>
                <w:lang w:val="en-IN"/>
              </w:rPr>
              <w:t>Recommendation</w:t>
            </w:r>
          </w:p>
          <w:p w14:paraId="10E1EA23" w14:textId="77777777" w:rsidR="00FE12F7" w:rsidRPr="002A27E6" w:rsidRDefault="00FE12F7" w:rsidP="00FE12F7">
            <w:pPr>
              <w:widowControl/>
              <w:autoSpaceDE/>
              <w:autoSpaceDN/>
              <w:spacing w:before="120" w:after="120" w:line="276" w:lineRule="auto"/>
              <w:jc w:val="both"/>
              <w:rPr>
                <w:rFonts w:ascii="Calibri" w:hAnsi="Calibri" w:cs="Calibri"/>
                <w:lang w:val="en-IN"/>
              </w:rPr>
            </w:pPr>
            <w:r w:rsidRPr="002A27E6">
              <w:rPr>
                <w:rFonts w:ascii="Calibri" w:hAnsi="Calibri" w:cs="Calibri"/>
                <w:lang w:val="en-IN"/>
              </w:rPr>
              <w:t>Our recommendations in this regard are as follows :-</w:t>
            </w:r>
          </w:p>
          <w:p w14:paraId="45E003B3" w14:textId="77777777" w:rsidR="00FE12F7" w:rsidRPr="002A27E6" w:rsidRDefault="00FE12F7" w:rsidP="00FE12F7">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rPr>
              <w:t>Since it is a clarificatory amendment to put all non-residents having similar tax treatment at par, it is recommended to make it retrospectively applicable by making similar amendments in Explanation 4A to s.115JB of ITA 1961 [S. 206(1)(l) of the ITA, 2025] also, from AY 2025-26 onwards (i.e., when presumptive taxation for cruise ship operators was inserted). The earlier amendments on the same issue, by insertion of Explanation 4 made by Finance Act 2016 on recommendation of expert committee, and by insertion of Explanation 4A made by Finance Act 2018, were retrospective amendments from 2001.</w:t>
            </w:r>
            <w:r w:rsidRPr="002A27E6">
              <w:rPr>
                <w:rFonts w:ascii="Calibri" w:hAnsi="Calibri" w:cs="Calibri"/>
                <w:lang w:val="en-IN"/>
              </w:rPr>
              <w:t xml:space="preserve"> </w:t>
            </w:r>
          </w:p>
          <w:p w14:paraId="3DFAD2B4" w14:textId="77777777" w:rsidR="00FE12F7" w:rsidRPr="002A27E6" w:rsidRDefault="00FE12F7" w:rsidP="00FE12F7">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But relief from MAT is limited to cases where such foreign company derives income which is “solely” from the specified business subject to presumptive taxation. This is likely to be interpreted to mean that if such foreign company has any other income (– say, from sale of capital asset used for specified business or interest on income-tax refund or interest on temporary deposits with banks, etc.), the exclusion will not apply and the foreign company will be fully exposed to MAT even on income from specified business. This will render the MAT protection academic since most foreign companies engaged in specified businesses are likely to have one or other incidental incomes like interest income. The object of the provision will be defeated by such onerous &amp; impractical condition.</w:t>
            </w:r>
          </w:p>
          <w:p w14:paraId="5A7213B6" w14:textId="77777777" w:rsidR="00FE12F7" w:rsidRPr="002A27E6" w:rsidRDefault="00FE12F7" w:rsidP="00FE12F7">
            <w:pPr>
              <w:widowControl/>
              <w:autoSpaceDE/>
              <w:autoSpaceDN/>
              <w:spacing w:before="120" w:after="120" w:line="276" w:lineRule="auto"/>
              <w:ind w:left="432"/>
              <w:jc w:val="both"/>
              <w:rPr>
                <w:rFonts w:ascii="Calibri" w:hAnsi="Calibri" w:cs="Calibri"/>
                <w:lang w:val="en-IN"/>
              </w:rPr>
            </w:pPr>
            <w:r w:rsidRPr="002A27E6">
              <w:rPr>
                <w:rFonts w:ascii="Calibri" w:hAnsi="Calibri" w:cs="Calibri"/>
                <w:lang w:val="en-IN"/>
              </w:rPr>
              <w:t>Hence, it is recommended to :-</w:t>
            </w:r>
          </w:p>
          <w:p w14:paraId="656B2287" w14:textId="77777777" w:rsidR="00FE12F7" w:rsidRPr="002A27E6" w:rsidRDefault="00FE12F7" w:rsidP="00FE12F7">
            <w:pPr>
              <w:widowControl/>
              <w:numPr>
                <w:ilvl w:val="1"/>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Omit the condition of “solely” in s.206(1)(l)(iii) of ITA 2025 (Explanation 4A of 115JB of the ITA 1961).</w:t>
            </w:r>
          </w:p>
          <w:p w14:paraId="400DB502" w14:textId="77777777" w:rsidR="0073554E" w:rsidRPr="002A27E6" w:rsidRDefault="00FE12F7" w:rsidP="00FE12F7">
            <w:pPr>
              <w:widowControl/>
              <w:numPr>
                <w:ilvl w:val="1"/>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lastRenderedPageBreak/>
              <w:t>Alternatively, it may be provided that earning of income which is ancillary/ incidental to the specified business of foreign company will not disqualify the foreign company from MAT relief.</w:t>
            </w:r>
          </w:p>
          <w:p w14:paraId="32E53F06" w14:textId="5D271998" w:rsidR="00FE12F7" w:rsidRPr="002A27E6" w:rsidRDefault="00FE12F7" w:rsidP="00FE12F7">
            <w:pPr>
              <w:widowControl/>
              <w:numPr>
                <w:ilvl w:val="1"/>
                <w:numId w:val="9"/>
              </w:numPr>
              <w:autoSpaceDE/>
              <w:autoSpaceDN/>
              <w:spacing w:before="120" w:after="120" w:line="276" w:lineRule="auto"/>
              <w:jc w:val="both"/>
              <w:rPr>
                <w:rFonts w:ascii="Calibri" w:hAnsi="Calibri" w:cs="Calibri"/>
                <w:lang w:val="en-IN"/>
              </w:rPr>
            </w:pPr>
            <w:r w:rsidRPr="002A27E6">
              <w:rPr>
                <w:rFonts w:ascii="Calibri" w:hAnsi="Calibri" w:cs="Calibri"/>
              </w:rPr>
              <w:t>Still alternatively, if the intention is to provide MAT protection to income from specified activity only and not to other incomes, then shift the MAT exemption to income from specified activities to s.206(1)(d)(ii) of ITA 2025 (corresponding to clause (</w:t>
            </w:r>
            <w:proofErr w:type="spellStart"/>
            <w:r w:rsidRPr="002A27E6">
              <w:rPr>
                <w:rFonts w:ascii="Calibri" w:hAnsi="Calibri" w:cs="Calibri"/>
              </w:rPr>
              <w:t>iid</w:t>
            </w:r>
            <w:proofErr w:type="spellEnd"/>
            <w:r w:rsidRPr="002A27E6">
              <w:rPr>
                <w:rFonts w:ascii="Calibri" w:hAnsi="Calibri" w:cs="Calibri"/>
              </w:rPr>
              <w:t>) of Explanation 1 to s.115JB(2)) which is restrictive in scope and protects only specified incomes and not the foreign company itself from MAT.</w:t>
            </w:r>
          </w:p>
        </w:tc>
      </w:tr>
      <w:tr w:rsidR="004123FA" w:rsidRPr="002A27E6" w14:paraId="32920325" w14:textId="77777777" w:rsidTr="002E68DE">
        <w:tc>
          <w:tcPr>
            <w:tcW w:w="885" w:type="dxa"/>
          </w:tcPr>
          <w:p w14:paraId="483CFDB5" w14:textId="77777777" w:rsidR="004123FA" w:rsidRPr="002A27E6" w:rsidRDefault="004123FA" w:rsidP="004123FA">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3F4253EB" w14:textId="77777777" w:rsidR="004123FA" w:rsidRPr="002A27E6" w:rsidRDefault="004123FA" w:rsidP="004123FA">
            <w:pPr>
              <w:widowControl/>
              <w:autoSpaceDE/>
              <w:autoSpaceDN/>
              <w:spacing w:before="120" w:after="120" w:line="276" w:lineRule="auto"/>
              <w:jc w:val="both"/>
              <w:rPr>
                <w:rFonts w:ascii="Calibri" w:hAnsi="Calibri" w:cs="Calibri"/>
                <w:b/>
                <w:bCs/>
              </w:rPr>
            </w:pPr>
            <w:r w:rsidRPr="002A27E6">
              <w:rPr>
                <w:rFonts w:ascii="Calibri" w:hAnsi="Calibri" w:cs="Calibri"/>
                <w:b/>
                <w:bCs/>
              </w:rPr>
              <w:t>Retrospective impact for secondary purchasers of Sovereign Gold Bond Schemes</w:t>
            </w:r>
          </w:p>
          <w:p w14:paraId="66DDE8CF" w14:textId="6E9A2361" w:rsidR="004123FA" w:rsidRPr="002A27E6" w:rsidRDefault="004123FA" w:rsidP="004123FA">
            <w:pPr>
              <w:spacing w:before="120" w:after="120" w:line="276" w:lineRule="auto"/>
              <w:rPr>
                <w:rFonts w:ascii="Calibri" w:hAnsi="Calibri" w:cs="Calibri"/>
                <w:b/>
                <w:bCs/>
                <w:lang w:val="en-IN"/>
              </w:rPr>
            </w:pPr>
            <w:r w:rsidRPr="002A27E6">
              <w:rPr>
                <w:rFonts w:ascii="Calibri" w:hAnsi="Calibri" w:cs="Calibri"/>
                <w:b/>
                <w:bCs/>
              </w:rPr>
              <w:t>(s.47(</w:t>
            </w:r>
            <w:proofErr w:type="spellStart"/>
            <w:r w:rsidRPr="002A27E6">
              <w:rPr>
                <w:rFonts w:ascii="Calibri" w:hAnsi="Calibri" w:cs="Calibri"/>
                <w:b/>
                <w:bCs/>
              </w:rPr>
              <w:t>viic</w:t>
            </w:r>
            <w:proofErr w:type="spellEnd"/>
            <w:r w:rsidRPr="002A27E6">
              <w:rPr>
                <w:rFonts w:ascii="Calibri" w:hAnsi="Calibri" w:cs="Calibri"/>
                <w:b/>
                <w:bCs/>
              </w:rPr>
              <w:t>) of ITA 1961, s.70(1)(x) of ITA 2025)</w:t>
            </w:r>
          </w:p>
        </w:tc>
        <w:tc>
          <w:tcPr>
            <w:tcW w:w="9984" w:type="dxa"/>
          </w:tcPr>
          <w:p w14:paraId="2A4C253E" w14:textId="77777777" w:rsidR="004123FA" w:rsidRPr="002A27E6" w:rsidRDefault="004123FA" w:rsidP="004123FA">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463D8FAB" w14:textId="77777777" w:rsidR="004123FA" w:rsidRPr="002A27E6" w:rsidRDefault="004123FA" w:rsidP="004123FA">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It is proposed to provide </w:t>
            </w:r>
            <w:proofErr w:type="spellStart"/>
            <w:r w:rsidRPr="002A27E6">
              <w:rPr>
                <w:rFonts w:ascii="Calibri" w:hAnsi="Calibri" w:cs="Calibri"/>
              </w:rPr>
              <w:t>w.e.f</w:t>
            </w:r>
            <w:proofErr w:type="spellEnd"/>
            <w:r w:rsidRPr="002A27E6">
              <w:rPr>
                <w:rFonts w:ascii="Calibri" w:hAnsi="Calibri" w:cs="Calibri"/>
              </w:rPr>
              <w:t xml:space="preserve"> 1 April 2026 that capital gains exemption on Sovereign Gold Bonds will be available regardless of the series/year in which they are issued but subject to the condition that taxpayer is original subscriber and held the bonds till maturity. This means secondary purchasers of such bonds who redeem the bonds on maturity on or after 1 April 2026 will lose the exemption. This will be contrary to FAQs/clarifications provided by RBI that the redemption of sovereign gold bonds is tax-free.</w:t>
            </w:r>
          </w:p>
          <w:p w14:paraId="42BD6C49" w14:textId="77777777" w:rsidR="004123FA" w:rsidRPr="002A27E6" w:rsidRDefault="004123FA" w:rsidP="004123FA">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amendments in ITA 2025 to withdraw capital gains exemption on redemption of Sovereign Gold Bonds for secondary purchasers adversely impacts those investors who already invested in them from secondary market in the hope of getting tax free redemptions based on RBI clarification. Such investors cannot redeem the bonds prior to 31 March 2026 if the next coupon dates extend beyond 31 March 2026 (this is because redemption is permitted only near to coupon dates)</w:t>
            </w:r>
          </w:p>
          <w:p w14:paraId="77F00C33" w14:textId="77777777" w:rsidR="004123FA" w:rsidRPr="002A27E6" w:rsidRDefault="004123FA" w:rsidP="004123FA">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6A394827" w14:textId="4F10FF01" w:rsidR="004123FA" w:rsidRPr="002A27E6" w:rsidRDefault="004123FA" w:rsidP="00AA0B6D">
            <w:pPr>
              <w:widowControl/>
              <w:numPr>
                <w:ilvl w:val="0"/>
                <w:numId w:val="9"/>
              </w:numPr>
              <w:autoSpaceDE/>
              <w:autoSpaceDN/>
              <w:spacing w:before="120" w:after="120" w:line="276" w:lineRule="auto"/>
              <w:jc w:val="both"/>
              <w:rPr>
                <w:rFonts w:ascii="Calibri" w:hAnsi="Calibri" w:cs="Calibri"/>
                <w:b/>
                <w:bCs/>
                <w:lang w:val="en-IN"/>
              </w:rPr>
            </w:pPr>
            <w:r w:rsidRPr="002A27E6">
              <w:rPr>
                <w:rFonts w:ascii="Calibri" w:hAnsi="Calibri" w:cs="Calibri"/>
              </w:rPr>
              <w:t xml:space="preserve">Hence, it is requested that the amendment be applied only to fresh issue of SGBs on or after 1 April 2026. This recommendation is in line with grandfathering provided for deemed short term capital gains treatment provided for debt mutual funds u/s. 76 of the ITA, 2025 (S.50AA of the ITA, 1961) where units are acquired on or after 1 April 2023. It will also be in line with consistent policy adopted in the past to </w:t>
            </w:r>
            <w:r w:rsidRPr="002A27E6">
              <w:rPr>
                <w:rFonts w:ascii="Calibri" w:hAnsi="Calibri" w:cs="Calibri"/>
              </w:rPr>
              <w:lastRenderedPageBreak/>
              <w:t>grandfather existing investments whenever the taxation was changed materially (</w:t>
            </w:r>
            <w:proofErr w:type="spellStart"/>
            <w:r w:rsidRPr="002A27E6">
              <w:rPr>
                <w:rFonts w:ascii="Calibri" w:hAnsi="Calibri" w:cs="Calibri"/>
              </w:rPr>
              <w:t>eg.</w:t>
            </w:r>
            <w:proofErr w:type="spellEnd"/>
            <w:r w:rsidRPr="002A27E6">
              <w:rPr>
                <w:rFonts w:ascii="Calibri" w:hAnsi="Calibri" w:cs="Calibri"/>
              </w:rPr>
              <w:t xml:space="preserve"> ULIPs in 2021 and high premium insurance products in 2023)</w:t>
            </w:r>
          </w:p>
        </w:tc>
      </w:tr>
      <w:tr w:rsidR="00674D31" w:rsidRPr="002A27E6" w14:paraId="37C45443" w14:textId="77777777" w:rsidTr="002E68DE">
        <w:tc>
          <w:tcPr>
            <w:tcW w:w="885" w:type="dxa"/>
          </w:tcPr>
          <w:p w14:paraId="1BE69B36" w14:textId="77777777" w:rsidR="00674D31" w:rsidRPr="002A27E6" w:rsidRDefault="00674D31" w:rsidP="00674D31">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100B2BF2" w14:textId="77777777" w:rsidR="00674D31" w:rsidRPr="002A27E6" w:rsidRDefault="00674D31" w:rsidP="00674D31">
            <w:pPr>
              <w:spacing w:before="120" w:after="120" w:line="276" w:lineRule="auto"/>
              <w:rPr>
                <w:rFonts w:ascii="Calibri" w:hAnsi="Calibri" w:cs="Calibri"/>
                <w:b/>
                <w:bCs/>
                <w:color w:val="000000" w:themeColor="text1"/>
                <w:lang w:val="en-IN"/>
              </w:rPr>
            </w:pPr>
            <w:r w:rsidRPr="002A27E6">
              <w:rPr>
                <w:rFonts w:ascii="Calibri" w:hAnsi="Calibri" w:cs="Calibri"/>
                <w:b/>
                <w:bCs/>
                <w:color w:val="000000" w:themeColor="text1"/>
                <w:lang w:val="en-IN"/>
              </w:rPr>
              <w:t>Exemption to foreign company for procuring data centre services from Indian data centre</w:t>
            </w:r>
          </w:p>
          <w:p w14:paraId="17A19A97" w14:textId="77777777" w:rsidR="00674D31" w:rsidRPr="002A27E6" w:rsidRDefault="00674D31" w:rsidP="00674D31">
            <w:pPr>
              <w:spacing w:before="120" w:after="120" w:line="276" w:lineRule="auto"/>
              <w:rPr>
                <w:rFonts w:ascii="Calibri" w:hAnsi="Calibri" w:cs="Calibri"/>
                <w:b/>
                <w:color w:val="000000" w:themeColor="text1"/>
              </w:rPr>
            </w:pPr>
            <w:r w:rsidRPr="002A27E6">
              <w:rPr>
                <w:rFonts w:ascii="Calibri" w:hAnsi="Calibri" w:cs="Calibri"/>
                <w:b/>
                <w:color w:val="000000" w:themeColor="text1"/>
              </w:rPr>
              <w:t>(Clause 13C in Table to S.11 r. w. Schedule IV of ITA 2025) (w.e.f. 1 April 2026)</w:t>
            </w:r>
          </w:p>
          <w:p w14:paraId="78DD3105" w14:textId="2DB444C2" w:rsidR="00674D31" w:rsidRPr="002A27E6" w:rsidRDefault="00674D31" w:rsidP="00674D31">
            <w:pPr>
              <w:widowControl/>
              <w:autoSpaceDE/>
              <w:autoSpaceDN/>
              <w:spacing w:before="120" w:after="120" w:line="276" w:lineRule="auto"/>
              <w:jc w:val="both"/>
              <w:rPr>
                <w:rFonts w:ascii="Calibri" w:hAnsi="Calibri" w:cs="Calibri"/>
                <w:b/>
                <w:bCs/>
              </w:rPr>
            </w:pPr>
            <w:r w:rsidRPr="002A27E6">
              <w:rPr>
                <w:rFonts w:ascii="Calibri" w:hAnsi="Calibri" w:cs="Calibri"/>
                <w:b/>
                <w:color w:val="000000" w:themeColor="text1"/>
              </w:rPr>
              <w:t>(corresponding S.10 of ITA 1961)</w:t>
            </w:r>
          </w:p>
        </w:tc>
        <w:tc>
          <w:tcPr>
            <w:tcW w:w="9984" w:type="dxa"/>
          </w:tcPr>
          <w:p w14:paraId="77BE9F43" w14:textId="77777777" w:rsidR="00674D31" w:rsidRPr="002A27E6" w:rsidRDefault="00674D31" w:rsidP="00674D31">
            <w:pPr>
              <w:pStyle w:val="ListParagraph"/>
              <w:spacing w:before="120" w:after="120" w:line="276" w:lineRule="auto"/>
              <w:ind w:left="0"/>
              <w:contextualSpacing w:val="0"/>
              <w:jc w:val="both"/>
              <w:rPr>
                <w:rFonts w:ascii="Calibri" w:hAnsi="Calibri" w:cs="Calibri"/>
                <w:b/>
                <w:bCs/>
                <w:color w:val="000000" w:themeColor="text1"/>
              </w:rPr>
            </w:pPr>
            <w:r w:rsidRPr="002A27E6">
              <w:rPr>
                <w:rFonts w:ascii="Calibri" w:hAnsi="Calibri" w:cs="Calibri"/>
                <w:b/>
                <w:bCs/>
                <w:color w:val="000000" w:themeColor="text1"/>
              </w:rPr>
              <w:t>Rationale</w:t>
            </w:r>
          </w:p>
          <w:p w14:paraId="66F0D6E8" w14:textId="77777777" w:rsidR="00674D31" w:rsidRPr="002A27E6" w:rsidRDefault="00674D31" w:rsidP="00674D31">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rPr>
            </w:pPr>
            <w:r w:rsidRPr="002A27E6">
              <w:rPr>
                <w:rFonts w:ascii="Calibri" w:hAnsi="Calibri" w:cs="Calibri"/>
                <w:color w:val="000000" w:themeColor="text1"/>
              </w:rPr>
              <w:t>Section 11 of ITA 2025 r. w. its Schedules (corresponding to S. 10 of ITA 1961) lists down various streams of income which shall not be included in the total income of a Taxpayer, subject to satisfaction of certain conditions.</w:t>
            </w:r>
          </w:p>
          <w:p w14:paraId="40716F01" w14:textId="77777777" w:rsidR="00674D31" w:rsidRPr="002A27E6" w:rsidRDefault="00674D31" w:rsidP="00674D31">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rPr>
            </w:pPr>
            <w:r w:rsidRPr="002A27E6">
              <w:rPr>
                <w:rFonts w:ascii="Calibri" w:hAnsi="Calibri" w:cs="Calibri"/>
                <w:color w:val="000000" w:themeColor="text1"/>
              </w:rPr>
              <w:t>Schedule IV to ITA 2025 deals with eligible non-residents, foreign companies and other such persons, and specifies the eligible income which shall not be included in their total income.</w:t>
            </w:r>
          </w:p>
          <w:p w14:paraId="5ABC4258" w14:textId="77777777" w:rsidR="00674D31" w:rsidRPr="002A27E6" w:rsidRDefault="00674D31" w:rsidP="00674D31">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rPr>
            </w:pPr>
            <w:r w:rsidRPr="002A27E6">
              <w:rPr>
                <w:rFonts w:ascii="Calibri" w:hAnsi="Calibri" w:cs="Calibri"/>
                <w:color w:val="000000" w:themeColor="text1"/>
              </w:rPr>
              <w:t>FB 2026 proposes to introduce a new entry, Sl. No. 13C in the Table to Schedule IV to ITA 2025 for the purpose of Section 11 to provide exemption to a foreign company in respect of any income accruing or arising in India or deemed to accrue or arise in India by way of procuring data centre services from a specified data centre, subject to specified conditions. This exemption is available up to tax year ending on the 31 March 2047.</w:t>
            </w:r>
          </w:p>
          <w:p w14:paraId="034A00AA" w14:textId="77777777" w:rsidR="00674D31" w:rsidRPr="002A27E6" w:rsidRDefault="00674D31" w:rsidP="00674D31">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rPr>
            </w:pPr>
            <w:r w:rsidRPr="002A27E6">
              <w:rPr>
                <w:rFonts w:ascii="Calibri" w:hAnsi="Calibri" w:cs="Calibri"/>
                <w:color w:val="000000" w:themeColor="text1"/>
              </w:rPr>
              <w:t xml:space="preserve">The proposal intended to attract investment in data centre and promote AI data centre framework in India is welcome. This sector is poised to receive significant amounts of foreign investment and hence clarity on each of the conditions for exemption is very critical for long term investment decision making of foreign investors. </w:t>
            </w:r>
          </w:p>
          <w:p w14:paraId="4908334D" w14:textId="77777777" w:rsidR="00674D31" w:rsidRPr="002A27E6" w:rsidRDefault="00674D31" w:rsidP="00674D31">
            <w:pPr>
              <w:widowControl/>
              <w:autoSpaceDE/>
              <w:autoSpaceDN/>
              <w:spacing w:before="120" w:after="120" w:line="276" w:lineRule="auto"/>
              <w:jc w:val="both"/>
              <w:rPr>
                <w:rFonts w:ascii="Calibri" w:hAnsi="Calibri" w:cs="Calibri"/>
                <w:b/>
                <w:bCs/>
                <w:color w:val="000000" w:themeColor="text1"/>
              </w:rPr>
            </w:pPr>
            <w:r w:rsidRPr="002A27E6">
              <w:rPr>
                <w:rFonts w:ascii="Calibri" w:hAnsi="Calibri" w:cs="Calibri"/>
                <w:b/>
                <w:bCs/>
                <w:color w:val="000000" w:themeColor="text1"/>
              </w:rPr>
              <w:t>Recommendation</w:t>
            </w:r>
          </w:p>
          <w:p w14:paraId="5AA4FDFF" w14:textId="77777777" w:rsidR="00674D31" w:rsidRPr="002A27E6" w:rsidRDefault="00674D31" w:rsidP="00674D31">
            <w:pPr>
              <w:widowControl/>
              <w:autoSpaceDE/>
              <w:autoSpaceDN/>
              <w:spacing w:before="120" w:after="120" w:line="276" w:lineRule="auto"/>
              <w:jc w:val="both"/>
              <w:rPr>
                <w:rFonts w:ascii="Calibri" w:hAnsi="Calibri" w:cs="Calibri"/>
                <w:color w:val="000000" w:themeColor="text1"/>
              </w:rPr>
            </w:pPr>
            <w:r w:rsidRPr="002A27E6">
              <w:rPr>
                <w:rFonts w:ascii="Calibri" w:hAnsi="Calibri" w:cs="Calibri"/>
                <w:color w:val="000000" w:themeColor="text1"/>
              </w:rPr>
              <w:t>In this regard, clarifications on following operational aspects of the new scheme would be greatly appreciated.</w:t>
            </w:r>
          </w:p>
          <w:p w14:paraId="06B0F522" w14:textId="77777777" w:rsidR="00674D31" w:rsidRPr="002A27E6" w:rsidRDefault="00674D31" w:rsidP="00674D31">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rPr>
            </w:pPr>
            <w:r w:rsidRPr="002A27E6">
              <w:rPr>
                <w:rFonts w:ascii="Calibri" w:hAnsi="Calibri" w:cs="Calibri"/>
                <w:color w:val="000000" w:themeColor="text1"/>
              </w:rPr>
              <w:t xml:space="preserve">One of the conditions to qualify for exemption is that where services are provided to Indian users by the foreign company, it should be routed through an Indian reseller entity. While our understanding is that this does not mean that services cannot be provided to foreign users, doubts have been expressed by </w:t>
            </w:r>
            <w:r w:rsidRPr="002A27E6">
              <w:rPr>
                <w:rFonts w:ascii="Calibri" w:hAnsi="Calibri" w:cs="Calibri"/>
                <w:color w:val="000000" w:themeColor="text1"/>
              </w:rPr>
              <w:lastRenderedPageBreak/>
              <w:t>certain stakeholders based on the language of the condition. Hence, it is recommended to clarify that services can be directly or indirectly through a reseller be provided by foreign company to foreign users also.</w:t>
            </w:r>
          </w:p>
          <w:p w14:paraId="4DB8D67E" w14:textId="77777777" w:rsidR="00674D31" w:rsidRPr="002A27E6" w:rsidRDefault="00674D31" w:rsidP="00674D31">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rPr>
            </w:pPr>
            <w:r w:rsidRPr="002A27E6">
              <w:rPr>
                <w:rFonts w:ascii="Calibri" w:hAnsi="Calibri" w:cs="Calibri"/>
                <w:color w:val="000000" w:themeColor="text1"/>
              </w:rPr>
              <w:t xml:space="preserve">The exemption is proposed to be provided to any income accruing or arising in India or deemed to accrue or arise in India “by way of procuring data centre services” from a specified data centre. This raises doubts whether the exemption is restricted to income attributable to the procurement of data centre services alone and not to sale/ provision of cloud computing or AI services to Indian or foreign customers by utilising such input data centre services. </w:t>
            </w:r>
            <w:r w:rsidRPr="002A27E6">
              <w:rPr>
                <w:rFonts w:ascii="Calibri" w:hAnsi="Calibri" w:cs="Calibri"/>
              </w:rPr>
              <w:t>T</w:t>
            </w:r>
            <w:r w:rsidRPr="002A27E6">
              <w:rPr>
                <w:rFonts w:ascii="Calibri" w:hAnsi="Calibri" w:cs="Calibri"/>
                <w:color w:val="000000" w:themeColor="text1"/>
              </w:rPr>
              <w:t>his aspect can create considerable uncertainty in the minds of foreign investors. Hence, it is recommended to clarify that any income earned through or by means of or in consequence of or by reason of such specified activity shall be exempt.</w:t>
            </w:r>
          </w:p>
          <w:p w14:paraId="2CB4435B" w14:textId="77777777" w:rsidR="00DC67DD" w:rsidRPr="002A27E6" w:rsidRDefault="00674D31" w:rsidP="00DC67DD">
            <w:pPr>
              <w:pStyle w:val="ListParagraph"/>
              <w:widowControl/>
              <w:numPr>
                <w:ilvl w:val="0"/>
                <w:numId w:val="5"/>
              </w:numPr>
              <w:autoSpaceDE/>
              <w:autoSpaceDN/>
              <w:spacing w:before="120" w:after="120" w:line="276" w:lineRule="auto"/>
              <w:contextualSpacing w:val="0"/>
              <w:jc w:val="both"/>
              <w:rPr>
                <w:rFonts w:ascii="Calibri" w:hAnsi="Calibri" w:cs="Calibri"/>
                <w:b/>
                <w:bCs/>
              </w:rPr>
            </w:pPr>
            <w:r w:rsidRPr="002A27E6">
              <w:rPr>
                <w:rFonts w:ascii="Calibri" w:hAnsi="Calibri" w:cs="Calibri"/>
                <w:color w:val="000000" w:themeColor="text1"/>
              </w:rPr>
              <w:t xml:space="preserve">The exemption is not available if foreign company owns or operates any of the physical infrastructure or any resources of the specified data centre. Typically, in data centre business, the software on the physical infrastructure, once installed will run the infrastructure without any human interference. Thus, it is possible for foreign company to access the data centre remotely for the purposes of rendering data centre or embedded services like AI or cloud computing to its global or Indian customers by installing its own software and running different applications. This is a standard feature in which data centre services are availed and cannot be regarded as “operating” of any of the resources of the data centre. Any narrow view on this aspect will defeat the intent of granting exemption to foreign company availing data centre services from Indian data centre to provide such services to global customers. To avoid any such potential litigation, it is recommended to clarify that remote access to foreign company to specified data centre by installing its own software, operating system, applications, etc (in which IPR may also belong to the foreign company) will not be regarded as breach of the condition of “operation” of “resources” of the specified data centre. </w:t>
            </w:r>
          </w:p>
          <w:p w14:paraId="58AE74D1" w14:textId="609E1C65" w:rsidR="00674D31" w:rsidRPr="002A27E6" w:rsidRDefault="00674D31" w:rsidP="00DC67DD">
            <w:pPr>
              <w:pStyle w:val="ListParagraph"/>
              <w:widowControl/>
              <w:numPr>
                <w:ilvl w:val="0"/>
                <w:numId w:val="5"/>
              </w:numPr>
              <w:autoSpaceDE/>
              <w:autoSpaceDN/>
              <w:spacing w:before="120" w:after="120" w:line="276" w:lineRule="auto"/>
              <w:contextualSpacing w:val="0"/>
              <w:jc w:val="both"/>
              <w:rPr>
                <w:rFonts w:ascii="Calibri" w:hAnsi="Calibri" w:cs="Calibri"/>
                <w:b/>
                <w:bCs/>
              </w:rPr>
            </w:pPr>
            <w:r w:rsidRPr="002A27E6">
              <w:rPr>
                <w:rFonts w:ascii="Calibri" w:hAnsi="Calibri" w:cs="Calibri"/>
                <w:color w:val="000000" w:themeColor="text1"/>
              </w:rPr>
              <w:lastRenderedPageBreak/>
              <w:t>For providing services to global and Indian customers on a massive scale at a consistent service level, the foreign entity will need to perform oversight/ stewardship function over the specified data centre. It may also involve technology transfer and technical supervision to ensure that the data centre is developed as per global standards ensuring compliance with data protection compliance regulations of the global customer’s jurisdictions. This requires not only best in class physical infrastructure but also ensuring that the specified data centre has technically competent people. To avoid any litigation on the aspect whether such oversight/ stewardship function results in “operation” of “resources” (i.e. human resources) of specified data centre, it is recommended to clarify that such functions will not be regarded as violation of exemption condition.</w:t>
            </w:r>
          </w:p>
        </w:tc>
      </w:tr>
      <w:tr w:rsidR="00751048" w:rsidRPr="002A27E6" w14:paraId="06BE42ED" w14:textId="77777777" w:rsidTr="002E68DE">
        <w:tc>
          <w:tcPr>
            <w:tcW w:w="885" w:type="dxa"/>
          </w:tcPr>
          <w:p w14:paraId="048D42CF" w14:textId="77777777" w:rsidR="00751048" w:rsidRPr="002A27E6" w:rsidRDefault="00751048" w:rsidP="00751048">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3A0F3FD3" w14:textId="77777777" w:rsidR="00751048" w:rsidRPr="002A27E6" w:rsidRDefault="00751048" w:rsidP="00751048">
            <w:pPr>
              <w:spacing w:before="120" w:after="120" w:line="276" w:lineRule="auto"/>
              <w:rPr>
                <w:rFonts w:ascii="Calibri" w:hAnsi="Calibri" w:cs="Calibri"/>
                <w:b/>
                <w:bCs/>
                <w:color w:val="000000" w:themeColor="text1"/>
                <w:lang w:val="en-IN"/>
              </w:rPr>
            </w:pPr>
            <w:r w:rsidRPr="002A27E6">
              <w:rPr>
                <w:rFonts w:ascii="Calibri" w:hAnsi="Calibri" w:cs="Calibri"/>
                <w:b/>
                <w:bCs/>
                <w:color w:val="000000" w:themeColor="text1"/>
                <w:lang w:val="en-IN"/>
              </w:rPr>
              <w:t>Exemption to foreign company on income arising from providing capital goods, equipment tooling to an electronic goods manufacturer located in custom bonded area</w:t>
            </w:r>
          </w:p>
          <w:p w14:paraId="7610441C" w14:textId="77777777" w:rsidR="00751048" w:rsidRPr="002A27E6" w:rsidRDefault="00751048" w:rsidP="00751048">
            <w:pPr>
              <w:spacing w:before="120" w:after="120" w:line="276" w:lineRule="auto"/>
              <w:rPr>
                <w:rFonts w:ascii="Calibri" w:hAnsi="Calibri" w:cs="Calibri"/>
                <w:b/>
                <w:bCs/>
                <w:color w:val="000000" w:themeColor="text1"/>
                <w:lang w:val="en-IN"/>
              </w:rPr>
            </w:pPr>
            <w:r w:rsidRPr="002A27E6">
              <w:rPr>
                <w:rFonts w:ascii="Calibri" w:hAnsi="Calibri" w:cs="Calibri"/>
                <w:b/>
                <w:bCs/>
                <w:color w:val="000000" w:themeColor="text1"/>
                <w:lang w:val="en-IN"/>
              </w:rPr>
              <w:t>(</w:t>
            </w:r>
            <w:r w:rsidRPr="002A27E6">
              <w:rPr>
                <w:rFonts w:ascii="Calibri" w:hAnsi="Calibri" w:cs="Calibri"/>
                <w:b/>
                <w:bCs/>
                <w:color w:val="000000" w:themeColor="text1"/>
              </w:rPr>
              <w:t xml:space="preserve">Clause 13A in Table to </w:t>
            </w:r>
            <w:r w:rsidRPr="002A27E6">
              <w:rPr>
                <w:rFonts w:ascii="Calibri" w:hAnsi="Calibri" w:cs="Calibri"/>
                <w:b/>
                <w:bCs/>
                <w:color w:val="000000" w:themeColor="text1"/>
                <w:lang w:val="en-IN"/>
              </w:rPr>
              <w:t>S.11 r. w. Schedule IV of ITA 2025)</w:t>
            </w:r>
          </w:p>
          <w:p w14:paraId="3A48ADBB" w14:textId="6911EACB" w:rsidR="00751048" w:rsidRPr="002A27E6" w:rsidRDefault="00751048" w:rsidP="00751048">
            <w:pPr>
              <w:spacing w:before="120" w:after="120" w:line="276" w:lineRule="auto"/>
              <w:rPr>
                <w:rFonts w:ascii="Calibri" w:hAnsi="Calibri" w:cs="Calibri"/>
                <w:b/>
                <w:bCs/>
                <w:color w:val="000000" w:themeColor="text1"/>
                <w:lang w:val="en-IN"/>
              </w:rPr>
            </w:pPr>
            <w:r w:rsidRPr="002A27E6">
              <w:rPr>
                <w:rFonts w:ascii="Calibri" w:hAnsi="Calibri" w:cs="Calibri"/>
                <w:b/>
                <w:color w:val="000000" w:themeColor="text1"/>
              </w:rPr>
              <w:t>(corresponding S.10 of ITA 1961)</w:t>
            </w:r>
          </w:p>
        </w:tc>
        <w:tc>
          <w:tcPr>
            <w:tcW w:w="9984" w:type="dxa"/>
          </w:tcPr>
          <w:p w14:paraId="6F695B10" w14:textId="77777777" w:rsidR="00751048" w:rsidRPr="002A27E6" w:rsidRDefault="00751048" w:rsidP="00751048">
            <w:pPr>
              <w:widowControl/>
              <w:autoSpaceDE/>
              <w:autoSpaceDN/>
              <w:spacing w:before="120" w:after="120" w:line="276" w:lineRule="auto"/>
              <w:jc w:val="both"/>
              <w:rPr>
                <w:rFonts w:ascii="Calibri" w:hAnsi="Calibri" w:cs="Calibri"/>
                <w:b/>
                <w:bCs/>
                <w:color w:val="000000" w:themeColor="text1"/>
                <w:lang w:val="en-IN"/>
              </w:rPr>
            </w:pPr>
            <w:r w:rsidRPr="002A27E6">
              <w:rPr>
                <w:rFonts w:ascii="Calibri" w:hAnsi="Calibri" w:cs="Calibri"/>
                <w:b/>
                <w:bCs/>
                <w:color w:val="000000" w:themeColor="text1"/>
                <w:lang w:val="en-IN"/>
              </w:rPr>
              <w:t>Rationale</w:t>
            </w:r>
          </w:p>
          <w:p w14:paraId="37D7758A" w14:textId="77777777" w:rsidR="00751048" w:rsidRPr="002A27E6" w:rsidRDefault="00751048" w:rsidP="00751048">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lang w:val="en-IN"/>
              </w:rPr>
            </w:pPr>
            <w:r w:rsidRPr="002A27E6">
              <w:rPr>
                <w:rFonts w:ascii="Calibri" w:hAnsi="Calibri" w:cs="Calibri"/>
                <w:color w:val="000000" w:themeColor="text1"/>
                <w:lang w:val="en-IN"/>
              </w:rPr>
              <w:t>Finance Bill 2026 proposes to introduce a new entry, Sl. No. 13A in the Table to Schedule IV of ITA 2025 to provide exemption in respect of any income arising to a foreign company on account of providing capital goods, equipment or tooling (CET) to a contract manufacturer (being a company resident in India) for use in electronic manufacturing in India.</w:t>
            </w:r>
          </w:p>
          <w:p w14:paraId="5FC50B5E" w14:textId="77777777" w:rsidR="00751048" w:rsidRPr="002A27E6" w:rsidRDefault="00751048" w:rsidP="00751048">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lang w:val="en-IN"/>
              </w:rPr>
            </w:pPr>
            <w:r w:rsidRPr="002A27E6">
              <w:rPr>
                <w:rFonts w:ascii="Calibri" w:hAnsi="Calibri" w:cs="Calibri"/>
                <w:color w:val="000000" w:themeColor="text1"/>
                <w:lang w:val="en-IN"/>
              </w:rPr>
              <w:t>The proposal to provide exemption to foreign company on the activity of providing capital goods, equipment or tooling to contract manufacturer producing electronic goods is welcome. It will save the capital investment for the Indian contract manufacturer on such capital equipment and also provide tax certainty to the foreign OEMs.</w:t>
            </w:r>
          </w:p>
          <w:p w14:paraId="255205FE" w14:textId="77777777" w:rsidR="00751048" w:rsidRPr="002A27E6" w:rsidRDefault="00751048" w:rsidP="00751048">
            <w:pPr>
              <w:pStyle w:val="ListParagraph"/>
              <w:widowControl/>
              <w:numPr>
                <w:ilvl w:val="0"/>
                <w:numId w:val="5"/>
              </w:numPr>
              <w:autoSpaceDE/>
              <w:autoSpaceDN/>
              <w:spacing w:before="120" w:after="120" w:line="276" w:lineRule="auto"/>
              <w:contextualSpacing w:val="0"/>
              <w:jc w:val="both"/>
              <w:rPr>
                <w:rFonts w:ascii="Calibri" w:hAnsi="Calibri" w:cs="Calibri"/>
                <w:color w:val="000000" w:themeColor="text1"/>
                <w:lang w:val="en-IN"/>
              </w:rPr>
            </w:pPr>
            <w:r w:rsidRPr="002A27E6">
              <w:rPr>
                <w:rFonts w:ascii="Calibri" w:hAnsi="Calibri" w:cs="Calibri"/>
                <w:color w:val="000000" w:themeColor="text1"/>
              </w:rPr>
              <w:t xml:space="preserve">The exemption is restricted to income arising on account of provisioning of CET to a contract manufacturer being Indian resident company. The exemption is available subject to satisfaction of following cumulative conditions: </w:t>
            </w:r>
          </w:p>
          <w:p w14:paraId="56BCA9E1" w14:textId="77777777" w:rsidR="00751048" w:rsidRPr="002A27E6" w:rsidRDefault="00751048" w:rsidP="00751048">
            <w:pPr>
              <w:widowControl/>
              <w:numPr>
                <w:ilvl w:val="3"/>
                <w:numId w:val="13"/>
              </w:numPr>
              <w:tabs>
                <w:tab w:val="clear" w:pos="1152"/>
              </w:tabs>
              <w:autoSpaceDE/>
              <w:autoSpaceDN/>
              <w:spacing w:after="120" w:line="276" w:lineRule="auto"/>
              <w:ind w:left="1170" w:hanging="567"/>
              <w:rPr>
                <w:rFonts w:ascii="Calibri" w:hAnsi="Calibri" w:cs="Calibri"/>
                <w:color w:val="000000" w:themeColor="text1"/>
              </w:rPr>
            </w:pPr>
            <w:r w:rsidRPr="002A27E6">
              <w:rPr>
                <w:rFonts w:ascii="Calibri" w:hAnsi="Calibri" w:cs="Calibri"/>
                <w:color w:val="000000" w:themeColor="text1"/>
              </w:rPr>
              <w:t>Ownership of CET to remain with foreign company during the period of contract manufacturing arrangement</w:t>
            </w:r>
          </w:p>
          <w:p w14:paraId="1ECDF6F4" w14:textId="77777777" w:rsidR="00751048" w:rsidRPr="002A27E6" w:rsidRDefault="00751048" w:rsidP="00751048">
            <w:pPr>
              <w:widowControl/>
              <w:numPr>
                <w:ilvl w:val="3"/>
                <w:numId w:val="13"/>
              </w:numPr>
              <w:tabs>
                <w:tab w:val="clear" w:pos="1152"/>
              </w:tabs>
              <w:autoSpaceDE/>
              <w:autoSpaceDN/>
              <w:spacing w:after="120" w:line="276" w:lineRule="auto"/>
              <w:ind w:left="1170" w:hanging="567"/>
              <w:rPr>
                <w:rFonts w:ascii="Calibri" w:hAnsi="Calibri" w:cs="Calibri"/>
                <w:color w:val="000000" w:themeColor="text1"/>
              </w:rPr>
            </w:pPr>
            <w:r w:rsidRPr="002A27E6">
              <w:rPr>
                <w:rFonts w:ascii="Calibri" w:hAnsi="Calibri" w:cs="Calibri"/>
                <w:color w:val="000000" w:themeColor="text1"/>
              </w:rPr>
              <w:lastRenderedPageBreak/>
              <w:t>CET is under the control and direction of the contract manufacturer</w:t>
            </w:r>
          </w:p>
          <w:p w14:paraId="5E87BCCA" w14:textId="77777777" w:rsidR="00751048" w:rsidRPr="002A27E6" w:rsidRDefault="00751048" w:rsidP="00751048">
            <w:pPr>
              <w:widowControl/>
              <w:numPr>
                <w:ilvl w:val="3"/>
                <w:numId w:val="13"/>
              </w:numPr>
              <w:tabs>
                <w:tab w:val="clear" w:pos="1152"/>
              </w:tabs>
              <w:autoSpaceDE/>
              <w:autoSpaceDN/>
              <w:spacing w:after="120" w:line="276" w:lineRule="auto"/>
              <w:ind w:left="1170" w:hanging="567"/>
              <w:rPr>
                <w:rFonts w:ascii="Calibri" w:hAnsi="Calibri" w:cs="Calibri"/>
                <w:color w:val="000000" w:themeColor="text1"/>
              </w:rPr>
            </w:pPr>
            <w:r w:rsidRPr="002A27E6">
              <w:rPr>
                <w:rFonts w:ascii="Calibri" w:hAnsi="Calibri" w:cs="Calibri"/>
                <w:color w:val="000000" w:themeColor="text1"/>
              </w:rPr>
              <w:t>Contract manufacturer is located in a custom bonded area (i.e. a warehouse referred to in section 65 of the Customs Act, 1962)</w:t>
            </w:r>
          </w:p>
          <w:p w14:paraId="18627C88" w14:textId="77777777" w:rsidR="00751048" w:rsidRPr="002A27E6" w:rsidRDefault="00751048" w:rsidP="00751048">
            <w:pPr>
              <w:widowControl/>
              <w:numPr>
                <w:ilvl w:val="3"/>
                <w:numId w:val="13"/>
              </w:numPr>
              <w:tabs>
                <w:tab w:val="clear" w:pos="1152"/>
              </w:tabs>
              <w:autoSpaceDE/>
              <w:autoSpaceDN/>
              <w:spacing w:after="120" w:line="276" w:lineRule="auto"/>
              <w:ind w:left="1170" w:hanging="567"/>
              <w:rPr>
                <w:rFonts w:ascii="Calibri" w:hAnsi="Calibri" w:cs="Calibri"/>
                <w:color w:val="000000" w:themeColor="text1"/>
              </w:rPr>
            </w:pPr>
            <w:r w:rsidRPr="002A27E6">
              <w:rPr>
                <w:rFonts w:ascii="Calibri" w:hAnsi="Calibri" w:cs="Calibri"/>
                <w:color w:val="000000" w:themeColor="text1"/>
              </w:rPr>
              <w:t>Contract manufacturer produces electronic goods on behalf of foreign company for a consideration</w:t>
            </w:r>
          </w:p>
          <w:p w14:paraId="15503D82" w14:textId="77777777" w:rsidR="00751048" w:rsidRPr="002A27E6" w:rsidRDefault="00751048" w:rsidP="00751048">
            <w:pPr>
              <w:widowControl/>
              <w:autoSpaceDE/>
              <w:autoSpaceDN/>
              <w:spacing w:before="120" w:after="120" w:line="276" w:lineRule="auto"/>
              <w:jc w:val="both"/>
              <w:rPr>
                <w:rFonts w:ascii="Calibri" w:hAnsi="Calibri" w:cs="Calibri"/>
                <w:b/>
                <w:bCs/>
                <w:color w:val="000000" w:themeColor="text1"/>
                <w:lang w:val="en-IN"/>
              </w:rPr>
            </w:pPr>
            <w:r w:rsidRPr="002A27E6">
              <w:rPr>
                <w:rFonts w:ascii="Calibri" w:hAnsi="Calibri" w:cs="Calibri"/>
                <w:b/>
                <w:bCs/>
                <w:color w:val="000000" w:themeColor="text1"/>
                <w:lang w:val="en-IN"/>
              </w:rPr>
              <w:t>Recommendation</w:t>
            </w:r>
          </w:p>
          <w:p w14:paraId="42545E5F" w14:textId="77777777" w:rsidR="00751048" w:rsidRPr="002A27E6" w:rsidRDefault="00751048" w:rsidP="00751048">
            <w:pPr>
              <w:widowControl/>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 xml:space="preserve">To </w:t>
            </w:r>
            <w:r w:rsidRPr="002A27E6">
              <w:rPr>
                <w:rFonts w:ascii="Calibri" w:hAnsi="Calibri" w:cs="Calibri"/>
                <w:color w:val="000000" w:themeColor="text1"/>
                <w:lang w:val="en-US"/>
              </w:rPr>
              <w:t>derive</w:t>
            </w:r>
            <w:r w:rsidRPr="002A27E6">
              <w:rPr>
                <w:rFonts w:ascii="Calibri" w:hAnsi="Calibri" w:cs="Calibri"/>
                <w:color w:val="000000" w:themeColor="text1"/>
                <w:lang w:val="en-IN"/>
              </w:rPr>
              <w:t xml:space="preserve"> better benefits of the proposal and attract more investment for manufacture in India, it is recommended that certain restrictions contained in the provision be reconsidered and liberalised as follows :-</w:t>
            </w:r>
          </w:p>
          <w:p w14:paraId="39B53A8E" w14:textId="77777777" w:rsidR="00751048" w:rsidRPr="002A27E6" w:rsidRDefault="00751048" w:rsidP="00751048">
            <w:pPr>
              <w:widowControl/>
              <w:numPr>
                <w:ilvl w:val="0"/>
                <w:numId w:val="9"/>
              </w:numPr>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The exemption is available only if the contract manufacturer is located in custom bonded area and not in Domestic Tariff Area (DTA). This restricts the benefit to a limited class of contract manufacturers operating from customs bonded area and catering exclusively to export market. It leaves uncertainty open for contract manufacturing in DTA even if majority of the production is exported. Since the intention is to provide impetus to manufacture in any part of India, it is recommended that this condition may be omitted.</w:t>
            </w:r>
          </w:p>
          <w:p w14:paraId="78941D78" w14:textId="77777777" w:rsidR="00751048" w:rsidRPr="002A27E6" w:rsidRDefault="00751048" w:rsidP="00751048">
            <w:pPr>
              <w:widowControl/>
              <w:numPr>
                <w:ilvl w:val="0"/>
                <w:numId w:val="9"/>
              </w:numPr>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Another condition is that contract manufacturer should produce the electronic goods “on behalf of” the foreign company for a consideration. This raises doubts whether contract manufacture on principal-to-principal basis will not qualify. Hence, it is suggested to add “or for” after “on behalf of” to clarify that P2P manufacture is also covered. Furthermore, based on group structure and division of business activities, it is possible that capital equipment may be provided by one group entity whereas the manufactured goods may be purchased by another reseller group entity. Hence, it is recommended to add “or its associated enterprise” by borrowing the definition from s.162. Accordingly, it is recommended that the condition may be modified as follows :-</w:t>
            </w:r>
          </w:p>
          <w:p w14:paraId="653B7429" w14:textId="77777777" w:rsidR="00751048" w:rsidRPr="002A27E6" w:rsidRDefault="00751048" w:rsidP="00751048">
            <w:pPr>
              <w:widowControl/>
              <w:autoSpaceDE/>
              <w:autoSpaceDN/>
              <w:spacing w:before="120" w:after="120" w:line="276" w:lineRule="auto"/>
              <w:ind w:left="720"/>
              <w:jc w:val="both"/>
              <w:rPr>
                <w:rFonts w:ascii="Calibri" w:hAnsi="Calibri" w:cs="Calibri"/>
                <w:color w:val="000000" w:themeColor="text1"/>
                <w:lang w:val="en-IN"/>
              </w:rPr>
            </w:pPr>
            <w:r w:rsidRPr="002A27E6">
              <w:rPr>
                <w:rFonts w:ascii="Calibri" w:hAnsi="Calibri" w:cs="Calibri"/>
                <w:color w:val="000000" w:themeColor="text1"/>
                <w:lang w:val="en-IN"/>
              </w:rPr>
              <w:lastRenderedPageBreak/>
              <w:t xml:space="preserve">“(d) the contract manufacturer produces electronic goods, on behalf of or for the foreign company or its associated enterprise, for a consideration </w:t>
            </w:r>
          </w:p>
          <w:p w14:paraId="34E43491" w14:textId="77777777" w:rsidR="00751048" w:rsidRPr="002A27E6" w:rsidRDefault="00751048" w:rsidP="00751048">
            <w:pPr>
              <w:widowControl/>
              <w:autoSpaceDE/>
              <w:autoSpaceDN/>
              <w:spacing w:before="120" w:after="120" w:line="276" w:lineRule="auto"/>
              <w:ind w:left="720"/>
              <w:jc w:val="both"/>
              <w:rPr>
                <w:rFonts w:ascii="Calibri" w:hAnsi="Calibri" w:cs="Calibri"/>
                <w:color w:val="000000" w:themeColor="text1"/>
                <w:u w:val="single"/>
                <w:lang w:val="en-IN"/>
              </w:rPr>
            </w:pPr>
            <w:r w:rsidRPr="002A27E6">
              <w:rPr>
                <w:rFonts w:ascii="Calibri" w:hAnsi="Calibri" w:cs="Calibri"/>
                <w:color w:val="000000" w:themeColor="text1"/>
                <w:u w:val="single"/>
                <w:lang w:val="en-IN"/>
              </w:rPr>
              <w:t>To insert a note below the Table</w:t>
            </w:r>
          </w:p>
          <w:p w14:paraId="31C17931" w14:textId="77777777" w:rsidR="00751048" w:rsidRPr="002A27E6" w:rsidRDefault="00751048" w:rsidP="00751048">
            <w:pPr>
              <w:widowControl/>
              <w:autoSpaceDE/>
              <w:autoSpaceDN/>
              <w:spacing w:before="120" w:after="120" w:line="276" w:lineRule="auto"/>
              <w:ind w:left="720"/>
              <w:jc w:val="both"/>
              <w:rPr>
                <w:rFonts w:ascii="Calibri" w:hAnsi="Calibri" w:cs="Calibri"/>
                <w:color w:val="000000" w:themeColor="text1"/>
                <w:lang w:val="en-IN"/>
              </w:rPr>
            </w:pPr>
            <w:r w:rsidRPr="002A27E6">
              <w:rPr>
                <w:rFonts w:ascii="Calibri" w:hAnsi="Calibri" w:cs="Calibri"/>
                <w:color w:val="000000" w:themeColor="text1"/>
                <w:lang w:val="en-IN"/>
              </w:rPr>
              <w:t xml:space="preserve">“Note ….- For the purposes of Sl. No. 13A, “associated enterprise” shall have the same meaning as provided in section 162 of the ITA, 2025. </w:t>
            </w:r>
          </w:p>
          <w:p w14:paraId="66531076" w14:textId="77777777" w:rsidR="00751048" w:rsidRPr="002A27E6" w:rsidRDefault="00751048" w:rsidP="00751048">
            <w:pPr>
              <w:widowControl/>
              <w:numPr>
                <w:ilvl w:val="0"/>
                <w:numId w:val="9"/>
              </w:numPr>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 xml:space="preserve">The exemption is available up to tax year 2030-31 only. This will make it difficult for new units which are set up in next few years (-say, 2027-28 or 2028-29) to avail the benefit. The foreign OEMs will be hesitant to provide the capital equipment for such short periods. Since the intent is to create a stable and long term manufacturing base in India, it is recommended to extend the benefit till 2046-27 on lines of data centre operations benefit. </w:t>
            </w:r>
          </w:p>
          <w:p w14:paraId="1BAB5988" w14:textId="77777777" w:rsidR="00751048" w:rsidRPr="002A27E6" w:rsidRDefault="00751048" w:rsidP="00751048">
            <w:pPr>
              <w:widowControl/>
              <w:numPr>
                <w:ilvl w:val="0"/>
                <w:numId w:val="9"/>
              </w:numPr>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The exemption is available only if ownership of capital goods is with foreign company. However, it is not uncommon for the foreign company to procure such capital goods on finance or operating lease as a measure of prudent capital financing structure. The benefit may be denied in such cases on a literal interpretation of the provision. Since the legislative intent of the provision is to relieve the Indian contract manufacturer from heavy investment in capital goods thereby reducing the cost of manufacture and enhancing export competitiveness, the ownership condition may be liberalised to include capital goods procured on finance or operating lease by the foreign company.</w:t>
            </w:r>
          </w:p>
          <w:p w14:paraId="17968802" w14:textId="77777777" w:rsidR="00751048" w:rsidRPr="002A27E6" w:rsidRDefault="00751048" w:rsidP="00751048">
            <w:pPr>
              <w:widowControl/>
              <w:numPr>
                <w:ilvl w:val="0"/>
                <w:numId w:val="9"/>
              </w:numPr>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 xml:space="preserve">While exemption is made conditional upon manufacture of “electronic goods”, the term “electronic goods” itself is not defined which can give rise to ambiguity and potential for litigation. In the context of salary perquisite taxation for transfer of assets to employees under Rule 3(7)(viii), CBDT Circular No. 15/2001 dated 12 December 2001 clarifies that the lower perquisite valuation with respect to computers and electronic gadgets (with 50% depreciation) owing to higher degree of obsolescence applies to data storage and handling devices like computer, digital diaries and printers. They do not include household appliances (i.e. white goods) like washing machines, microwave ovens, mixers, hot plates, ovens, etc. </w:t>
            </w:r>
            <w:r w:rsidRPr="002A27E6">
              <w:rPr>
                <w:rFonts w:ascii="Calibri" w:hAnsi="Calibri" w:cs="Calibri"/>
                <w:color w:val="000000" w:themeColor="text1"/>
                <w:lang w:val="en-IN"/>
              </w:rPr>
              <w:lastRenderedPageBreak/>
              <w:t xml:space="preserve">Considering the legislative object of incentivising electronic manufacturing in India, it may be clarified that electronic goods will include computers, laptops, tablets, mobiles, smart watches, printers, networking equipment like routers, etc and any components, assemblies or sub-assemblies of such items. </w:t>
            </w:r>
          </w:p>
          <w:p w14:paraId="2B1A3325" w14:textId="77777777" w:rsidR="00AB6A7D" w:rsidRPr="002A27E6" w:rsidRDefault="00751048" w:rsidP="00AB6A7D">
            <w:pPr>
              <w:widowControl/>
              <w:numPr>
                <w:ilvl w:val="0"/>
                <w:numId w:val="9"/>
              </w:numPr>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 xml:space="preserve">While the Budget Speech refers to “toll manufacturing”, the text of the provision refers to “contract manufacturer” which is not defined. The commercial understanding of these terms is different. Even legislature makes a distinction in s.194C of ITA 1961 [S. 402(47) of the ITA, 2025 </w:t>
            </w:r>
            <w:proofErr w:type="spellStart"/>
            <w:r w:rsidRPr="002A27E6">
              <w:rPr>
                <w:rFonts w:ascii="Calibri" w:hAnsi="Calibri" w:cs="Calibri"/>
                <w:color w:val="000000" w:themeColor="text1"/>
                <w:lang w:val="en-IN"/>
              </w:rPr>
              <w:t>r.w</w:t>
            </w:r>
            <w:proofErr w:type="spellEnd"/>
            <w:r w:rsidRPr="002A27E6">
              <w:rPr>
                <w:rFonts w:ascii="Calibri" w:hAnsi="Calibri" w:cs="Calibri"/>
                <w:color w:val="000000" w:themeColor="text1"/>
                <w:lang w:val="en-IN"/>
              </w:rPr>
              <w:t xml:space="preserve"> Section 393(1) &amp; its Table: Sl. No. 6(i)] in context of definition of “work”. Manufacturing or supplying a product according to the requirement or specification of a customer by using material purchased from such customer or its associate </w:t>
            </w:r>
            <w:r w:rsidRPr="002A27E6">
              <w:rPr>
                <w:rFonts w:ascii="Calibri" w:hAnsi="Calibri" w:cs="Calibri"/>
              </w:rPr>
              <w:t>as defined u/s. 40A(2)(b)</w:t>
            </w:r>
            <w:r w:rsidRPr="002A27E6">
              <w:rPr>
                <w:rFonts w:ascii="Calibri" w:hAnsi="Calibri" w:cs="Calibri"/>
                <w:color w:val="000000" w:themeColor="text1"/>
                <w:lang w:val="en-IN"/>
              </w:rPr>
              <w:t xml:space="preserve"> is considered as “work” attracting TDS u/s. 194C of ITA 1961. On the other hand, manufacturing or supplying a product according to the requirement or specification of a customer by using material purchased from a person, other than such customer or its associate is excluded from “work” thereby not attracting TDS u/s. 194C of ITA 1961 . The former is toll manufacturing whereas latter is contract manufacture. If the intent is to cover both types of activities, it may be clarified by providing a specific definition by combining the two types of activities specified in s.194C of ITA 1961.</w:t>
            </w:r>
          </w:p>
          <w:p w14:paraId="113DB10F" w14:textId="6007ECF4" w:rsidR="00751048" w:rsidRPr="002A27E6" w:rsidRDefault="00751048" w:rsidP="00AB6A7D">
            <w:pPr>
              <w:widowControl/>
              <w:numPr>
                <w:ilvl w:val="0"/>
                <w:numId w:val="9"/>
              </w:numPr>
              <w:autoSpaceDE/>
              <w:autoSpaceDN/>
              <w:spacing w:before="120" w:after="120" w:line="276" w:lineRule="auto"/>
              <w:jc w:val="both"/>
              <w:rPr>
                <w:rFonts w:ascii="Calibri" w:hAnsi="Calibri" w:cs="Calibri"/>
                <w:color w:val="000000" w:themeColor="text1"/>
                <w:lang w:val="en-IN"/>
              </w:rPr>
            </w:pPr>
            <w:r w:rsidRPr="002A27E6">
              <w:rPr>
                <w:rFonts w:ascii="Calibri" w:hAnsi="Calibri" w:cs="Calibri"/>
                <w:color w:val="000000" w:themeColor="text1"/>
                <w:lang w:val="en-IN"/>
              </w:rPr>
              <w:t>The toll or contract manufacture through capital goods provided by foreign OEM implicitly involves use of IPR or technology of the OEM either in manufacturing process or in the manufactured goods. Hence, it may be clarified that capital goods also include intangible capital goods like know how or patent. This will avoid the controversy of attribution of any notional royalty income in the hands of the foreign company.</w:t>
            </w:r>
          </w:p>
        </w:tc>
      </w:tr>
      <w:tr w:rsidR="00977542" w:rsidRPr="002A27E6" w14:paraId="53C731F0" w14:textId="77777777" w:rsidTr="002E68DE">
        <w:tc>
          <w:tcPr>
            <w:tcW w:w="885" w:type="dxa"/>
          </w:tcPr>
          <w:p w14:paraId="144B1067" w14:textId="77777777" w:rsidR="00977542" w:rsidRPr="002A27E6" w:rsidRDefault="00977542" w:rsidP="00977542">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6B14C987" w14:textId="77777777" w:rsidR="00977542" w:rsidRPr="002A27E6" w:rsidRDefault="00977542" w:rsidP="00977542">
            <w:pPr>
              <w:widowControl/>
              <w:autoSpaceDE/>
              <w:autoSpaceDN/>
              <w:spacing w:before="120" w:after="120" w:line="276" w:lineRule="auto"/>
              <w:jc w:val="both"/>
              <w:rPr>
                <w:rFonts w:ascii="Calibri" w:hAnsi="Calibri" w:cs="Calibri"/>
                <w:b/>
                <w:bCs/>
              </w:rPr>
            </w:pPr>
            <w:r w:rsidRPr="002A27E6">
              <w:rPr>
                <w:rFonts w:ascii="Calibri" w:hAnsi="Calibri" w:cs="Calibri"/>
                <w:b/>
                <w:bCs/>
              </w:rPr>
              <w:t xml:space="preserve">Support amendment required for corresponding relief in hands of AE to file modified return pursuant to APA </w:t>
            </w:r>
          </w:p>
          <w:p w14:paraId="17843A67" w14:textId="77777777" w:rsidR="00977542" w:rsidRPr="002A27E6" w:rsidRDefault="00977542" w:rsidP="00977542">
            <w:pPr>
              <w:widowControl/>
              <w:autoSpaceDE/>
              <w:autoSpaceDN/>
              <w:spacing w:before="120" w:after="120" w:line="276" w:lineRule="auto"/>
              <w:jc w:val="both"/>
              <w:rPr>
                <w:rFonts w:ascii="Calibri" w:hAnsi="Calibri" w:cs="Calibri"/>
                <w:b/>
                <w:bCs/>
              </w:rPr>
            </w:pPr>
          </w:p>
          <w:p w14:paraId="46C14CB9" w14:textId="77777777" w:rsidR="00977542" w:rsidRPr="002A27E6" w:rsidRDefault="00977542" w:rsidP="00977542">
            <w:pPr>
              <w:widowControl/>
              <w:autoSpaceDE/>
              <w:autoSpaceDN/>
              <w:spacing w:before="120" w:after="120" w:line="276" w:lineRule="auto"/>
              <w:jc w:val="both"/>
              <w:rPr>
                <w:rFonts w:ascii="Calibri" w:hAnsi="Calibri" w:cs="Calibri"/>
                <w:b/>
                <w:bCs/>
              </w:rPr>
            </w:pPr>
            <w:r w:rsidRPr="002A27E6">
              <w:rPr>
                <w:rFonts w:ascii="Calibri" w:hAnsi="Calibri" w:cs="Calibri"/>
                <w:b/>
                <w:bCs/>
              </w:rPr>
              <w:t>S. 169 of ITA 2025 (S. 92CD of ITA 1961)</w:t>
            </w:r>
          </w:p>
          <w:p w14:paraId="1EC0EFF9" w14:textId="77777777" w:rsidR="00977542" w:rsidRPr="002A27E6" w:rsidRDefault="00977542" w:rsidP="00977542">
            <w:pPr>
              <w:spacing w:before="120" w:after="120" w:line="276" w:lineRule="auto"/>
              <w:rPr>
                <w:rFonts w:ascii="Calibri" w:hAnsi="Calibri" w:cs="Calibri"/>
                <w:b/>
                <w:bCs/>
                <w:color w:val="000000" w:themeColor="text1"/>
                <w:lang w:val="en-IN"/>
              </w:rPr>
            </w:pPr>
          </w:p>
        </w:tc>
        <w:tc>
          <w:tcPr>
            <w:tcW w:w="9984" w:type="dxa"/>
          </w:tcPr>
          <w:p w14:paraId="00A91DBE" w14:textId="77777777" w:rsidR="00977542" w:rsidRPr="002A27E6" w:rsidRDefault="00977542" w:rsidP="00977542">
            <w:pPr>
              <w:widowControl/>
              <w:autoSpaceDE/>
              <w:autoSpaceDN/>
              <w:spacing w:before="120" w:after="120" w:line="276" w:lineRule="auto"/>
              <w:jc w:val="both"/>
              <w:rPr>
                <w:rFonts w:ascii="Calibri" w:hAnsi="Calibri" w:cs="Calibri"/>
                <w:b/>
                <w:bCs/>
              </w:rPr>
            </w:pPr>
            <w:r w:rsidRPr="002A27E6">
              <w:rPr>
                <w:rFonts w:ascii="Calibri" w:hAnsi="Calibri" w:cs="Calibri"/>
                <w:b/>
                <w:bCs/>
              </w:rPr>
              <w:lastRenderedPageBreak/>
              <w:t>Rationale</w:t>
            </w:r>
          </w:p>
          <w:p w14:paraId="72E6AEE7" w14:textId="77777777" w:rsidR="00977542" w:rsidRPr="002A27E6" w:rsidRDefault="00977542" w:rsidP="00977542">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Section 92(3) of the Income-tax Act, 1961, and its corresponding provision, Section 161(4) under the ITA 2025, establish a clear statutory bar on permitting downward adjustments to the income of a taxpayer pursuant to transfer pricing provisions.</w:t>
            </w:r>
          </w:p>
          <w:p w14:paraId="16D0CC8E" w14:textId="77777777" w:rsidR="00977542" w:rsidRPr="002A27E6" w:rsidRDefault="00977542" w:rsidP="00977542">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lastRenderedPageBreak/>
              <w:t>The Finance Bill, 2026 introduces a change through the proposed amendment to Section 169(1) of ITA 2025. The amendment seeks to allow associated enterprises (AEs) to furnish a return or a modified return in India for the limited purpose of incorporating the outcome of an APA. This mechanism is intended to facilitate appropriate tax treatment for AEs, particularly in situations where the APA results in a corresponding adjustment that would otherwise reduce their Indian tax liability. The legislative intent of this provision is to enable the AE to obtain refund for the “excess taxes withheld or paid” as may gathered from the Explanatory Memorandum.</w:t>
            </w:r>
          </w:p>
          <w:p w14:paraId="63443388" w14:textId="77777777" w:rsidR="00977542" w:rsidRPr="002A27E6" w:rsidRDefault="00977542" w:rsidP="00977542">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However, the proposed amendment does not explicitly address the interplay between the proposed amendment to Section 169(1) of the ITA, 2025 (S. 92CD of the ITA, 1961) and the existing prohibition on downward adjustments under Section 161(4) of the ITA, 2025 (S. 92BA of the ITA, 1961). In the absence of a clear legislative override or harmonising provision, the statutory restriction in Section 161(4) may continue to operate, thereby preventing any reduction in the taxable income of an AE, despite the APA outcome and notwithstanding the ability to file a modified return.</w:t>
            </w:r>
          </w:p>
          <w:p w14:paraId="4A79E157" w14:textId="77777777" w:rsidR="00977542" w:rsidRPr="002A27E6" w:rsidRDefault="00977542" w:rsidP="00977542">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This creates a potential legislative inconsistency: the machinery provision allowing modified returns for AEs is rendered ineffective unless the substantive prohibition on downward adjustments is also addressed.</w:t>
            </w:r>
          </w:p>
          <w:p w14:paraId="40C6A6E3" w14:textId="77777777" w:rsidR="00977542" w:rsidRPr="002A27E6" w:rsidRDefault="00977542" w:rsidP="00977542">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632733F5" w14:textId="77777777" w:rsidR="00977542" w:rsidRPr="002A27E6" w:rsidRDefault="00977542" w:rsidP="00660767">
            <w:pPr>
              <w:widowControl/>
              <w:numPr>
                <w:ilvl w:val="0"/>
                <w:numId w:val="9"/>
              </w:numPr>
              <w:autoSpaceDE/>
              <w:autoSpaceDN/>
              <w:spacing w:before="120" w:after="120" w:line="276" w:lineRule="auto"/>
              <w:jc w:val="both"/>
              <w:rPr>
                <w:rFonts w:ascii="Calibri" w:hAnsi="Calibri" w:cs="Calibri"/>
                <w:b/>
                <w:bCs/>
                <w:color w:val="000000" w:themeColor="text1"/>
                <w:lang w:val="en-IN"/>
              </w:rPr>
            </w:pPr>
            <w:r w:rsidRPr="002A27E6">
              <w:rPr>
                <w:rFonts w:ascii="Calibri" w:hAnsi="Calibri" w:cs="Calibri"/>
              </w:rPr>
              <w:t>To ensure coherence in the statutory framework and to give full effect to the policy/ legislative intent underlying APAs, particularly in the context of corresponding adjustments for AEs, a consequential amendment to clarify that ALP determined under Section 168 and applied in tax return/ modified return filed under Section 169 would also override Section 161(4) is necessary.</w:t>
            </w:r>
          </w:p>
          <w:p w14:paraId="6AC2F1E8" w14:textId="1FFD3BF7" w:rsidR="00D812BA" w:rsidRPr="002A27E6" w:rsidRDefault="00D812BA" w:rsidP="00D812BA">
            <w:pPr>
              <w:widowControl/>
              <w:autoSpaceDE/>
              <w:autoSpaceDN/>
              <w:spacing w:before="120" w:after="120" w:line="276" w:lineRule="auto"/>
              <w:ind w:left="432"/>
              <w:jc w:val="both"/>
              <w:rPr>
                <w:rFonts w:ascii="Calibri" w:hAnsi="Calibri" w:cs="Calibri"/>
                <w:b/>
                <w:bCs/>
                <w:color w:val="000000" w:themeColor="text1"/>
                <w:lang w:val="en-IN"/>
              </w:rPr>
            </w:pPr>
          </w:p>
        </w:tc>
      </w:tr>
      <w:tr w:rsidR="00A0549F" w:rsidRPr="002A27E6" w14:paraId="45FC6448" w14:textId="77777777" w:rsidTr="002E68DE">
        <w:tc>
          <w:tcPr>
            <w:tcW w:w="885" w:type="dxa"/>
          </w:tcPr>
          <w:p w14:paraId="633C97B7" w14:textId="77777777" w:rsidR="00A0549F" w:rsidRPr="002A27E6" w:rsidRDefault="00A0549F" w:rsidP="00A0549F">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37FF2741" w14:textId="77777777" w:rsidR="00A0549F" w:rsidRPr="002A27E6" w:rsidRDefault="00A0549F" w:rsidP="00A0549F">
            <w:pPr>
              <w:spacing w:before="120" w:after="120" w:line="276" w:lineRule="auto"/>
              <w:rPr>
                <w:rFonts w:ascii="Calibri" w:hAnsi="Calibri" w:cs="Calibri"/>
                <w:b/>
                <w:bCs/>
              </w:rPr>
            </w:pPr>
            <w:r w:rsidRPr="002A27E6">
              <w:rPr>
                <w:rFonts w:ascii="Calibri" w:hAnsi="Calibri" w:cs="Calibri"/>
                <w:b/>
                <w:bCs/>
              </w:rPr>
              <w:t>TDS on NRI rent payment</w:t>
            </w:r>
          </w:p>
          <w:p w14:paraId="5291BC62" w14:textId="77777777" w:rsidR="00A0549F" w:rsidRPr="002A27E6" w:rsidRDefault="00A0549F" w:rsidP="00A0549F">
            <w:pPr>
              <w:spacing w:before="120" w:after="120" w:line="276" w:lineRule="auto"/>
              <w:rPr>
                <w:rFonts w:ascii="Calibri" w:hAnsi="Calibri" w:cs="Calibri"/>
                <w:b/>
                <w:bCs/>
              </w:rPr>
            </w:pPr>
          </w:p>
          <w:p w14:paraId="26953062" w14:textId="3BF4D84A" w:rsidR="00A0549F" w:rsidRPr="002A27E6" w:rsidRDefault="00A0549F" w:rsidP="00A0549F">
            <w:pPr>
              <w:widowControl/>
              <w:autoSpaceDE/>
              <w:autoSpaceDN/>
              <w:spacing w:before="120" w:after="120" w:line="276" w:lineRule="auto"/>
              <w:jc w:val="both"/>
              <w:rPr>
                <w:rFonts w:ascii="Calibri" w:hAnsi="Calibri" w:cs="Calibri"/>
                <w:b/>
                <w:bCs/>
              </w:rPr>
            </w:pPr>
            <w:r w:rsidRPr="002A27E6">
              <w:rPr>
                <w:rFonts w:ascii="Calibri" w:hAnsi="Calibri" w:cs="Calibri"/>
                <w:b/>
                <w:bCs/>
              </w:rPr>
              <w:t>(S. 393(1) &amp; its Table: Sl. No. 3(i), S. 402 of the ITA, 2025)</w:t>
            </w:r>
            <w:r w:rsidRPr="002A27E6">
              <w:rPr>
                <w:rFonts w:ascii="Calibri" w:hAnsi="Calibri" w:cs="Calibri"/>
                <w:b/>
                <w:bCs/>
              </w:rPr>
              <w:br/>
            </w:r>
            <w:r w:rsidRPr="002A27E6">
              <w:rPr>
                <w:rFonts w:ascii="Calibri" w:hAnsi="Calibri" w:cs="Calibri"/>
                <w:b/>
                <w:bCs/>
              </w:rPr>
              <w:br/>
              <w:t>(S. 194IA of the ITA, 1961)</w:t>
            </w:r>
          </w:p>
        </w:tc>
        <w:tc>
          <w:tcPr>
            <w:tcW w:w="9984" w:type="dxa"/>
          </w:tcPr>
          <w:p w14:paraId="3B1A5CCF" w14:textId="77777777" w:rsidR="00A0549F" w:rsidRPr="002A27E6" w:rsidRDefault="00A0549F" w:rsidP="00A0549F">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7D674770" w14:textId="77777777" w:rsidR="00A0549F" w:rsidRPr="002A27E6" w:rsidRDefault="00A0549F" w:rsidP="00A0549F">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omission to obtain TAN for purchase of immovable property from NRI is welcome. However, the requirement continues for payment of rent to NRI. There is also no threshold limit for deduction of tax on rent payment unlike rent payment to residents where threshold limit is Rs. 50,000 per month and one-time compliance at year end or on termination of tenancy is applicable.</w:t>
            </w:r>
          </w:p>
          <w:p w14:paraId="7E2C9682" w14:textId="77777777" w:rsidR="00A0549F" w:rsidRPr="002A27E6" w:rsidRDefault="00A0549F" w:rsidP="00A0549F">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446DDE77" w14:textId="0F96FF20" w:rsidR="00A0549F" w:rsidRPr="002A27E6" w:rsidRDefault="00A0549F" w:rsidP="00E646FA">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Hence, it is recommended that rent payment to NRI may also be made a one-time compliance without requirement of TAN on lines of rent payment to residents.</w:t>
            </w:r>
          </w:p>
        </w:tc>
      </w:tr>
      <w:tr w:rsidR="007C46D9" w:rsidRPr="002A27E6" w14:paraId="342A8F6E" w14:textId="77777777" w:rsidTr="002E68DE">
        <w:tc>
          <w:tcPr>
            <w:tcW w:w="885" w:type="dxa"/>
          </w:tcPr>
          <w:p w14:paraId="04515FBB" w14:textId="77777777" w:rsidR="007C46D9" w:rsidRPr="002A27E6" w:rsidRDefault="007C46D9" w:rsidP="007C46D9">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7B38CBDF" w14:textId="77777777" w:rsidR="007C46D9" w:rsidRPr="002A27E6" w:rsidRDefault="007C46D9" w:rsidP="007C46D9">
            <w:pPr>
              <w:widowControl/>
              <w:autoSpaceDE/>
              <w:autoSpaceDN/>
              <w:spacing w:before="120" w:after="120" w:line="276" w:lineRule="auto"/>
              <w:jc w:val="both"/>
              <w:rPr>
                <w:rFonts w:ascii="Calibri" w:hAnsi="Calibri" w:cs="Calibri"/>
                <w:b/>
                <w:bCs/>
              </w:rPr>
            </w:pPr>
            <w:r w:rsidRPr="002A27E6">
              <w:rPr>
                <w:rFonts w:ascii="Calibri" w:hAnsi="Calibri" w:cs="Calibri"/>
                <w:b/>
                <w:bCs/>
              </w:rPr>
              <w:t>Form 15G/H</w:t>
            </w:r>
          </w:p>
          <w:p w14:paraId="4CF214EF" w14:textId="77777777" w:rsidR="007C46D9" w:rsidRPr="002A27E6" w:rsidRDefault="007C46D9" w:rsidP="007C46D9">
            <w:pPr>
              <w:widowControl/>
              <w:autoSpaceDE/>
              <w:autoSpaceDN/>
              <w:spacing w:before="120" w:after="120" w:line="276" w:lineRule="auto"/>
              <w:jc w:val="both"/>
              <w:rPr>
                <w:rFonts w:ascii="Calibri" w:hAnsi="Calibri" w:cs="Calibri"/>
                <w:b/>
                <w:bCs/>
              </w:rPr>
            </w:pPr>
            <w:r w:rsidRPr="002A27E6">
              <w:rPr>
                <w:rFonts w:ascii="Calibri" w:hAnsi="Calibri" w:cs="Calibri"/>
                <w:b/>
                <w:bCs/>
              </w:rPr>
              <w:t>(s.393(7) of ITA 2025)</w:t>
            </w:r>
          </w:p>
          <w:p w14:paraId="40D24121" w14:textId="77777777" w:rsidR="007C46D9" w:rsidRPr="002A27E6" w:rsidRDefault="007C46D9" w:rsidP="007C46D9">
            <w:pPr>
              <w:spacing w:before="120" w:after="120" w:line="276" w:lineRule="auto"/>
              <w:rPr>
                <w:rFonts w:ascii="Calibri" w:hAnsi="Calibri" w:cs="Calibri"/>
                <w:b/>
                <w:bCs/>
              </w:rPr>
            </w:pPr>
          </w:p>
        </w:tc>
        <w:tc>
          <w:tcPr>
            <w:tcW w:w="9984" w:type="dxa"/>
          </w:tcPr>
          <w:p w14:paraId="7E19F674" w14:textId="77777777" w:rsidR="007C46D9" w:rsidRPr="002A27E6" w:rsidRDefault="007C46D9" w:rsidP="007C46D9">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4510B3FB" w14:textId="77777777" w:rsidR="007C46D9" w:rsidRPr="002A27E6" w:rsidRDefault="007C46D9" w:rsidP="007C46D9">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It is proposed to introduce the facility of furnishing Form 15G/H for dividends, mutual fund income and interest on listed securities through the depository which will reduce the compliance burden for small taxpayers. But similar difficulty is faced by small depositors with banks whereby they need to submit Form 15G/H to all the banks where they hold deposits to avoid TDS on interest.</w:t>
            </w:r>
          </w:p>
          <w:p w14:paraId="2CD57721" w14:textId="77777777" w:rsidR="007C46D9" w:rsidRPr="002A27E6" w:rsidRDefault="007C46D9" w:rsidP="007C46D9">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797B3C1E" w14:textId="77777777" w:rsidR="007C46D9" w:rsidRPr="002A27E6" w:rsidRDefault="007C46D9" w:rsidP="00C8738C">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The facility to submit single Form 15G/H through depository for dividend, income from mutual funds and interest on securities may also be extended to interest on fixed deposits with banks. For this purpose, the filing may be enabled through income-tax portal such that once the taxpayer logs into his account and submits Form 15G/H with relevant names &amp; IFSC/TAN of banks with which he holds deposits, it may be processed by portal and transmitted to relevant banks for compliance with intimation to taxpayer.</w:t>
            </w:r>
          </w:p>
          <w:p w14:paraId="5D1971AB" w14:textId="144809C1" w:rsidR="00D812BA" w:rsidRPr="002A27E6" w:rsidRDefault="00D812BA" w:rsidP="00D812BA">
            <w:pPr>
              <w:widowControl/>
              <w:autoSpaceDE/>
              <w:autoSpaceDN/>
              <w:spacing w:before="120" w:after="120" w:line="276" w:lineRule="auto"/>
              <w:ind w:left="432"/>
              <w:jc w:val="both"/>
              <w:rPr>
                <w:rFonts w:ascii="Calibri" w:hAnsi="Calibri" w:cs="Calibri"/>
                <w:b/>
                <w:bCs/>
              </w:rPr>
            </w:pPr>
          </w:p>
        </w:tc>
      </w:tr>
      <w:tr w:rsidR="007A27C2" w:rsidRPr="002A27E6" w14:paraId="1737247E" w14:textId="77777777" w:rsidTr="002E68DE">
        <w:tc>
          <w:tcPr>
            <w:tcW w:w="885" w:type="dxa"/>
          </w:tcPr>
          <w:p w14:paraId="74A2A57D" w14:textId="77777777" w:rsidR="007A27C2" w:rsidRPr="002A27E6" w:rsidRDefault="007A27C2" w:rsidP="007A27C2">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7510FFAE" w14:textId="77777777" w:rsidR="007A27C2" w:rsidRPr="002A27E6" w:rsidRDefault="007A27C2" w:rsidP="007A27C2">
            <w:pPr>
              <w:spacing w:before="120" w:after="120" w:line="276" w:lineRule="auto"/>
              <w:rPr>
                <w:rFonts w:ascii="Calibri" w:hAnsi="Calibri" w:cs="Calibri"/>
                <w:b/>
                <w:bCs/>
              </w:rPr>
            </w:pPr>
            <w:r w:rsidRPr="002A27E6">
              <w:rPr>
                <w:rFonts w:ascii="Calibri" w:hAnsi="Calibri" w:cs="Calibri"/>
                <w:b/>
                <w:bCs/>
              </w:rPr>
              <w:t>TDS rate on professional vs. technical services</w:t>
            </w:r>
          </w:p>
          <w:p w14:paraId="1EB3A08D" w14:textId="282DB25E" w:rsidR="007A27C2" w:rsidRPr="002A27E6" w:rsidRDefault="007A27C2" w:rsidP="007A27C2">
            <w:pPr>
              <w:widowControl/>
              <w:autoSpaceDE/>
              <w:autoSpaceDN/>
              <w:spacing w:before="120" w:after="120" w:line="276" w:lineRule="auto"/>
              <w:jc w:val="both"/>
              <w:rPr>
                <w:rFonts w:ascii="Calibri" w:hAnsi="Calibri" w:cs="Calibri"/>
                <w:b/>
                <w:bCs/>
              </w:rPr>
            </w:pPr>
            <w:r w:rsidRPr="002A27E6">
              <w:rPr>
                <w:rFonts w:ascii="Calibri" w:hAnsi="Calibri" w:cs="Calibri"/>
                <w:b/>
                <w:bCs/>
              </w:rPr>
              <w:t>Section 194J of ITA 1961 (S. 393(1), Table: Sl. No 6(iii) of ITA 2025)</w:t>
            </w:r>
          </w:p>
        </w:tc>
        <w:tc>
          <w:tcPr>
            <w:tcW w:w="9984" w:type="dxa"/>
          </w:tcPr>
          <w:p w14:paraId="7C20993C" w14:textId="77777777" w:rsidR="007A27C2" w:rsidRPr="002A27E6" w:rsidRDefault="007A27C2" w:rsidP="007A27C2">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09A391E1" w14:textId="77777777" w:rsidR="007A27C2" w:rsidRPr="002A27E6" w:rsidRDefault="007A27C2" w:rsidP="007A27C2">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 xml:space="preserve">It is proposed to clarify that supply of manpower will attract TDS @ 1%/2% as “work” instead of fees for technical services (2%) or fees for professional services (10%). This will remove ambiguity on characterisation of supply of manpower for TDS purposes. </w:t>
            </w:r>
          </w:p>
          <w:p w14:paraId="63201A9C" w14:textId="77777777" w:rsidR="007A27C2" w:rsidRPr="002A27E6" w:rsidRDefault="007A27C2" w:rsidP="007A27C2">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6C2309AD" w14:textId="61A9C383" w:rsidR="007A27C2" w:rsidRPr="002A27E6" w:rsidRDefault="007A27C2" w:rsidP="006E4BDA">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On lines of removal of ambiguity of characterisation of supply of manpower, the TDS rate on professional services under section 194J of ITA 1961 (</w:t>
            </w:r>
            <w:r w:rsidRPr="002A27E6">
              <w:rPr>
                <w:rFonts w:ascii="Calibri" w:hAnsi="Calibri" w:cs="Calibri"/>
                <w:lang w:val="en-US"/>
              </w:rPr>
              <w:t>S. 393(1), Table: Sl. No 6(iii) of ITA 2025</w:t>
            </w:r>
            <w:r w:rsidRPr="002A27E6">
              <w:rPr>
                <w:rFonts w:ascii="Calibri" w:hAnsi="Calibri" w:cs="Calibri"/>
              </w:rPr>
              <w:t xml:space="preserve">) may be reduced to 2% to avoid characterisation disputes on fees for professional services (10%) vs. fees for technical services (2%). This is because there is no bright line test to distinguish between the two and there is significant overlapping. </w:t>
            </w:r>
          </w:p>
        </w:tc>
      </w:tr>
      <w:tr w:rsidR="00EE7399" w:rsidRPr="002A27E6" w14:paraId="6B108337" w14:textId="77777777" w:rsidTr="002E68DE">
        <w:tc>
          <w:tcPr>
            <w:tcW w:w="885" w:type="dxa"/>
          </w:tcPr>
          <w:p w14:paraId="3F139E32" w14:textId="77777777" w:rsidR="00EE7399" w:rsidRPr="002A27E6" w:rsidRDefault="00EE7399" w:rsidP="00EE7399">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5ABB8EA6" w14:textId="77777777" w:rsidR="00EE7399" w:rsidRPr="002A27E6" w:rsidRDefault="00EE7399" w:rsidP="00EE7399">
            <w:pPr>
              <w:spacing w:before="120" w:after="120" w:line="276" w:lineRule="auto"/>
              <w:rPr>
                <w:rFonts w:ascii="Calibri" w:hAnsi="Calibri" w:cs="Calibri"/>
                <w:b/>
                <w:bCs/>
              </w:rPr>
            </w:pPr>
            <w:r w:rsidRPr="002A27E6">
              <w:rPr>
                <w:rFonts w:ascii="Calibri" w:hAnsi="Calibri" w:cs="Calibri"/>
                <w:b/>
                <w:bCs/>
              </w:rPr>
              <w:t>Mandatory fees in lieu of penalty for tax audit default may be reduced</w:t>
            </w:r>
          </w:p>
          <w:p w14:paraId="685C6186" w14:textId="77777777" w:rsidR="00EE7399" w:rsidRPr="002A27E6" w:rsidRDefault="00EE7399" w:rsidP="00EE7399">
            <w:pPr>
              <w:spacing w:before="120" w:after="120" w:line="276" w:lineRule="auto"/>
              <w:rPr>
                <w:rFonts w:ascii="Calibri" w:hAnsi="Calibri" w:cs="Calibri"/>
                <w:b/>
                <w:bCs/>
              </w:rPr>
            </w:pPr>
          </w:p>
          <w:p w14:paraId="6EA8BAEE" w14:textId="3B164F1C" w:rsidR="00EE7399" w:rsidRPr="002A27E6" w:rsidRDefault="00EE7399" w:rsidP="00EE7399">
            <w:pPr>
              <w:spacing w:before="120" w:after="120" w:line="276" w:lineRule="auto"/>
              <w:rPr>
                <w:rFonts w:ascii="Calibri" w:hAnsi="Calibri" w:cs="Calibri"/>
                <w:b/>
                <w:bCs/>
              </w:rPr>
            </w:pPr>
            <w:r w:rsidRPr="002A27E6">
              <w:rPr>
                <w:rFonts w:ascii="Calibri" w:hAnsi="Calibri" w:cs="Calibri"/>
                <w:b/>
                <w:bCs/>
              </w:rPr>
              <w:t>(S. 271B of ITA 1961/ S.446 of ITA 2025)</w:t>
            </w:r>
          </w:p>
        </w:tc>
        <w:tc>
          <w:tcPr>
            <w:tcW w:w="9984" w:type="dxa"/>
          </w:tcPr>
          <w:p w14:paraId="61E5C18F" w14:textId="77777777" w:rsidR="00EE7399" w:rsidRPr="002A27E6" w:rsidRDefault="00EE7399" w:rsidP="00EE7399">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463F635D" w14:textId="77777777" w:rsidR="00EE7399" w:rsidRPr="002A27E6" w:rsidRDefault="00EE7399" w:rsidP="00EE7399">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Presently, delay in furnishing tax audit report is subject to levy of penalty of an amount which is lower of 0.5% of total turnover/gross receipts or Rs. 1.50 lakhs. (S. 271B of ITA 1961/ S.446 of ITA 2025). However, this is subject to “reasonable cause” protection u/s. 273B of ITA 1961 (s.470 of ITA 2025) in terms of which if the taxpayer is able to establish that the default was caused by a reasonable cause, then the penalty does not apply. In this regard, Tribunals have liberally deleted penalty wherever taxpayers have been able to show reasonable cause like health challenge or death of partner of firm, default on part of tax auditor, natural calamity, etc.</w:t>
            </w:r>
          </w:p>
          <w:p w14:paraId="08D3CD84" w14:textId="77777777" w:rsidR="00EE7399" w:rsidRPr="002A27E6" w:rsidRDefault="00EE7399" w:rsidP="00EE7399">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It is now proposed by FB 2026 to convert the discretionary penalty into a mandatory graded fee of Rs. 75,000 for delay </w:t>
            </w:r>
            <w:proofErr w:type="spellStart"/>
            <w:r w:rsidRPr="002A27E6">
              <w:rPr>
                <w:rFonts w:ascii="Calibri" w:hAnsi="Calibri" w:cs="Calibri"/>
              </w:rPr>
              <w:t>upto</w:t>
            </w:r>
            <w:proofErr w:type="spellEnd"/>
            <w:r w:rsidRPr="002A27E6">
              <w:rPr>
                <w:rFonts w:ascii="Calibri" w:hAnsi="Calibri" w:cs="Calibri"/>
              </w:rPr>
              <w:t xml:space="preserve"> a month and Rs. 1,50,000 for delay beyond a month. This will be very harsh for small taxpayers. It may be noted that taxpayers who opt out of presumptive taxation for small businesses/professionals are required to get their accounts mandatorily tax audited. In case of </w:t>
            </w:r>
            <w:r w:rsidRPr="002A27E6">
              <w:rPr>
                <w:rFonts w:ascii="Calibri" w:hAnsi="Calibri" w:cs="Calibri"/>
              </w:rPr>
              <w:lastRenderedPageBreak/>
              <w:t xml:space="preserve">businesses, this applies mandatorily for a period of 5 years. Consider a small businessman having turnover of Rs. 1 Cr who opts out of presumptive taxation due to very low margins or losses. Presently, if he defaults in furnishing tax audit report on time, he faces penalty of Rs. 50,000 only which can also be saved by demonstrating reasonable cause. Penalty is not automatically levied at the time of furnishing tax audit report or return. However, under the new law, he will have to mandatorily pay a fee of Rs. 75,000 / Rs. 1,50,000 regardless of the reasonable cause for delay. It may be noted that no taxpayer would like to deliberately commit default. Generally, there are valid reasons for delay in furnishing tax audit report. It could also be due to glitches in the income tax return filing portal which is frequently encountered. </w:t>
            </w:r>
          </w:p>
          <w:p w14:paraId="407FF58E" w14:textId="77777777" w:rsidR="00EE7399" w:rsidRPr="002A27E6" w:rsidRDefault="00EE7399" w:rsidP="00EE7399">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5A182356" w14:textId="07FC0FB2" w:rsidR="00EE7399" w:rsidRPr="002A27E6" w:rsidRDefault="00EE7399" w:rsidP="00A67A2F">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 xml:space="preserve">To provide relief to small taxpayers, it is recommended to reduce the quantum of fees to Rs. 25,000 for delay </w:t>
            </w:r>
            <w:proofErr w:type="spellStart"/>
            <w:r w:rsidRPr="002A27E6">
              <w:rPr>
                <w:rFonts w:ascii="Calibri" w:hAnsi="Calibri" w:cs="Calibri"/>
              </w:rPr>
              <w:t>upto</w:t>
            </w:r>
            <w:proofErr w:type="spellEnd"/>
            <w:r w:rsidRPr="002A27E6">
              <w:rPr>
                <w:rFonts w:ascii="Calibri" w:hAnsi="Calibri" w:cs="Calibri"/>
              </w:rPr>
              <w:t xml:space="preserve"> one month and Rs. 50,000 thereafter.  Alternatively, the fees may be restructured on the basis of per day default – say. Rs. 500 per day subject to overall cap of lower of 0.5% of total turnover/gross receipts or Rs. 1.50 lakhs.</w:t>
            </w:r>
          </w:p>
        </w:tc>
      </w:tr>
      <w:tr w:rsidR="000D258C" w:rsidRPr="002A27E6" w14:paraId="6B905EEF" w14:textId="77777777" w:rsidTr="002E68DE">
        <w:tc>
          <w:tcPr>
            <w:tcW w:w="885" w:type="dxa"/>
          </w:tcPr>
          <w:p w14:paraId="34532F91" w14:textId="77777777" w:rsidR="000D258C" w:rsidRPr="002A27E6" w:rsidRDefault="000D258C" w:rsidP="000D258C">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765490A9" w14:textId="5C640B3E" w:rsidR="000D258C" w:rsidRPr="002A27E6" w:rsidRDefault="000D258C" w:rsidP="000D258C">
            <w:pPr>
              <w:spacing w:before="120" w:after="120" w:line="276" w:lineRule="auto"/>
              <w:rPr>
                <w:rFonts w:ascii="Calibri" w:hAnsi="Calibri" w:cs="Calibri"/>
                <w:b/>
                <w:bCs/>
              </w:rPr>
            </w:pPr>
            <w:r w:rsidRPr="002A27E6">
              <w:rPr>
                <w:rFonts w:ascii="Calibri" w:hAnsi="Calibri" w:cs="Calibri"/>
                <w:b/>
                <w:bCs/>
                <w:lang w:val="en-IN"/>
              </w:rPr>
              <w:t xml:space="preserve">Combined order for assessment and penalty </w:t>
            </w:r>
            <w:r w:rsidRPr="002A27E6">
              <w:rPr>
                <w:rFonts w:ascii="Calibri" w:hAnsi="Calibri" w:cs="Calibri"/>
                <w:b/>
                <w:bCs/>
              </w:rPr>
              <w:t>(w.e.f. 1 March 2026 for assessment orders made on or after 1 April 2027, s.274, 220, 245MA of ITA 1961 corresponding to s.471, 411, 379 of ITA 2025)</w:t>
            </w:r>
          </w:p>
        </w:tc>
        <w:tc>
          <w:tcPr>
            <w:tcW w:w="9984" w:type="dxa"/>
          </w:tcPr>
          <w:p w14:paraId="05102DA2" w14:textId="77777777" w:rsidR="000D258C" w:rsidRPr="002A27E6" w:rsidRDefault="000D258C" w:rsidP="000D258C">
            <w:pPr>
              <w:widowControl/>
              <w:autoSpaceDE/>
              <w:autoSpaceDN/>
              <w:spacing w:before="120" w:after="120" w:line="276" w:lineRule="auto"/>
              <w:jc w:val="both"/>
              <w:rPr>
                <w:rFonts w:ascii="Calibri" w:hAnsi="Calibri" w:cs="Calibri"/>
                <w:b/>
                <w:bCs/>
                <w:lang w:val="en-IN"/>
              </w:rPr>
            </w:pPr>
            <w:r w:rsidRPr="002A27E6">
              <w:rPr>
                <w:rFonts w:ascii="Calibri" w:hAnsi="Calibri" w:cs="Calibri"/>
                <w:b/>
                <w:bCs/>
                <w:lang w:val="en-IN"/>
              </w:rPr>
              <w:t xml:space="preserve">Rationale </w:t>
            </w:r>
          </w:p>
          <w:p w14:paraId="58B346BD" w14:textId="77777777" w:rsidR="000D258C" w:rsidRPr="002A27E6" w:rsidRDefault="000D258C" w:rsidP="000D258C">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 xml:space="preserve">While the proposal to pass combined order for assessment and penalty is to avoid multiplicity of proceedings, fundamentally they are different proceedings. Assessment is for assessing the income i.e. taxing proceedings whereas penalty proceedings are quasi-criminal proceedings. Penalty can be levied only after there is finality of addition in quantum assessment and certain additional conditions are fulfilled like satisfaction of AO that explanation provided by taxpayer is not </w:t>
            </w:r>
            <w:proofErr w:type="spellStart"/>
            <w:r w:rsidRPr="002A27E6">
              <w:rPr>
                <w:rFonts w:ascii="Calibri" w:hAnsi="Calibri" w:cs="Calibri"/>
                <w:lang w:val="en-IN"/>
              </w:rPr>
              <w:t>bonafide</w:t>
            </w:r>
            <w:proofErr w:type="spellEnd"/>
            <w:r w:rsidRPr="002A27E6">
              <w:rPr>
                <w:rFonts w:ascii="Calibri" w:hAnsi="Calibri" w:cs="Calibri"/>
                <w:lang w:val="en-IN"/>
              </w:rPr>
              <w:t xml:space="preserve"> or that taxpayer has not disclosed all material facts. In respect of penalty for misreporting, there are higher threshold conditions like satisfaction of AO that the taxpayer has misrepresented or suppressed any facts, recorded false entry in books, etc. Such additional conditions cannot be fulfilled until the quantum assessment is completed </w:t>
            </w:r>
            <w:r w:rsidRPr="002A27E6">
              <w:rPr>
                <w:rFonts w:ascii="Calibri" w:hAnsi="Calibri" w:cs="Calibri"/>
                <w:lang w:val="en-IN"/>
              </w:rPr>
              <w:lastRenderedPageBreak/>
              <w:t xml:space="preserve">and taxpayer is made aware of the grounds for sustaining the addition and given opportunity of defending how the additional conditions for levy of penalty are not fulfilled.   </w:t>
            </w:r>
          </w:p>
          <w:p w14:paraId="70ADA4E9" w14:textId="77777777" w:rsidR="000D258C" w:rsidRPr="002A27E6" w:rsidRDefault="000D258C" w:rsidP="000D258C">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The burden on taxpayer and standard of evidence required for levy of penalty is materially different from quantum assessment proceedings. For example, addition can be made on estimate basis if there is difficulty in ascertaining the correct amount. But that in itself is not valid ground for levy of penalty.</w:t>
            </w:r>
          </w:p>
          <w:p w14:paraId="509C8032" w14:textId="77777777" w:rsidR="000D258C" w:rsidRPr="002A27E6" w:rsidRDefault="000D258C" w:rsidP="000D258C">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The reasons for making an addition become known to the taxpayer only after AO passes the assessment order. In penalty proceedings, based on the reasons adopted by AO in quantum assessment, the taxpayer gets fresh opportunity to defend with additional evidence why penalty should not be levied even if addition made in quantum assessment is correct. If the two proceedings are combined, there will be no effective opportunity to the taxpayer to defend penalty since he is not aware of the grounds for making the addition. In practice, there is likely to be penalty levied in each and every addition in routine manner creating demand.</w:t>
            </w:r>
          </w:p>
          <w:p w14:paraId="1EEEDA41" w14:textId="77777777" w:rsidR="000D258C" w:rsidRPr="002A27E6" w:rsidRDefault="000D258C" w:rsidP="000D258C">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 xml:space="preserve">In case of listed companies, there is statutory obligation under SEBI LODR regulations to disclose levy of penalty by statutory authorities of material amount within 24 hours to the stock exchange. </w:t>
            </w:r>
            <w:r w:rsidRPr="002A27E6">
              <w:rPr>
                <w:rFonts w:ascii="Calibri" w:hAnsi="Calibri" w:cs="Calibri"/>
              </w:rPr>
              <w:t>The relief under existing law of penalty being levied only on additions confirmed in appeal, would no longer be available to the taxpayers under proposed law.</w:t>
            </w:r>
            <w:r w:rsidRPr="002A27E6">
              <w:rPr>
                <w:rFonts w:ascii="Calibri" w:hAnsi="Calibri" w:cs="Calibri"/>
                <w:lang w:val="en-IN"/>
              </w:rPr>
              <w:t xml:space="preserve"> It is likely that the penalties of 200% for misreporting of income will be levied routinely considering that taxpayer is statutorily protected from interest thereon till the date of first appellate outcome and taxpayer is required to pre-deposit only 10% of core tax demand. This may create negative sentiments for the stock price and lead to volatility of stock prices which is not desirable for any stakeholder. </w:t>
            </w:r>
          </w:p>
          <w:p w14:paraId="4C37AC28" w14:textId="77777777" w:rsidR="000D258C" w:rsidRPr="002A27E6" w:rsidRDefault="000D258C" w:rsidP="000D258C">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Furthermore, the outstanding demand towards penalty will reflect on income tax portal (although no interest is payable till CIT(A)/ITAT order). The refunds for other years will get adjusted towards such penalty (in addition to income tax demand).</w:t>
            </w:r>
          </w:p>
          <w:p w14:paraId="0ED44B62" w14:textId="77777777" w:rsidR="000D258C" w:rsidRPr="002A27E6" w:rsidRDefault="000D258C" w:rsidP="000D258C">
            <w:pPr>
              <w:widowControl/>
              <w:autoSpaceDE/>
              <w:autoSpaceDN/>
              <w:spacing w:before="120" w:after="120" w:line="276" w:lineRule="auto"/>
              <w:jc w:val="both"/>
              <w:rPr>
                <w:rFonts w:ascii="Calibri" w:hAnsi="Calibri" w:cs="Calibri"/>
                <w:b/>
                <w:bCs/>
                <w:lang w:val="en-IN"/>
              </w:rPr>
            </w:pPr>
            <w:r w:rsidRPr="002A27E6">
              <w:rPr>
                <w:rFonts w:ascii="Calibri" w:hAnsi="Calibri" w:cs="Calibri"/>
                <w:b/>
                <w:bCs/>
                <w:lang w:val="en-IN"/>
              </w:rPr>
              <w:lastRenderedPageBreak/>
              <w:t>Recommendation</w:t>
            </w:r>
          </w:p>
          <w:p w14:paraId="015CA1B5" w14:textId="77777777" w:rsidR="000D258C" w:rsidRPr="002A27E6" w:rsidRDefault="000D258C" w:rsidP="000D258C">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Hence, following recommendations are made :-</w:t>
            </w:r>
          </w:p>
          <w:p w14:paraId="59B44B95" w14:textId="77777777" w:rsidR="000D258C" w:rsidRPr="002A27E6" w:rsidRDefault="000D258C" w:rsidP="000D258C">
            <w:pPr>
              <w:widowControl/>
              <w:numPr>
                <w:ilvl w:val="1"/>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Withdraw the proposal and maintain status quo.</w:t>
            </w:r>
          </w:p>
          <w:p w14:paraId="74C4811F" w14:textId="77777777" w:rsidR="000D258C" w:rsidRPr="002A27E6" w:rsidRDefault="000D258C" w:rsidP="000D258C">
            <w:pPr>
              <w:widowControl/>
              <w:numPr>
                <w:ilvl w:val="1"/>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 xml:space="preserve">Without prejudice, provide statutory protection against routine levy of penalty by explicitly providing that no penalty shall be levied in cases where any addition is made on rejection of a </w:t>
            </w:r>
            <w:proofErr w:type="spellStart"/>
            <w:r w:rsidRPr="002A27E6">
              <w:rPr>
                <w:rFonts w:ascii="Calibri" w:hAnsi="Calibri" w:cs="Calibri"/>
                <w:lang w:val="en-IN"/>
              </w:rPr>
              <w:t>bonafide</w:t>
            </w:r>
            <w:proofErr w:type="spellEnd"/>
            <w:r w:rsidRPr="002A27E6">
              <w:rPr>
                <w:rFonts w:ascii="Calibri" w:hAnsi="Calibri" w:cs="Calibri"/>
                <w:lang w:val="en-IN"/>
              </w:rPr>
              <w:t xml:space="preserve"> view taken by an </w:t>
            </w:r>
            <w:proofErr w:type="spellStart"/>
            <w:r w:rsidRPr="002A27E6">
              <w:rPr>
                <w:rFonts w:ascii="Calibri" w:hAnsi="Calibri" w:cs="Calibri"/>
                <w:lang w:val="en-IN"/>
              </w:rPr>
              <w:t>assessee</w:t>
            </w:r>
            <w:proofErr w:type="spellEnd"/>
            <w:r w:rsidRPr="002A27E6">
              <w:rPr>
                <w:rFonts w:ascii="Calibri" w:hAnsi="Calibri" w:cs="Calibri"/>
                <w:lang w:val="en-IN"/>
              </w:rPr>
              <w:t xml:space="preserve"> on an issue on the basis of :-</w:t>
            </w:r>
          </w:p>
          <w:p w14:paraId="319A8071" w14:textId="77777777" w:rsidR="000D258C" w:rsidRPr="002A27E6" w:rsidRDefault="000D258C" w:rsidP="000D258C">
            <w:pPr>
              <w:widowControl/>
              <w:numPr>
                <w:ilvl w:val="2"/>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Decision of an appellate authority in his own case; or</w:t>
            </w:r>
          </w:p>
          <w:p w14:paraId="0F3E4466" w14:textId="77777777" w:rsidR="000D258C" w:rsidRPr="002A27E6" w:rsidRDefault="000D258C" w:rsidP="000D258C">
            <w:pPr>
              <w:widowControl/>
              <w:numPr>
                <w:ilvl w:val="2"/>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 xml:space="preserve">On the basis of a judgement of Tribunal, High Court or Supreme Court, which is in favour of the </w:t>
            </w:r>
            <w:proofErr w:type="spellStart"/>
            <w:r w:rsidRPr="002A27E6">
              <w:rPr>
                <w:rFonts w:ascii="Calibri" w:hAnsi="Calibri" w:cs="Calibri"/>
                <w:lang w:val="en-IN"/>
              </w:rPr>
              <w:t>assessee</w:t>
            </w:r>
            <w:proofErr w:type="spellEnd"/>
          </w:p>
          <w:p w14:paraId="253E8C12" w14:textId="62D2AC42" w:rsidR="000D258C" w:rsidRPr="002A27E6" w:rsidRDefault="000D258C" w:rsidP="0016168C">
            <w:pPr>
              <w:widowControl/>
              <w:numPr>
                <w:ilvl w:val="1"/>
                <w:numId w:val="9"/>
              </w:numPr>
              <w:autoSpaceDE/>
              <w:autoSpaceDN/>
              <w:spacing w:before="120" w:after="120" w:line="276" w:lineRule="auto"/>
              <w:jc w:val="both"/>
              <w:rPr>
                <w:rFonts w:ascii="Calibri" w:hAnsi="Calibri" w:cs="Calibri"/>
                <w:b/>
                <w:bCs/>
              </w:rPr>
            </w:pPr>
            <w:r w:rsidRPr="002A27E6">
              <w:rPr>
                <w:rFonts w:ascii="Calibri" w:hAnsi="Calibri" w:cs="Calibri"/>
                <w:lang w:val="en-IN"/>
              </w:rPr>
              <w:t xml:space="preserve">Furthermore, it is recommended to explicitly provide in the law that no </w:t>
            </w:r>
            <w:r w:rsidRPr="002A27E6">
              <w:rPr>
                <w:rFonts w:ascii="Calibri" w:hAnsi="Calibri" w:cs="Calibri"/>
              </w:rPr>
              <w:t xml:space="preserve">refunds of other years </w:t>
            </w:r>
            <w:r w:rsidRPr="002A27E6">
              <w:rPr>
                <w:rFonts w:ascii="Calibri" w:hAnsi="Calibri" w:cs="Calibri"/>
                <w:lang w:val="en-IN"/>
              </w:rPr>
              <w:t>shall be adjusted against such penalty till passing of the order by CIT(A) or ITAT (for appeal against DRP orders), as the case may be.</w:t>
            </w:r>
          </w:p>
        </w:tc>
      </w:tr>
      <w:tr w:rsidR="00851BC3" w:rsidRPr="002A27E6" w14:paraId="0AD39B91" w14:textId="77777777" w:rsidTr="002E68DE">
        <w:tc>
          <w:tcPr>
            <w:tcW w:w="885" w:type="dxa"/>
          </w:tcPr>
          <w:p w14:paraId="72DB8D70" w14:textId="77777777" w:rsidR="00851BC3" w:rsidRPr="002A27E6" w:rsidRDefault="00851BC3" w:rsidP="00851BC3">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6BCDFBD1" w14:textId="374D21B0" w:rsidR="00851BC3" w:rsidRPr="002A27E6" w:rsidRDefault="00851BC3" w:rsidP="00851BC3">
            <w:pPr>
              <w:spacing w:before="120" w:after="120" w:line="276" w:lineRule="auto"/>
              <w:rPr>
                <w:rFonts w:ascii="Calibri" w:hAnsi="Calibri" w:cs="Calibri"/>
                <w:b/>
                <w:bCs/>
                <w:lang w:val="en-IN"/>
              </w:rPr>
            </w:pPr>
            <w:r w:rsidRPr="002A27E6">
              <w:rPr>
                <w:rFonts w:ascii="Calibri" w:hAnsi="Calibri" w:cs="Calibri"/>
                <w:b/>
                <w:bCs/>
              </w:rPr>
              <w:t>Anomaly in language of amendment of s.440 of ITA 2025 (s.270AA of ITA 1961) on immunity from penalty and prosecution to be addressed</w:t>
            </w:r>
          </w:p>
        </w:tc>
        <w:tc>
          <w:tcPr>
            <w:tcW w:w="9984" w:type="dxa"/>
          </w:tcPr>
          <w:p w14:paraId="25122818" w14:textId="77777777" w:rsidR="00851BC3" w:rsidRPr="002A27E6" w:rsidRDefault="00851BC3" w:rsidP="00851BC3">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4498DB50" w14:textId="77777777" w:rsidR="00851BC3" w:rsidRPr="002A27E6" w:rsidRDefault="00851BC3" w:rsidP="00851BC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Presently, if penalty is initiated in assessment for “misreporting” of income which carries higher penalty of 200% of misreported income (as distinguished from 50% for underreporting of income), taxpayer cannot avail immunity from levy of penalty u/s. 439 and prosecution u/s. 478 or 479 of ITA 2025. As a measure of rationalisation, it is proposed to allow taxpayer to seek immunity in case of penalty levied u/s. 439 for misreporting of income (as part of composite order of assessment and penalty) also on payment of additional tax of 100%/120% on the misreported income.</w:t>
            </w:r>
          </w:p>
          <w:p w14:paraId="3722678D" w14:textId="77777777" w:rsidR="00851BC3" w:rsidRPr="002A27E6" w:rsidRDefault="00851BC3" w:rsidP="00851BC3">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 xml:space="preserve">However, the text of the language contains a drafting anomaly giving rise to a potential literal reading that the taxpayer has to pay 100%/120% on the whole of the under-reported income whether or not it is </w:t>
            </w:r>
            <w:r w:rsidRPr="002A27E6">
              <w:rPr>
                <w:rFonts w:ascii="Calibri" w:hAnsi="Calibri" w:cs="Calibri"/>
              </w:rPr>
              <w:lastRenderedPageBreak/>
              <w:t xml:space="preserve">on account of misreporting of income. In other words, for seeking immunity, the taxpayer has to pay additional tax of 100% even on under-reported income which carries lesser penalty of 50% of tax. </w:t>
            </w:r>
          </w:p>
          <w:p w14:paraId="3DEB5DBF" w14:textId="77777777" w:rsidR="00851BC3" w:rsidRPr="002A27E6" w:rsidRDefault="00851BC3" w:rsidP="00851BC3">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58428420" w14:textId="097833D8" w:rsidR="00851BC3" w:rsidRPr="002A27E6" w:rsidRDefault="00851BC3" w:rsidP="000379CA">
            <w:pPr>
              <w:widowControl/>
              <w:numPr>
                <w:ilvl w:val="0"/>
                <w:numId w:val="9"/>
              </w:numPr>
              <w:autoSpaceDE/>
              <w:autoSpaceDN/>
              <w:spacing w:before="120" w:after="120" w:line="276" w:lineRule="auto"/>
              <w:jc w:val="both"/>
              <w:rPr>
                <w:rFonts w:ascii="Calibri" w:hAnsi="Calibri" w:cs="Calibri"/>
                <w:b/>
                <w:bCs/>
                <w:lang w:val="en-IN"/>
              </w:rPr>
            </w:pPr>
            <w:r w:rsidRPr="002A27E6">
              <w:rPr>
                <w:rFonts w:ascii="Calibri" w:hAnsi="Calibri" w:cs="Calibri"/>
              </w:rPr>
              <w:t xml:space="preserve">Since this is not the legislative intent, to avoid any potential controversy in this regard, it is recommended to add “such” between “tax payable on under-reported income” to read as “tax payable on </w:t>
            </w:r>
            <w:r w:rsidRPr="002A27E6">
              <w:rPr>
                <w:rFonts w:ascii="Calibri" w:hAnsi="Calibri" w:cs="Calibri"/>
                <w:b/>
                <w:bCs/>
                <w:u w:val="single"/>
              </w:rPr>
              <w:t>such</w:t>
            </w:r>
            <w:r w:rsidRPr="002A27E6">
              <w:rPr>
                <w:rFonts w:ascii="Calibri" w:hAnsi="Calibri" w:cs="Calibri"/>
              </w:rPr>
              <w:t xml:space="preserve"> under-reported income” in both clauses (b) and (c) of proposed s.440(1).</w:t>
            </w:r>
          </w:p>
        </w:tc>
      </w:tr>
      <w:tr w:rsidR="00D66ED8" w:rsidRPr="002A27E6" w14:paraId="0D74D8A9" w14:textId="77777777" w:rsidTr="002E68DE">
        <w:tc>
          <w:tcPr>
            <w:tcW w:w="885" w:type="dxa"/>
          </w:tcPr>
          <w:p w14:paraId="04A1281C" w14:textId="77777777" w:rsidR="00D66ED8" w:rsidRPr="002A27E6" w:rsidRDefault="00D66ED8" w:rsidP="00D66ED8">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0B543C34" w14:textId="77777777" w:rsidR="00D66ED8" w:rsidRPr="002A27E6" w:rsidRDefault="00D66ED8" w:rsidP="00D66ED8">
            <w:pPr>
              <w:spacing w:before="120" w:after="120" w:line="276" w:lineRule="auto"/>
              <w:rPr>
                <w:rFonts w:ascii="Calibri" w:hAnsi="Calibri" w:cs="Calibri"/>
                <w:b/>
                <w:bCs/>
              </w:rPr>
            </w:pPr>
            <w:r w:rsidRPr="002A27E6">
              <w:rPr>
                <w:rFonts w:ascii="Calibri" w:hAnsi="Calibri" w:cs="Calibri"/>
                <w:b/>
                <w:bCs/>
              </w:rPr>
              <w:t>Bar from seeking immunity if any prosecution proceedings are initiated be removed</w:t>
            </w:r>
          </w:p>
          <w:p w14:paraId="358C5FA3" w14:textId="39964439" w:rsidR="00D66ED8" w:rsidRPr="002A27E6" w:rsidRDefault="00D66ED8" w:rsidP="00D66ED8">
            <w:pPr>
              <w:spacing w:before="120" w:after="120" w:line="276" w:lineRule="auto"/>
              <w:rPr>
                <w:rFonts w:ascii="Calibri" w:hAnsi="Calibri" w:cs="Calibri"/>
                <w:b/>
                <w:bCs/>
              </w:rPr>
            </w:pPr>
            <w:r w:rsidRPr="002A27E6">
              <w:rPr>
                <w:rFonts w:ascii="Calibri" w:hAnsi="Calibri" w:cs="Calibri"/>
                <w:b/>
                <w:bCs/>
              </w:rPr>
              <w:t>(S. 440 of ITA 2025) (s.270AA of ITA 1961)</w:t>
            </w:r>
          </w:p>
        </w:tc>
        <w:tc>
          <w:tcPr>
            <w:tcW w:w="9984" w:type="dxa"/>
          </w:tcPr>
          <w:p w14:paraId="54C4146D" w14:textId="77777777" w:rsidR="00D66ED8" w:rsidRPr="002A27E6" w:rsidRDefault="00D66ED8" w:rsidP="00D66ED8">
            <w:pPr>
              <w:widowControl/>
              <w:autoSpaceDE/>
              <w:autoSpaceDN/>
              <w:spacing w:before="120" w:after="120" w:line="276" w:lineRule="auto"/>
              <w:jc w:val="both"/>
              <w:rPr>
                <w:rFonts w:ascii="Calibri" w:hAnsi="Calibri" w:cs="Calibri"/>
                <w:b/>
                <w:bCs/>
              </w:rPr>
            </w:pPr>
            <w:r w:rsidRPr="002A27E6">
              <w:rPr>
                <w:rFonts w:ascii="Calibri" w:hAnsi="Calibri" w:cs="Calibri"/>
                <w:b/>
                <w:bCs/>
              </w:rPr>
              <w:t>Rationale</w:t>
            </w:r>
          </w:p>
          <w:p w14:paraId="01506BA6" w14:textId="77777777" w:rsidR="00D66ED8" w:rsidRPr="002A27E6" w:rsidRDefault="00D66ED8" w:rsidP="00D66ED8">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It is proposed to add a new limitation from seeking immunity u/s. 440 of ITA 2025 (s.270AA of ITA 1961) to prevent taxpayer from seeking immunity from penalty &amp; prosecution for evasion of tax (s.478) and return filing (s.479) offences if “any” proceeding has been initiated under Chapter XXII. No rationale has been explained in Explanatory Memorandum for introducing this new limitation which is not present in existing s.440.</w:t>
            </w:r>
          </w:p>
          <w:p w14:paraId="053E6ED0" w14:textId="77777777" w:rsidR="00D66ED8" w:rsidRPr="002A27E6" w:rsidRDefault="00D66ED8" w:rsidP="00D66ED8">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limitation has the effect of preventing the taxpayer from seeking immunity even from under-reporting of income (50% of tax) if some prosecution has been initiated for the same or different tax year for an unrelated offence – say, TDS/TCS default. Since the thrust of rationalisation of penalty and prosecution provisions in the Finance Bill 2026 is to give opportunity to taxpayer to bring certainty and closure of proceedings, more particularly since it is now proposed to grant immunity even for misreporting of income by paying additional tax of 100%/120%, the rationale of preventing taxpayer from settling the matter in case of an unrelated pending prosecution matter is not clear.</w:t>
            </w:r>
          </w:p>
          <w:p w14:paraId="472DDB2F" w14:textId="77777777" w:rsidR="00D66ED8" w:rsidRPr="002A27E6" w:rsidRDefault="00D66ED8" w:rsidP="00D66ED8">
            <w:pPr>
              <w:widowControl/>
              <w:autoSpaceDE/>
              <w:autoSpaceDN/>
              <w:spacing w:before="120" w:after="120" w:line="276" w:lineRule="auto"/>
              <w:jc w:val="both"/>
              <w:rPr>
                <w:rFonts w:ascii="Calibri" w:hAnsi="Calibri" w:cs="Calibri"/>
                <w:b/>
                <w:bCs/>
              </w:rPr>
            </w:pPr>
            <w:r w:rsidRPr="002A27E6">
              <w:rPr>
                <w:rFonts w:ascii="Calibri" w:hAnsi="Calibri" w:cs="Calibri"/>
                <w:b/>
                <w:bCs/>
              </w:rPr>
              <w:t>Recommendation</w:t>
            </w:r>
          </w:p>
          <w:p w14:paraId="653DC329" w14:textId="453E7332" w:rsidR="00D66ED8" w:rsidRPr="002A27E6" w:rsidRDefault="00D66ED8" w:rsidP="00881AD4">
            <w:pPr>
              <w:widowControl/>
              <w:numPr>
                <w:ilvl w:val="0"/>
                <w:numId w:val="9"/>
              </w:numPr>
              <w:autoSpaceDE/>
              <w:autoSpaceDN/>
              <w:spacing w:before="120" w:after="120" w:line="276" w:lineRule="auto"/>
              <w:jc w:val="both"/>
              <w:rPr>
                <w:rFonts w:ascii="Calibri" w:hAnsi="Calibri" w:cs="Calibri"/>
                <w:b/>
                <w:bCs/>
              </w:rPr>
            </w:pPr>
            <w:r w:rsidRPr="002A27E6">
              <w:rPr>
                <w:rFonts w:ascii="Calibri" w:hAnsi="Calibri" w:cs="Calibri"/>
              </w:rPr>
              <w:t xml:space="preserve">It is recommended to remove this limitation by omitting the proposed sub-section (4) to s.440.   </w:t>
            </w:r>
          </w:p>
        </w:tc>
      </w:tr>
      <w:tr w:rsidR="009B7640" w:rsidRPr="002A27E6" w14:paraId="299BA226" w14:textId="77777777" w:rsidTr="002E68DE">
        <w:tc>
          <w:tcPr>
            <w:tcW w:w="885" w:type="dxa"/>
          </w:tcPr>
          <w:p w14:paraId="3B20CE5D" w14:textId="77777777" w:rsidR="009B7640" w:rsidRPr="002A27E6" w:rsidRDefault="009B7640" w:rsidP="009B7640">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74998BFD" w14:textId="465AB2A0" w:rsidR="009B7640" w:rsidRPr="002A27E6" w:rsidRDefault="009B7640" w:rsidP="009B7640">
            <w:pPr>
              <w:spacing w:before="120" w:after="120" w:line="276" w:lineRule="auto"/>
              <w:rPr>
                <w:rFonts w:ascii="Calibri" w:hAnsi="Calibri" w:cs="Calibri"/>
                <w:b/>
                <w:bCs/>
              </w:rPr>
            </w:pPr>
            <w:r w:rsidRPr="002A27E6">
              <w:rPr>
                <w:rFonts w:ascii="Calibri" w:hAnsi="Calibri" w:cs="Calibri"/>
                <w:b/>
                <w:bCs/>
                <w:lang w:val="en-IN"/>
              </w:rPr>
              <w:t>Relaxation of prosecution provisions</w:t>
            </w:r>
          </w:p>
        </w:tc>
        <w:tc>
          <w:tcPr>
            <w:tcW w:w="9984" w:type="dxa"/>
          </w:tcPr>
          <w:p w14:paraId="65625E66" w14:textId="77777777" w:rsidR="009B7640" w:rsidRPr="002A27E6" w:rsidRDefault="009B7640" w:rsidP="009B7640">
            <w:pPr>
              <w:widowControl/>
              <w:autoSpaceDE/>
              <w:autoSpaceDN/>
              <w:spacing w:before="120" w:after="120" w:line="276" w:lineRule="auto"/>
              <w:jc w:val="both"/>
              <w:rPr>
                <w:rFonts w:ascii="Calibri" w:hAnsi="Calibri" w:cs="Calibri"/>
                <w:b/>
                <w:bCs/>
                <w:lang w:val="en-IN"/>
              </w:rPr>
            </w:pPr>
            <w:r w:rsidRPr="002A27E6">
              <w:rPr>
                <w:rFonts w:ascii="Calibri" w:hAnsi="Calibri" w:cs="Calibri"/>
                <w:b/>
                <w:bCs/>
                <w:lang w:val="en-IN"/>
              </w:rPr>
              <w:t>Rationale and Recommendation</w:t>
            </w:r>
          </w:p>
          <w:p w14:paraId="09CC5C01" w14:textId="77777777" w:rsidR="009B7640" w:rsidRPr="002A27E6" w:rsidRDefault="009B7640" w:rsidP="009B7640">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 xml:space="preserve">It is observed that Niti Aayog’s recommendations in October </w:t>
            </w:r>
            <w:r w:rsidRPr="002A27E6">
              <w:rPr>
                <w:rFonts w:ascii="Calibri" w:hAnsi="Calibri" w:cs="Calibri"/>
              </w:rPr>
              <w:t>2025</w:t>
            </w:r>
            <w:r w:rsidRPr="002A27E6">
              <w:rPr>
                <w:rStyle w:val="FootnoteReference"/>
                <w:rFonts w:ascii="Calibri" w:hAnsi="Calibri" w:cs="Calibri"/>
              </w:rPr>
              <w:footnoteReference w:id="1"/>
            </w:r>
            <w:r w:rsidRPr="002A27E6">
              <w:rPr>
                <w:rFonts w:ascii="Calibri" w:hAnsi="Calibri" w:cs="Calibri"/>
              </w:rPr>
              <w:t xml:space="preserve"> </w:t>
            </w:r>
            <w:r w:rsidRPr="002A27E6">
              <w:rPr>
                <w:rFonts w:ascii="Calibri" w:hAnsi="Calibri" w:cs="Calibri"/>
                <w:lang w:val="en-IN"/>
              </w:rPr>
              <w:t xml:space="preserve">for decriminalisation of several income tax offences is partially accepted. For example, Niti Aayog had recommended complete decriminalisation of TDS/ TCS and return filing offences. </w:t>
            </w:r>
            <w:r w:rsidRPr="002A27E6">
              <w:rPr>
                <w:rFonts w:ascii="Calibri" w:hAnsi="Calibri" w:cs="Calibri"/>
              </w:rPr>
              <w:t>Niti Aayog had observed that, as per present law, offence of failure to pay TDS/TCS to credit of the Central Government can become liable to prosecution even if it is unintentional or procedural, despite there being no fraudulent or wilful intent. It criminalises even unintentional lapses such as defaults arising due to cash flow constraints, accounting errors, or administrative oversights, rather than deliberate misconduct.</w:t>
            </w:r>
          </w:p>
          <w:p w14:paraId="3203AB82" w14:textId="77777777" w:rsidR="009539FF" w:rsidRPr="002A27E6" w:rsidRDefault="009B7640" w:rsidP="009B7640">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rPr>
              <w:t>The proposal to partially decriminalise such offences is welcome. But it is recommended to fully decriminalise the offences related to TDS/TCS and return filing offences in line with Niti Aayog’s recommendations</w:t>
            </w:r>
            <w:r w:rsidRPr="002A27E6">
              <w:rPr>
                <w:rFonts w:ascii="Calibri" w:hAnsi="Calibri" w:cs="Calibri"/>
                <w:lang w:val="en-IN"/>
              </w:rPr>
              <w:t>.</w:t>
            </w:r>
          </w:p>
          <w:p w14:paraId="419C70AE" w14:textId="0BBECE79" w:rsidR="009B7640" w:rsidRPr="002A27E6" w:rsidRDefault="009B7640" w:rsidP="009B7640">
            <w:pPr>
              <w:widowControl/>
              <w:numPr>
                <w:ilvl w:val="0"/>
                <w:numId w:val="9"/>
              </w:numPr>
              <w:autoSpaceDE/>
              <w:autoSpaceDN/>
              <w:spacing w:before="120" w:after="120" w:line="276" w:lineRule="auto"/>
              <w:jc w:val="both"/>
              <w:rPr>
                <w:rFonts w:ascii="Calibri" w:hAnsi="Calibri" w:cs="Calibri"/>
                <w:lang w:val="en-IN"/>
              </w:rPr>
            </w:pPr>
            <w:r w:rsidRPr="002A27E6">
              <w:rPr>
                <w:rFonts w:ascii="Calibri" w:hAnsi="Calibri" w:cs="Calibri"/>
                <w:lang w:val="en-IN"/>
              </w:rPr>
              <w:t xml:space="preserve">Furthermore, the Niti Aayog had recommended withdrawal of reverse burden on the taxpayer to prove his innocence beyond reasonable doubt (rather than Tax Department proving the offence which is generally the case in criminal proceedings). It is </w:t>
            </w:r>
            <w:r w:rsidRPr="002A27E6">
              <w:rPr>
                <w:rFonts w:ascii="Calibri" w:hAnsi="Calibri" w:cs="Calibri"/>
              </w:rPr>
              <w:t>recommended to withdraw this reverse burden on the taxpayers contained in s.490 of ITA 2025 (corresponding to s.278E of ITA 1961) in line with Niti Aayog recommendations</w:t>
            </w:r>
            <w:r w:rsidRPr="002A27E6">
              <w:rPr>
                <w:rFonts w:ascii="Calibri" w:hAnsi="Calibri" w:cs="Calibri"/>
                <w:lang w:val="en-IN"/>
              </w:rPr>
              <w:t>.</w:t>
            </w:r>
          </w:p>
        </w:tc>
      </w:tr>
      <w:tr w:rsidR="00731F04" w:rsidRPr="002A27E6" w14:paraId="559DB004" w14:textId="77777777" w:rsidTr="002E68DE">
        <w:tc>
          <w:tcPr>
            <w:tcW w:w="885" w:type="dxa"/>
          </w:tcPr>
          <w:p w14:paraId="66087E5F" w14:textId="77777777" w:rsidR="00731F04" w:rsidRPr="002A27E6" w:rsidRDefault="00731F04" w:rsidP="00731F04">
            <w:pPr>
              <w:pStyle w:val="ListParagraph"/>
              <w:numPr>
                <w:ilvl w:val="0"/>
                <w:numId w:val="3"/>
              </w:numPr>
              <w:spacing w:before="120" w:after="120" w:line="276" w:lineRule="auto"/>
              <w:contextualSpacing w:val="0"/>
              <w:rPr>
                <w:rFonts w:ascii="Calibri" w:hAnsi="Calibri" w:cs="Calibri"/>
                <w:color w:val="FF0000"/>
              </w:rPr>
            </w:pPr>
          </w:p>
        </w:tc>
        <w:tc>
          <w:tcPr>
            <w:tcW w:w="2551" w:type="dxa"/>
          </w:tcPr>
          <w:p w14:paraId="2F3903A2" w14:textId="77777777" w:rsidR="00731F04" w:rsidRPr="002A27E6" w:rsidRDefault="00731F04" w:rsidP="00731F04">
            <w:pPr>
              <w:spacing w:before="120" w:after="120" w:line="276" w:lineRule="auto"/>
              <w:rPr>
                <w:rFonts w:ascii="Calibri" w:hAnsi="Calibri" w:cs="Calibri"/>
                <w:b/>
                <w:bCs/>
              </w:rPr>
            </w:pPr>
            <w:r w:rsidRPr="002A27E6">
              <w:rPr>
                <w:rFonts w:ascii="Calibri" w:hAnsi="Calibri" w:cs="Calibri"/>
                <w:b/>
                <w:bCs/>
              </w:rPr>
              <w:t xml:space="preserve">Anomalies in language of tax payable on undisclosed income/foreign assets for availing protection under The Foreign Assets </w:t>
            </w:r>
            <w:r w:rsidRPr="002A27E6">
              <w:rPr>
                <w:rFonts w:ascii="Calibri" w:hAnsi="Calibri" w:cs="Calibri"/>
                <w:b/>
                <w:bCs/>
              </w:rPr>
              <w:lastRenderedPageBreak/>
              <w:t>of Small Taxpayers Disclosure Scheme 2026</w:t>
            </w:r>
          </w:p>
          <w:p w14:paraId="6EE4F094" w14:textId="77777777" w:rsidR="00731F04" w:rsidRPr="002A27E6" w:rsidRDefault="00731F04" w:rsidP="00731F04">
            <w:pPr>
              <w:spacing w:before="120" w:after="120" w:line="276" w:lineRule="auto"/>
              <w:rPr>
                <w:rFonts w:ascii="Calibri" w:hAnsi="Calibri" w:cs="Calibri"/>
                <w:b/>
                <w:bCs/>
                <w:lang w:val="en-IN"/>
              </w:rPr>
            </w:pPr>
          </w:p>
        </w:tc>
        <w:tc>
          <w:tcPr>
            <w:tcW w:w="9984" w:type="dxa"/>
          </w:tcPr>
          <w:p w14:paraId="394D2AF4" w14:textId="77777777" w:rsidR="00731F04" w:rsidRPr="002A27E6" w:rsidRDefault="00731F04" w:rsidP="00731F04">
            <w:pPr>
              <w:widowControl/>
              <w:autoSpaceDE/>
              <w:autoSpaceDN/>
              <w:spacing w:before="120" w:after="120" w:line="276" w:lineRule="auto"/>
              <w:jc w:val="both"/>
              <w:rPr>
                <w:rFonts w:ascii="Calibri" w:hAnsi="Calibri" w:cs="Calibri"/>
                <w:b/>
                <w:bCs/>
              </w:rPr>
            </w:pPr>
            <w:r w:rsidRPr="002A27E6">
              <w:rPr>
                <w:rFonts w:ascii="Calibri" w:hAnsi="Calibri" w:cs="Calibri"/>
                <w:b/>
                <w:bCs/>
              </w:rPr>
              <w:lastRenderedPageBreak/>
              <w:t>Rationale and Recommendation</w:t>
            </w:r>
          </w:p>
          <w:p w14:paraId="6075A8F5" w14:textId="77777777" w:rsidR="00731F04" w:rsidRPr="002A27E6" w:rsidRDefault="00731F04" w:rsidP="00731F04">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new proposed scheme to enable small taxpayers to regularise their defaults of non-disclosure of foreign incomes or assets is a welcome move. The scheme essentially envisages payment of tax at 60% of undisclosed foreign income/assets to get protection from onerous consequences of Black Money Act, 2015 (BMA) which levies tax at 30% and penalty at 90% and also makes taxpayer liable for prosecution.</w:t>
            </w:r>
          </w:p>
          <w:p w14:paraId="1CDFA270" w14:textId="77777777" w:rsidR="00731F04" w:rsidRPr="002A27E6" w:rsidRDefault="00731F04" w:rsidP="00731F04">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lastRenderedPageBreak/>
              <w:t>As per Budget Speech, the above measure is to address practical issues of small taxpayers like students, young professionals, tech employees, relocated NRIs, etc.</w:t>
            </w:r>
          </w:p>
          <w:p w14:paraId="4A675796" w14:textId="77777777" w:rsidR="00731F04" w:rsidRPr="002A27E6" w:rsidRDefault="00731F04" w:rsidP="00731F04">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Such small taxpayers often miss out on reporting of their minor foreign incomes or assets in their returns of income. The default occurs when taxpayers like students or relocated NRIs turn ordinary residents and are required to disclose foreign incomes/assets in their return of income. In case of young professionals or tech employees, it is more often a case where taxes on foreign incomes like ESOPs/RSUs  from foreign parent of Indian subsidiary are paid (due to Salary TDS by the employer) but the foreign shares and resulting dividends are inadvertently left out to be reported in their returns of income.</w:t>
            </w:r>
          </w:p>
          <w:p w14:paraId="7997F878" w14:textId="77777777" w:rsidR="00731F04" w:rsidRPr="002A27E6" w:rsidRDefault="00731F04" w:rsidP="00731F04">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scheme envisages payment of aggregate of (i) 30% tax on value of undisclosed asset located outside India as on 31 March 2026 (ii) 30% tax on undisclosed foreign income and (iii) 100% of tax determined in (i) and (ii). This is subject to the condition that aggregate value of the undisclosed asset located outside India and undisclosed foreign income does not exceed Rs. 1 Cr. (Category 1)</w:t>
            </w:r>
          </w:p>
          <w:p w14:paraId="562411C6" w14:textId="77777777" w:rsidR="00731F04" w:rsidRPr="002A27E6" w:rsidRDefault="00731F04" w:rsidP="00731F04">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The scheme also envisages Category 2 where there is merely a default of not reporting foreign assets in Schedule FA of ITR although income is not taxable/reported. In this case, a fee of Rs. 1 lakh is payable if the value of the foreign asset does not exceed Rs. 5 Cr.  This can cover cases of unreported ESOPs/RSUs etc.</w:t>
            </w:r>
          </w:p>
          <w:p w14:paraId="40CAAE46" w14:textId="77777777" w:rsidR="00731F04" w:rsidRPr="002A27E6" w:rsidRDefault="00731F04" w:rsidP="00731F04">
            <w:pPr>
              <w:widowControl/>
              <w:numPr>
                <w:ilvl w:val="0"/>
                <w:numId w:val="9"/>
              </w:numPr>
              <w:autoSpaceDE/>
              <w:autoSpaceDN/>
              <w:spacing w:before="120" w:after="120" w:line="276" w:lineRule="auto"/>
              <w:jc w:val="both"/>
              <w:rPr>
                <w:rFonts w:ascii="Calibri" w:hAnsi="Calibri" w:cs="Calibri"/>
              </w:rPr>
            </w:pPr>
            <w:r w:rsidRPr="002A27E6">
              <w:rPr>
                <w:rFonts w:ascii="Calibri" w:hAnsi="Calibri" w:cs="Calibri"/>
              </w:rPr>
              <w:t>In this regard, we would like to highlight two issues for consideration of the Government.</w:t>
            </w:r>
          </w:p>
          <w:p w14:paraId="3A8C8900" w14:textId="77777777" w:rsidR="00731F04" w:rsidRPr="002A27E6" w:rsidRDefault="00731F04" w:rsidP="00731F04">
            <w:pPr>
              <w:widowControl/>
              <w:autoSpaceDE/>
              <w:autoSpaceDN/>
              <w:spacing w:before="120" w:after="120" w:line="276" w:lineRule="auto"/>
              <w:ind w:left="432"/>
              <w:jc w:val="both"/>
              <w:rPr>
                <w:rFonts w:ascii="Calibri" w:hAnsi="Calibri" w:cs="Calibri"/>
              </w:rPr>
            </w:pPr>
            <w:r w:rsidRPr="002A27E6">
              <w:rPr>
                <w:rFonts w:ascii="Calibri" w:hAnsi="Calibri" w:cs="Calibri"/>
              </w:rPr>
              <w:t xml:space="preserve">For this purpose, consider a case, where the taxpayer inadvertently left out to report an income of Rs. 50 lakhs in FY 2021-22 which was invested in shares of foreign company. If the taxpayer was diligent, he would have paid tax of 30% in FY 2021-22 and reported the foreign assets at cost of Rs. 50 lakhs in Schedule FA of ITR from FY 2021-22 onwards. Assume that the value of the foreign shares has increased to Rs. 1 Cr as on 31 March 2026. If BMA is invoked against such taxpayer for non-reporting of foreign income &amp; asset, since the source of the foreign asset is explainable, it would have been a case of </w:t>
            </w:r>
            <w:r w:rsidRPr="002A27E6">
              <w:rPr>
                <w:rFonts w:ascii="Calibri" w:hAnsi="Calibri" w:cs="Calibri"/>
              </w:rPr>
              <w:lastRenderedPageBreak/>
              <w:t xml:space="preserve">undisclosed income attracting tax of 30% on Rs. 50 lakhs (i.e. Rs. 15 lakhs) and penalty of 3 times of tax computed (i.e. Rs. 45 lakhs) aggregating to Rs. 60 lakhs apart from prosecution. </w:t>
            </w:r>
          </w:p>
          <w:p w14:paraId="3C70891C" w14:textId="77777777" w:rsidR="00731F04" w:rsidRPr="002A27E6" w:rsidRDefault="00731F04" w:rsidP="00731F04">
            <w:pPr>
              <w:widowControl/>
              <w:numPr>
                <w:ilvl w:val="2"/>
                <w:numId w:val="9"/>
              </w:numPr>
              <w:autoSpaceDE/>
              <w:autoSpaceDN/>
              <w:spacing w:before="120" w:after="120" w:line="276" w:lineRule="auto"/>
              <w:jc w:val="both"/>
              <w:rPr>
                <w:rFonts w:ascii="Calibri" w:hAnsi="Calibri" w:cs="Calibri"/>
              </w:rPr>
            </w:pPr>
            <w:r w:rsidRPr="002A27E6">
              <w:rPr>
                <w:rFonts w:ascii="Calibri" w:hAnsi="Calibri" w:cs="Calibri"/>
              </w:rPr>
              <w:t>The first issue is on the computation of amount payable under the scheme under Category I. The valuation is envisaged as on 31 March 2026 regardless of cost incurred in the past year in which it was acquired. There is ambiguity whether the amount payable under the scheme is (a) 30% of Rs. 1 Cr (i.e. 30 lakhs) plus (b) 30% of Rs. 50 lakhs (i.e. Rs. 15 lakhs) plus (c) 100% of (</w:t>
            </w:r>
            <w:proofErr w:type="spellStart"/>
            <w:r w:rsidRPr="002A27E6">
              <w:rPr>
                <w:rFonts w:ascii="Calibri" w:hAnsi="Calibri" w:cs="Calibri"/>
              </w:rPr>
              <w:t>a+b</w:t>
            </w:r>
            <w:proofErr w:type="spellEnd"/>
            <w:r w:rsidRPr="002A27E6">
              <w:rPr>
                <w:rFonts w:ascii="Calibri" w:hAnsi="Calibri" w:cs="Calibri"/>
              </w:rPr>
              <w:t xml:space="preserve">) (i.e. Rs. 45 lakhs), aggregating to Rs. 90 lakhs. If this is correct, then it is too onerous considering that the amount payable under BMA would have been Rs. 60 lakhs (apart from prosecution). It will significantly reduce the attractiveness of the scheme to regularise the past defaults of small taxpayers. In fact, the taxpayer under the above illustration would be prevented from filing the declaration since the aggregate of foreign asset and income exceeds Rs. 1 Cr. </w:t>
            </w:r>
          </w:p>
          <w:p w14:paraId="4448D548" w14:textId="77777777" w:rsidR="00731F04" w:rsidRPr="002A27E6" w:rsidRDefault="00731F04" w:rsidP="00731F04">
            <w:pPr>
              <w:widowControl/>
              <w:autoSpaceDE/>
              <w:autoSpaceDN/>
              <w:spacing w:before="120" w:after="120" w:line="276" w:lineRule="auto"/>
              <w:ind w:left="1296"/>
              <w:jc w:val="both"/>
              <w:rPr>
                <w:rFonts w:ascii="Calibri" w:hAnsi="Calibri" w:cs="Calibri"/>
              </w:rPr>
            </w:pPr>
            <w:r w:rsidRPr="002A27E6">
              <w:rPr>
                <w:rFonts w:ascii="Calibri" w:hAnsi="Calibri" w:cs="Calibri"/>
              </w:rPr>
              <w:t xml:space="preserve">Hence, it is recommended to clarify that the amount payable under the scheme in the above case where source of foreign asset is explainable is 30% on quantum of undisclosed foreign income i.e. Rs. 15 lakhs and 100% thereof i.e. Rs. 15 lakhs, aggregating to Rs. 30 lakhs. </w:t>
            </w:r>
          </w:p>
          <w:p w14:paraId="439134E6" w14:textId="77777777" w:rsidR="00172574" w:rsidRPr="002A27E6" w:rsidRDefault="00731F04" w:rsidP="00731F04">
            <w:pPr>
              <w:widowControl/>
              <w:numPr>
                <w:ilvl w:val="2"/>
                <w:numId w:val="9"/>
              </w:numPr>
              <w:autoSpaceDE/>
              <w:autoSpaceDN/>
              <w:spacing w:before="120" w:after="120" w:line="276" w:lineRule="auto"/>
              <w:jc w:val="both"/>
              <w:rPr>
                <w:rFonts w:ascii="Calibri" w:hAnsi="Calibri" w:cs="Calibri"/>
              </w:rPr>
            </w:pPr>
            <w:r w:rsidRPr="002A27E6">
              <w:rPr>
                <w:rFonts w:ascii="Calibri" w:hAnsi="Calibri" w:cs="Calibri"/>
              </w:rPr>
              <w:t xml:space="preserve">The second issue is on the valuation of the asset in case of Category 2 where there is merely default of not reporting the assets. In this category, the condition is that the value of foreign asset should not exceed Rs. 5 Cr. The value of asset is defined in clause 115 (l) to mean the fair market value of the asset to be determined as per rules to be prescribed. In this regard, it is relevant to note that Schedule FA of ITR requires reporting “cost” of the foreign asset and not the FMV. But for the purposes of declaration under the Scheme, the cap is provided w.r.t FMV. This can exclude those taxpayers whose default in reporting foreign assets is with reference to assets whose cost is less than Rs. 5 Cr but the FMV is more than Rs. 5 Cr on 31 March 2026.  </w:t>
            </w:r>
            <w:r w:rsidR="00172574" w:rsidRPr="002A27E6">
              <w:rPr>
                <w:rFonts w:ascii="Calibri" w:hAnsi="Calibri" w:cs="Calibri"/>
              </w:rPr>
              <w:br/>
            </w:r>
          </w:p>
          <w:p w14:paraId="5FEE5773" w14:textId="19F0BD0C" w:rsidR="00731F04" w:rsidRPr="002A27E6" w:rsidRDefault="00731F04" w:rsidP="00172574">
            <w:pPr>
              <w:widowControl/>
              <w:autoSpaceDE/>
              <w:autoSpaceDN/>
              <w:spacing w:before="120" w:after="120" w:line="276" w:lineRule="auto"/>
              <w:ind w:left="1296"/>
              <w:jc w:val="both"/>
              <w:rPr>
                <w:rFonts w:ascii="Calibri" w:hAnsi="Calibri" w:cs="Calibri"/>
              </w:rPr>
            </w:pPr>
            <w:r w:rsidRPr="002A27E6">
              <w:rPr>
                <w:rFonts w:ascii="Calibri" w:hAnsi="Calibri" w:cs="Calibri"/>
              </w:rPr>
              <w:lastRenderedPageBreak/>
              <w:t>Since the income is fully reported and cost is ascertainable, it is recommended that the value for second category should be reckoned with reference to cost of acquisition and not fair market value as on 31 March 2026.</w:t>
            </w:r>
          </w:p>
        </w:tc>
      </w:tr>
    </w:tbl>
    <w:p w14:paraId="026346A0" w14:textId="178046BF" w:rsidR="00A13DE5" w:rsidRPr="002A27E6" w:rsidRDefault="00A13DE5" w:rsidP="003E6E86">
      <w:pPr>
        <w:spacing w:before="120" w:after="120" w:line="276" w:lineRule="auto"/>
        <w:rPr>
          <w:rFonts w:ascii="Calibri" w:hAnsi="Calibri" w:cs="Calibri"/>
          <w:b/>
          <w:bCs/>
        </w:rPr>
      </w:pPr>
    </w:p>
    <w:sectPr w:rsidR="00A13DE5" w:rsidRPr="002A27E6" w:rsidSect="00C2483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74F1" w14:textId="77777777" w:rsidR="00471AAD" w:rsidRDefault="00471AAD" w:rsidP="00C24833">
      <w:r>
        <w:separator/>
      </w:r>
    </w:p>
  </w:endnote>
  <w:endnote w:type="continuationSeparator" w:id="0">
    <w:p w14:paraId="016093B1" w14:textId="77777777" w:rsidR="00471AAD" w:rsidRDefault="00471AAD" w:rsidP="00C2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EYInterstate">
    <w:panose1 w:val="02000503020000020004"/>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976066150"/>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p w14:paraId="5309F85B" w14:textId="00F90D3E" w:rsidR="00CD7B15" w:rsidRPr="00CD7B15" w:rsidRDefault="00CD7B15" w:rsidP="00CD7B15">
            <w:pPr>
              <w:pStyle w:val="Footer"/>
              <w:jc w:val="right"/>
              <w:rPr>
                <w:rFonts w:ascii="Calibri" w:hAnsi="Calibri" w:cs="Calibri"/>
              </w:rPr>
            </w:pPr>
            <w:r w:rsidRPr="00CD7B15">
              <w:rPr>
                <w:rFonts w:ascii="Calibri" w:hAnsi="Calibri" w:cs="Calibri"/>
              </w:rPr>
              <w:t xml:space="preserve">Page </w:t>
            </w:r>
            <w:r w:rsidRPr="00CD7B15">
              <w:rPr>
                <w:rFonts w:ascii="Calibri" w:hAnsi="Calibri" w:cs="Calibri"/>
                <w:b/>
                <w:bCs/>
              </w:rPr>
              <w:fldChar w:fldCharType="begin"/>
            </w:r>
            <w:r w:rsidRPr="00CD7B15">
              <w:rPr>
                <w:rFonts w:ascii="Calibri" w:hAnsi="Calibri" w:cs="Calibri"/>
                <w:b/>
                <w:bCs/>
              </w:rPr>
              <w:instrText xml:space="preserve"> PAGE </w:instrText>
            </w:r>
            <w:r w:rsidRPr="00CD7B15">
              <w:rPr>
                <w:rFonts w:ascii="Calibri" w:hAnsi="Calibri" w:cs="Calibri"/>
                <w:b/>
                <w:bCs/>
              </w:rPr>
              <w:fldChar w:fldCharType="separate"/>
            </w:r>
            <w:r w:rsidRPr="00CD7B15">
              <w:rPr>
                <w:rFonts w:ascii="Calibri" w:hAnsi="Calibri" w:cs="Calibri"/>
                <w:b/>
                <w:bCs/>
                <w:noProof/>
              </w:rPr>
              <w:t>2</w:t>
            </w:r>
            <w:r w:rsidRPr="00CD7B15">
              <w:rPr>
                <w:rFonts w:ascii="Calibri" w:hAnsi="Calibri" w:cs="Calibri"/>
                <w:b/>
                <w:bCs/>
              </w:rPr>
              <w:fldChar w:fldCharType="end"/>
            </w:r>
            <w:r w:rsidRPr="00CD7B15">
              <w:rPr>
                <w:rFonts w:ascii="Calibri" w:hAnsi="Calibri" w:cs="Calibri"/>
              </w:rPr>
              <w:t xml:space="preserve"> of </w:t>
            </w:r>
            <w:r w:rsidRPr="00CD7B15">
              <w:rPr>
                <w:rFonts w:ascii="Calibri" w:hAnsi="Calibri" w:cs="Calibri"/>
                <w:b/>
                <w:bCs/>
              </w:rPr>
              <w:fldChar w:fldCharType="begin"/>
            </w:r>
            <w:r w:rsidRPr="00CD7B15">
              <w:rPr>
                <w:rFonts w:ascii="Calibri" w:hAnsi="Calibri" w:cs="Calibri"/>
                <w:b/>
                <w:bCs/>
              </w:rPr>
              <w:instrText xml:space="preserve"> NUMPAGES  </w:instrText>
            </w:r>
            <w:r w:rsidRPr="00CD7B15">
              <w:rPr>
                <w:rFonts w:ascii="Calibri" w:hAnsi="Calibri" w:cs="Calibri"/>
                <w:b/>
                <w:bCs/>
              </w:rPr>
              <w:fldChar w:fldCharType="separate"/>
            </w:r>
            <w:r w:rsidRPr="00CD7B15">
              <w:rPr>
                <w:rFonts w:ascii="Calibri" w:hAnsi="Calibri" w:cs="Calibri"/>
                <w:b/>
                <w:bCs/>
                <w:noProof/>
              </w:rPr>
              <w:t>2</w:t>
            </w:r>
            <w:r w:rsidRPr="00CD7B15">
              <w:rPr>
                <w:rFonts w:ascii="Calibri" w:hAnsi="Calibri" w:cs="Calibr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1A20" w14:textId="77777777" w:rsidR="00471AAD" w:rsidRDefault="00471AAD" w:rsidP="00C24833">
      <w:r>
        <w:separator/>
      </w:r>
    </w:p>
  </w:footnote>
  <w:footnote w:type="continuationSeparator" w:id="0">
    <w:p w14:paraId="4343CBE0" w14:textId="77777777" w:rsidR="00471AAD" w:rsidRDefault="00471AAD" w:rsidP="00C24833">
      <w:r>
        <w:continuationSeparator/>
      </w:r>
    </w:p>
  </w:footnote>
  <w:footnote w:id="1">
    <w:p w14:paraId="39E073C7" w14:textId="77777777" w:rsidR="009B7640" w:rsidRPr="003E6E86" w:rsidRDefault="009B7640" w:rsidP="00112174">
      <w:pPr>
        <w:pStyle w:val="FootnoteText"/>
        <w:rPr>
          <w:rFonts w:ascii="Calibri" w:hAnsi="Calibri" w:cs="Calibri"/>
          <w:lang w:val="en-US"/>
        </w:rPr>
      </w:pPr>
      <w:r w:rsidRPr="003E6E86">
        <w:rPr>
          <w:rStyle w:val="FootnoteReference"/>
          <w:rFonts w:ascii="Calibri" w:hAnsi="Calibri" w:cs="Calibri"/>
        </w:rPr>
        <w:footnoteRef/>
      </w:r>
      <w:r w:rsidRPr="003E6E86">
        <w:rPr>
          <w:rFonts w:ascii="Calibri" w:hAnsi="Calibri" w:cs="Calibri"/>
        </w:rPr>
        <w:t xml:space="preserve"> </w:t>
      </w:r>
      <w:hyperlink r:id="rId1" w:history="1">
        <w:r w:rsidRPr="003E6E86">
          <w:rPr>
            <w:rStyle w:val="Hyperlink"/>
            <w:rFonts w:ascii="Calibri" w:hAnsi="Calibri" w:cs="Calibri"/>
          </w:rPr>
          <w:t>https://www.niti.gov.in/sites/default/files/2025-10/Report_Tax_Policy_Working_Paper_Series_II.pdf</w:t>
        </w:r>
      </w:hyperlink>
      <w:r w:rsidRPr="003E6E86">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8B36" w14:textId="3D283B57" w:rsidR="00C24833" w:rsidRDefault="00C24833" w:rsidP="00C24833">
    <w:pPr>
      <w:pStyle w:val="Header"/>
      <w:ind w:right="-718"/>
      <w:rPr>
        <w:rFonts w:asciiTheme="minorHAnsi" w:hAnsiTheme="minorHAnsi" w:cstheme="minorHAnsi"/>
        <w:b/>
        <w:bCs/>
        <w:sz w:val="18"/>
        <w:szCs w:val="18"/>
      </w:rPr>
    </w:pPr>
    <w:r w:rsidRPr="00B07335">
      <w:rPr>
        <w:b/>
        <w:noProof/>
        <w:lang w:val="en-IN" w:eastAsia="en-IN"/>
      </w:rPr>
      <w:drawing>
        <wp:inline distT="0" distB="0" distL="0" distR="0" wp14:anchorId="1155ED15" wp14:editId="2875006B">
          <wp:extent cx="581025" cy="3905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1025" cy="390525"/>
                  </a:xfrm>
                  <a:prstGeom prst="rect">
                    <a:avLst/>
                  </a:prstGeom>
                  <a:solidFill>
                    <a:srgbClr val="FFFFFF"/>
                  </a:solidFill>
                  <a:ln w="9525">
                    <a:noFill/>
                    <a:miter lim="800000"/>
                    <a:headEnd/>
                    <a:tailEnd/>
                  </a:ln>
                </pic:spPr>
              </pic:pic>
            </a:graphicData>
          </a:graphic>
        </wp:inline>
      </w:drawing>
    </w:r>
    <w:r>
      <w:tab/>
    </w:r>
    <w:r>
      <w:tab/>
    </w:r>
    <w:r>
      <w:tab/>
    </w:r>
    <w:r>
      <w:tab/>
    </w:r>
    <w:r w:rsidRPr="00017648">
      <w:rPr>
        <w:rFonts w:asciiTheme="minorHAnsi" w:hAnsiTheme="minorHAnsi" w:cstheme="minorHAnsi"/>
        <w:sz w:val="18"/>
        <w:szCs w:val="18"/>
      </w:rPr>
      <w:t>Bombay Chamber of Commerce and Industry</w:t>
    </w:r>
  </w:p>
  <w:p w14:paraId="3FB2F6A6" w14:textId="77777777" w:rsidR="00C24833" w:rsidRDefault="00C24833" w:rsidP="00C24833">
    <w:pPr>
      <w:pStyle w:val="Header"/>
      <w:ind w:right="-718"/>
      <w:rPr>
        <w:rFonts w:asciiTheme="minorHAnsi" w:hAnsiTheme="minorHAnsi" w:cstheme="minorHAnsi"/>
        <w:b/>
        <w:bCs/>
        <w:sz w:val="18"/>
        <w:szCs w:val="18"/>
      </w:rPr>
    </w:pPr>
  </w:p>
  <w:p w14:paraId="51751E2A" w14:textId="7E695DF2" w:rsidR="00C24833" w:rsidRDefault="00C2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ACE"/>
    <w:multiLevelType w:val="hybridMultilevel"/>
    <w:tmpl w:val="08528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E777F4"/>
    <w:multiLevelType w:val="hybridMultilevel"/>
    <w:tmpl w:val="D15EC1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F11675"/>
    <w:multiLevelType w:val="multilevel"/>
    <w:tmpl w:val="B1DE25AE"/>
    <w:styleLink w:val="CurrentList5"/>
    <w:lvl w:ilvl="0">
      <w:start w:val="1"/>
      <w:numFmt w:val="bullet"/>
      <w:lvlText w:val=""/>
      <w:lvlJc w:val="left"/>
      <w:pPr>
        <w:ind w:left="432" w:hanging="432"/>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bullet"/>
      <w:lvlText w:val="o"/>
      <w:lvlJc w:val="left"/>
      <w:pPr>
        <w:ind w:left="2160" w:hanging="720"/>
      </w:pPr>
      <w:rPr>
        <w:rFonts w:ascii="Courier New" w:hAnsi="Courier New" w:hint="default"/>
      </w:rPr>
    </w:lvl>
    <w:lvl w:ilvl="3">
      <w:start w:val="1"/>
      <w:numFmt w:val="bullet"/>
      <w:lvlText w:val=""/>
      <w:lvlJc w:val="left"/>
      <w:pPr>
        <w:ind w:left="720" w:hanging="720"/>
      </w:pPr>
      <w:rPr>
        <w:rFonts w:ascii="Symbol" w:hAnsi="Symbol" w:hint="default"/>
      </w:rPr>
    </w:lvl>
    <w:lvl w:ilvl="4">
      <w:start w:val="1"/>
      <w:numFmt w:val="bullet"/>
      <w:lvlText w:val=""/>
      <w:lvlJc w:val="left"/>
      <w:pPr>
        <w:ind w:left="720" w:hanging="720"/>
      </w:pPr>
      <w:rPr>
        <w:rFonts w:ascii="Symbol" w:hAnsi="Symbol" w:hint="default"/>
      </w:rPr>
    </w:lvl>
    <w:lvl w:ilvl="5">
      <w:start w:val="1"/>
      <w:numFmt w:val="bullet"/>
      <w:lvlText w:val=""/>
      <w:lvlJc w:val="left"/>
      <w:pPr>
        <w:ind w:left="720" w:hanging="720"/>
      </w:pPr>
      <w:rPr>
        <w:rFonts w:ascii="Wingdings" w:hAnsi="Wingdings" w:hint="default"/>
      </w:rPr>
    </w:lvl>
    <w:lvl w:ilvl="6">
      <w:start w:val="1"/>
      <w:numFmt w:val="bullet"/>
      <w:lvlText w:val=""/>
      <w:lvlJc w:val="left"/>
      <w:pPr>
        <w:ind w:left="720" w:hanging="720"/>
      </w:pPr>
      <w:rPr>
        <w:rFonts w:ascii="Wingdings" w:hAnsi="Wingdings" w:hint="default"/>
      </w:rPr>
    </w:lvl>
    <w:lvl w:ilvl="7">
      <w:start w:val="1"/>
      <w:numFmt w:val="bullet"/>
      <w:lvlText w:val=""/>
      <w:lvlJc w:val="left"/>
      <w:pPr>
        <w:ind w:left="720" w:hanging="720"/>
      </w:pPr>
      <w:rPr>
        <w:rFonts w:ascii="Symbol" w:hAnsi="Symbol" w:hint="default"/>
      </w:rPr>
    </w:lvl>
    <w:lvl w:ilvl="8">
      <w:start w:val="1"/>
      <w:numFmt w:val="bullet"/>
      <w:lvlText w:val=""/>
      <w:lvlJc w:val="left"/>
      <w:pPr>
        <w:ind w:left="720" w:hanging="720"/>
      </w:pPr>
      <w:rPr>
        <w:rFonts w:ascii="Symbol" w:hAnsi="Symbol" w:hint="default"/>
      </w:rPr>
    </w:lvl>
  </w:abstractNum>
  <w:abstractNum w:abstractNumId="3" w15:restartNumberingAfterBreak="0">
    <w:nsid w:val="20FC1A81"/>
    <w:multiLevelType w:val="hybridMultilevel"/>
    <w:tmpl w:val="C3D08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E35C17"/>
    <w:multiLevelType w:val="multilevel"/>
    <w:tmpl w:val="A6F48054"/>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637A14"/>
    <w:multiLevelType w:val="hybridMultilevel"/>
    <w:tmpl w:val="148236D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EB4FF4"/>
    <w:multiLevelType w:val="multilevel"/>
    <w:tmpl w:val="444EE1B2"/>
    <w:lvl w:ilvl="0">
      <w:start w:val="1"/>
      <w:numFmt w:val="bullet"/>
      <w:lvlText w:val=""/>
      <w:lvlJc w:val="left"/>
      <w:pPr>
        <w:ind w:left="432" w:hanging="432"/>
      </w:pPr>
      <w:rPr>
        <w:rFonts w:ascii="Wingdings" w:hAnsi="Wingdings" w:hint="default"/>
      </w:rPr>
    </w:lvl>
    <w:lvl w:ilvl="1">
      <w:start w:val="1"/>
      <w:numFmt w:val="bullet"/>
      <w:lvlText w:val=""/>
      <w:lvlJc w:val="left"/>
      <w:pPr>
        <w:ind w:left="864" w:hanging="432"/>
      </w:pPr>
      <w:rPr>
        <w:rFonts w:ascii="Symbol" w:hAnsi="Symbol" w:hint="default"/>
      </w:rPr>
    </w:lvl>
    <w:lvl w:ilvl="2">
      <w:start w:val="1"/>
      <w:numFmt w:val="bullet"/>
      <w:lvlText w:val="o"/>
      <w:lvlJc w:val="left"/>
      <w:pPr>
        <w:ind w:left="1296" w:hanging="432"/>
      </w:pPr>
      <w:rPr>
        <w:rFonts w:ascii="Courier New" w:hAnsi="Courier New" w:hint="default"/>
      </w:rPr>
    </w:lvl>
    <w:lvl w:ilvl="3">
      <w:start w:val="1"/>
      <w:numFmt w:val="bullet"/>
      <w:lvlText w:val=""/>
      <w:lvlJc w:val="left"/>
      <w:pPr>
        <w:ind w:left="720" w:hanging="720"/>
      </w:pPr>
      <w:rPr>
        <w:rFonts w:ascii="Symbol" w:hAnsi="Symbol" w:hint="default"/>
      </w:rPr>
    </w:lvl>
    <w:lvl w:ilvl="4">
      <w:start w:val="1"/>
      <w:numFmt w:val="bullet"/>
      <w:lvlText w:val=""/>
      <w:lvlJc w:val="left"/>
      <w:pPr>
        <w:ind w:left="720" w:hanging="720"/>
      </w:pPr>
      <w:rPr>
        <w:rFonts w:ascii="Symbol" w:hAnsi="Symbol" w:hint="default"/>
      </w:rPr>
    </w:lvl>
    <w:lvl w:ilvl="5">
      <w:start w:val="1"/>
      <w:numFmt w:val="bullet"/>
      <w:lvlText w:val=""/>
      <w:lvlJc w:val="left"/>
      <w:pPr>
        <w:ind w:left="720" w:hanging="720"/>
      </w:pPr>
      <w:rPr>
        <w:rFonts w:ascii="Wingdings" w:hAnsi="Wingdings" w:hint="default"/>
      </w:rPr>
    </w:lvl>
    <w:lvl w:ilvl="6">
      <w:start w:val="1"/>
      <w:numFmt w:val="bullet"/>
      <w:lvlText w:val=""/>
      <w:lvlJc w:val="left"/>
      <w:pPr>
        <w:ind w:left="720" w:hanging="720"/>
      </w:pPr>
      <w:rPr>
        <w:rFonts w:ascii="Wingdings" w:hAnsi="Wingdings" w:hint="default"/>
      </w:rPr>
    </w:lvl>
    <w:lvl w:ilvl="7">
      <w:start w:val="1"/>
      <w:numFmt w:val="bullet"/>
      <w:lvlText w:val=""/>
      <w:lvlJc w:val="left"/>
      <w:pPr>
        <w:ind w:left="720" w:hanging="720"/>
      </w:pPr>
      <w:rPr>
        <w:rFonts w:ascii="Symbol" w:hAnsi="Symbol" w:hint="default"/>
      </w:rPr>
    </w:lvl>
    <w:lvl w:ilvl="8">
      <w:start w:val="1"/>
      <w:numFmt w:val="bullet"/>
      <w:lvlText w:val=""/>
      <w:lvlJc w:val="left"/>
      <w:pPr>
        <w:ind w:left="720" w:hanging="720"/>
      </w:pPr>
      <w:rPr>
        <w:rFonts w:ascii="Symbol" w:hAnsi="Symbol" w:hint="default"/>
      </w:rPr>
    </w:lvl>
  </w:abstractNum>
  <w:abstractNum w:abstractNumId="7" w15:restartNumberingAfterBreak="0">
    <w:nsid w:val="337F52C5"/>
    <w:multiLevelType w:val="multilevel"/>
    <w:tmpl w:val="EFEE0F74"/>
    <w:lvl w:ilvl="0">
      <w:start w:val="1"/>
      <w:numFmt w:val="decimal"/>
      <w:lvlText w:val="%1."/>
      <w:lvlJc w:val="left"/>
      <w:pPr>
        <w:ind w:left="720" w:hanging="720"/>
      </w:pPr>
      <w:rPr>
        <w:rFonts w:hint="default"/>
        <w:b/>
        <w:bCs/>
      </w:rPr>
    </w:lvl>
    <w:lvl w:ilvl="1">
      <w:start w:val="1"/>
      <w:numFmt w:val="decimal"/>
      <w:lvlText w:val="%1.%2."/>
      <w:lvlJc w:val="left"/>
      <w:pPr>
        <w:ind w:left="720" w:hanging="720"/>
      </w:pPr>
      <w:rPr>
        <w:rFonts w:hint="default"/>
      </w:rPr>
    </w:lvl>
    <w:lvl w:ilvl="2">
      <w:start w:val="1"/>
      <w:numFmt w:val="bullet"/>
      <w:lvlText w:val=""/>
      <w:lvlJc w:val="left"/>
      <w:pPr>
        <w:ind w:left="1440" w:hanging="720"/>
      </w:pPr>
      <w:rPr>
        <w:rFonts w:ascii="Wingdings" w:hAnsi="Wingdings" w:hint="default"/>
      </w:rPr>
    </w:lvl>
    <w:lvl w:ilvl="3">
      <w:start w:val="1"/>
      <w:numFmt w:val="bullet"/>
      <w:lvlText w:val="►"/>
      <w:lvlJc w:val="left"/>
      <w:pPr>
        <w:ind w:left="2160" w:hanging="720"/>
      </w:pPr>
      <w:rPr>
        <w:rFonts w:ascii="Courier New" w:hAnsi="Courier New" w:hint="default"/>
        <w:color w:val="FFC000"/>
      </w:rPr>
    </w:lvl>
    <w:lvl w:ilvl="4">
      <w:start w:val="1"/>
      <w:numFmt w:val="bullet"/>
      <w:lvlText w:val=""/>
      <w:lvlJc w:val="left"/>
      <w:pPr>
        <w:ind w:left="2880" w:hanging="720"/>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550570"/>
    <w:multiLevelType w:val="multilevel"/>
    <w:tmpl w:val="B08A3F5C"/>
    <w:lvl w:ilvl="0">
      <w:start w:val="1"/>
      <w:numFmt w:val="decimal"/>
      <w:lvlText w:val="%1."/>
      <w:lvlJc w:val="left"/>
      <w:pPr>
        <w:ind w:left="720" w:hanging="720"/>
      </w:pPr>
      <w:rPr>
        <w:rFonts w:hint="default"/>
        <w:b w:val="0"/>
        <w:bCs w:val="0"/>
        <w:color w:val="auto"/>
      </w:rPr>
    </w:lvl>
    <w:lvl w:ilvl="1">
      <w:start w:val="1"/>
      <w:numFmt w:val="decimal"/>
      <w:lvlText w:val="%1.%2."/>
      <w:lvlJc w:val="left"/>
      <w:pPr>
        <w:ind w:left="720" w:hanging="720"/>
      </w:pPr>
      <w:rPr>
        <w:rFonts w:hint="default"/>
        <w:b w:val="0"/>
        <w:bCs w:val="0"/>
        <w:i w:val="0"/>
        <w:iCs w:val="0"/>
        <w:color w:val="auto"/>
      </w:rPr>
    </w:lvl>
    <w:lvl w:ilvl="2">
      <w:start w:val="1"/>
      <w:numFmt w:val="lowerLetter"/>
      <w:lvlText w:val="(%3)"/>
      <w:lvlJc w:val="left"/>
      <w:pPr>
        <w:ind w:left="1152" w:hanging="432"/>
      </w:pPr>
      <w:rPr>
        <w:rFonts w:hint="default"/>
        <w:b w:val="0"/>
        <w:bCs w:val="0"/>
      </w:rPr>
    </w:lvl>
    <w:lvl w:ilvl="3">
      <w:start w:val="1"/>
      <w:numFmt w:val="lowerRoman"/>
      <w:lvlText w:val="(%4)"/>
      <w:lvlJc w:val="left"/>
      <w:pPr>
        <w:tabs>
          <w:tab w:val="num" w:pos="1152"/>
        </w:tabs>
        <w:ind w:left="1728" w:hanging="576"/>
      </w:pPr>
      <w:rPr>
        <w:rFonts w:hint="default"/>
        <w:b w:val="0"/>
        <w:bCs w:val="0"/>
      </w:rPr>
    </w:lvl>
    <w:lvl w:ilvl="4">
      <w:start w:val="1"/>
      <w:numFmt w:val="bullet"/>
      <w:lvlText w:val="►"/>
      <w:lvlJc w:val="left"/>
      <w:pPr>
        <w:ind w:left="2160" w:hanging="432"/>
      </w:pPr>
      <w:rPr>
        <w:rFonts w:ascii="Arial" w:hAnsi="Arial" w:hint="default"/>
        <w:color w:val="FFC000"/>
      </w:rPr>
    </w:lvl>
    <w:lvl w:ilvl="5">
      <w:start w:val="1"/>
      <w:numFmt w:val="bullet"/>
      <w:lvlText w:val=""/>
      <w:lvlJc w:val="left"/>
      <w:pPr>
        <w:ind w:left="2592" w:hanging="432"/>
      </w:pPr>
      <w:rPr>
        <w:rFonts w:ascii="Symbol" w:hAnsi="Symbol"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9" w15:restartNumberingAfterBreak="0">
    <w:nsid w:val="4B61073B"/>
    <w:multiLevelType w:val="multilevel"/>
    <w:tmpl w:val="0DBA0B40"/>
    <w:styleLink w:val="CurrentList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4D4B0A3D"/>
    <w:multiLevelType w:val="hybridMultilevel"/>
    <w:tmpl w:val="CC86D7D2"/>
    <w:lvl w:ilvl="0" w:tplc="1BB8C4CA">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FC7928"/>
    <w:multiLevelType w:val="multilevel"/>
    <w:tmpl w:val="844C00DC"/>
    <w:styleLink w:val="CurrentList2"/>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6DB53B0"/>
    <w:multiLevelType w:val="multilevel"/>
    <w:tmpl w:val="63B46224"/>
    <w:styleLink w:val="CurrentList4"/>
    <w:lvl w:ilvl="0">
      <w:start w:val="1"/>
      <w:numFmt w:val="bullet"/>
      <w:lvlText w:val=""/>
      <w:lvlJc w:val="left"/>
      <w:pPr>
        <w:ind w:left="720" w:hanging="720"/>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bullet"/>
      <w:lvlText w:val="o"/>
      <w:lvlJc w:val="left"/>
      <w:pPr>
        <w:ind w:left="2160" w:hanging="720"/>
      </w:pPr>
      <w:rPr>
        <w:rFonts w:ascii="Courier New" w:hAnsi="Courier New" w:hint="default"/>
      </w:rPr>
    </w:lvl>
    <w:lvl w:ilvl="3">
      <w:start w:val="1"/>
      <w:numFmt w:val="bullet"/>
      <w:lvlText w:val=""/>
      <w:lvlJc w:val="left"/>
      <w:pPr>
        <w:ind w:left="720" w:hanging="720"/>
      </w:pPr>
      <w:rPr>
        <w:rFonts w:ascii="Symbol" w:hAnsi="Symbol" w:hint="default"/>
      </w:rPr>
    </w:lvl>
    <w:lvl w:ilvl="4">
      <w:start w:val="1"/>
      <w:numFmt w:val="bullet"/>
      <w:lvlText w:val=""/>
      <w:lvlJc w:val="left"/>
      <w:pPr>
        <w:ind w:left="720" w:hanging="720"/>
      </w:pPr>
      <w:rPr>
        <w:rFonts w:ascii="Symbol" w:hAnsi="Symbol" w:hint="default"/>
      </w:rPr>
    </w:lvl>
    <w:lvl w:ilvl="5">
      <w:start w:val="1"/>
      <w:numFmt w:val="bullet"/>
      <w:lvlText w:val=""/>
      <w:lvlJc w:val="left"/>
      <w:pPr>
        <w:ind w:left="720" w:hanging="720"/>
      </w:pPr>
      <w:rPr>
        <w:rFonts w:ascii="Wingdings" w:hAnsi="Wingdings" w:hint="default"/>
      </w:rPr>
    </w:lvl>
    <w:lvl w:ilvl="6">
      <w:start w:val="1"/>
      <w:numFmt w:val="bullet"/>
      <w:lvlText w:val=""/>
      <w:lvlJc w:val="left"/>
      <w:pPr>
        <w:ind w:left="720" w:hanging="720"/>
      </w:pPr>
      <w:rPr>
        <w:rFonts w:ascii="Wingdings" w:hAnsi="Wingdings" w:hint="default"/>
      </w:rPr>
    </w:lvl>
    <w:lvl w:ilvl="7">
      <w:start w:val="1"/>
      <w:numFmt w:val="bullet"/>
      <w:lvlText w:val=""/>
      <w:lvlJc w:val="left"/>
      <w:pPr>
        <w:ind w:left="720" w:hanging="720"/>
      </w:pPr>
      <w:rPr>
        <w:rFonts w:ascii="Symbol" w:hAnsi="Symbol" w:hint="default"/>
      </w:rPr>
    </w:lvl>
    <w:lvl w:ilvl="8">
      <w:start w:val="1"/>
      <w:numFmt w:val="bullet"/>
      <w:lvlText w:val=""/>
      <w:lvlJc w:val="left"/>
      <w:pPr>
        <w:ind w:left="720" w:hanging="720"/>
      </w:pPr>
      <w:rPr>
        <w:rFonts w:ascii="Symbol" w:hAnsi="Symbol" w:hint="default"/>
      </w:rPr>
    </w:lvl>
  </w:abstractNum>
  <w:abstractNum w:abstractNumId="13" w15:restartNumberingAfterBreak="0">
    <w:nsid w:val="5AD30EF3"/>
    <w:multiLevelType w:val="multilevel"/>
    <w:tmpl w:val="22102A94"/>
    <w:styleLink w:val="CurrentList6"/>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4" w15:restartNumberingAfterBreak="0">
    <w:nsid w:val="74A8316F"/>
    <w:multiLevelType w:val="multilevel"/>
    <w:tmpl w:val="444EE1B2"/>
    <w:lvl w:ilvl="0">
      <w:start w:val="1"/>
      <w:numFmt w:val="bullet"/>
      <w:lvlText w:val=""/>
      <w:lvlJc w:val="left"/>
      <w:pPr>
        <w:ind w:left="432" w:hanging="432"/>
      </w:pPr>
      <w:rPr>
        <w:rFonts w:ascii="Wingdings" w:hAnsi="Wingdings" w:hint="default"/>
      </w:rPr>
    </w:lvl>
    <w:lvl w:ilvl="1">
      <w:start w:val="1"/>
      <w:numFmt w:val="bullet"/>
      <w:lvlText w:val=""/>
      <w:lvlJc w:val="left"/>
      <w:pPr>
        <w:ind w:left="864" w:hanging="432"/>
      </w:pPr>
      <w:rPr>
        <w:rFonts w:ascii="Symbol" w:hAnsi="Symbol" w:hint="default"/>
      </w:rPr>
    </w:lvl>
    <w:lvl w:ilvl="2">
      <w:start w:val="1"/>
      <w:numFmt w:val="bullet"/>
      <w:lvlText w:val="o"/>
      <w:lvlJc w:val="left"/>
      <w:pPr>
        <w:ind w:left="1296" w:hanging="432"/>
      </w:pPr>
      <w:rPr>
        <w:rFonts w:ascii="Courier New" w:hAnsi="Courier New" w:hint="default"/>
      </w:rPr>
    </w:lvl>
    <w:lvl w:ilvl="3">
      <w:start w:val="1"/>
      <w:numFmt w:val="bullet"/>
      <w:lvlText w:val=""/>
      <w:lvlJc w:val="left"/>
      <w:pPr>
        <w:ind w:left="720" w:hanging="720"/>
      </w:pPr>
      <w:rPr>
        <w:rFonts w:ascii="Symbol" w:hAnsi="Symbol" w:hint="default"/>
      </w:rPr>
    </w:lvl>
    <w:lvl w:ilvl="4">
      <w:start w:val="1"/>
      <w:numFmt w:val="bullet"/>
      <w:lvlText w:val=""/>
      <w:lvlJc w:val="left"/>
      <w:pPr>
        <w:ind w:left="720" w:hanging="720"/>
      </w:pPr>
      <w:rPr>
        <w:rFonts w:ascii="Symbol" w:hAnsi="Symbol" w:hint="default"/>
      </w:rPr>
    </w:lvl>
    <w:lvl w:ilvl="5">
      <w:start w:val="1"/>
      <w:numFmt w:val="bullet"/>
      <w:lvlText w:val=""/>
      <w:lvlJc w:val="left"/>
      <w:pPr>
        <w:ind w:left="720" w:hanging="720"/>
      </w:pPr>
      <w:rPr>
        <w:rFonts w:ascii="Wingdings" w:hAnsi="Wingdings" w:hint="default"/>
      </w:rPr>
    </w:lvl>
    <w:lvl w:ilvl="6">
      <w:start w:val="1"/>
      <w:numFmt w:val="bullet"/>
      <w:lvlText w:val=""/>
      <w:lvlJc w:val="left"/>
      <w:pPr>
        <w:ind w:left="720" w:hanging="720"/>
      </w:pPr>
      <w:rPr>
        <w:rFonts w:ascii="Wingdings" w:hAnsi="Wingdings" w:hint="default"/>
      </w:rPr>
    </w:lvl>
    <w:lvl w:ilvl="7">
      <w:start w:val="1"/>
      <w:numFmt w:val="bullet"/>
      <w:lvlText w:val=""/>
      <w:lvlJc w:val="left"/>
      <w:pPr>
        <w:ind w:left="720" w:hanging="720"/>
      </w:pPr>
      <w:rPr>
        <w:rFonts w:ascii="Symbol" w:hAnsi="Symbol" w:hint="default"/>
      </w:rPr>
    </w:lvl>
    <w:lvl w:ilvl="8">
      <w:start w:val="1"/>
      <w:numFmt w:val="bullet"/>
      <w:lvlText w:val=""/>
      <w:lvlJc w:val="left"/>
      <w:pPr>
        <w:ind w:left="720" w:hanging="720"/>
      </w:pPr>
      <w:rPr>
        <w:rFonts w:ascii="Symbol" w:hAnsi="Symbol" w:hint="default"/>
      </w:rPr>
    </w:lvl>
  </w:abstractNum>
  <w:num w:numId="1" w16cid:durableId="527328316">
    <w:abstractNumId w:val="4"/>
  </w:num>
  <w:num w:numId="2" w16cid:durableId="888029093">
    <w:abstractNumId w:val="3"/>
  </w:num>
  <w:num w:numId="3" w16cid:durableId="1753164914">
    <w:abstractNumId w:val="10"/>
  </w:num>
  <w:num w:numId="4" w16cid:durableId="1041244532">
    <w:abstractNumId w:val="11"/>
  </w:num>
  <w:num w:numId="5" w16cid:durableId="765347752">
    <w:abstractNumId w:val="6"/>
  </w:num>
  <w:num w:numId="6" w16cid:durableId="512500218">
    <w:abstractNumId w:val="9"/>
  </w:num>
  <w:num w:numId="7" w16cid:durableId="1475219516">
    <w:abstractNumId w:val="12"/>
  </w:num>
  <w:num w:numId="8" w16cid:durableId="817259048">
    <w:abstractNumId w:val="2"/>
  </w:num>
  <w:num w:numId="9" w16cid:durableId="1967006871">
    <w:abstractNumId w:val="14"/>
  </w:num>
  <w:num w:numId="10" w16cid:durableId="1176723694">
    <w:abstractNumId w:val="13"/>
  </w:num>
  <w:num w:numId="11" w16cid:durableId="433206404">
    <w:abstractNumId w:val="1"/>
  </w:num>
  <w:num w:numId="12" w16cid:durableId="1941328424">
    <w:abstractNumId w:val="0"/>
  </w:num>
  <w:num w:numId="13" w16cid:durableId="1590967418">
    <w:abstractNumId w:val="8"/>
  </w:num>
  <w:num w:numId="14" w16cid:durableId="992176989">
    <w:abstractNumId w:val="5"/>
  </w:num>
  <w:num w:numId="15" w16cid:durableId="176429785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33"/>
    <w:rsid w:val="00002D17"/>
    <w:rsid w:val="00015EB8"/>
    <w:rsid w:val="00016078"/>
    <w:rsid w:val="00021763"/>
    <w:rsid w:val="00031D90"/>
    <w:rsid w:val="00036A53"/>
    <w:rsid w:val="000377E0"/>
    <w:rsid w:val="000379CA"/>
    <w:rsid w:val="000417AE"/>
    <w:rsid w:val="00046744"/>
    <w:rsid w:val="000470C9"/>
    <w:rsid w:val="0005002B"/>
    <w:rsid w:val="000532F0"/>
    <w:rsid w:val="00055489"/>
    <w:rsid w:val="00057547"/>
    <w:rsid w:val="00057C0B"/>
    <w:rsid w:val="00060B84"/>
    <w:rsid w:val="0006556E"/>
    <w:rsid w:val="000661AE"/>
    <w:rsid w:val="000752A1"/>
    <w:rsid w:val="00077BDC"/>
    <w:rsid w:val="00087367"/>
    <w:rsid w:val="00095C3F"/>
    <w:rsid w:val="000A2DBF"/>
    <w:rsid w:val="000A489E"/>
    <w:rsid w:val="000A578C"/>
    <w:rsid w:val="000A63D1"/>
    <w:rsid w:val="000B19A2"/>
    <w:rsid w:val="000B543B"/>
    <w:rsid w:val="000D258C"/>
    <w:rsid w:val="000E033C"/>
    <w:rsid w:val="000E0378"/>
    <w:rsid w:val="000E18DC"/>
    <w:rsid w:val="000E206F"/>
    <w:rsid w:val="000F1E0A"/>
    <w:rsid w:val="000F55E3"/>
    <w:rsid w:val="000F55F7"/>
    <w:rsid w:val="000F7347"/>
    <w:rsid w:val="0010397E"/>
    <w:rsid w:val="00104AAD"/>
    <w:rsid w:val="001073A2"/>
    <w:rsid w:val="001109F8"/>
    <w:rsid w:val="00112174"/>
    <w:rsid w:val="001132BB"/>
    <w:rsid w:val="00117BB8"/>
    <w:rsid w:val="001230AC"/>
    <w:rsid w:val="00123BD3"/>
    <w:rsid w:val="00125D3E"/>
    <w:rsid w:val="00133B7B"/>
    <w:rsid w:val="0014509E"/>
    <w:rsid w:val="00150D66"/>
    <w:rsid w:val="00152AB0"/>
    <w:rsid w:val="00154391"/>
    <w:rsid w:val="0016141D"/>
    <w:rsid w:val="0016168C"/>
    <w:rsid w:val="00167EBF"/>
    <w:rsid w:val="00172574"/>
    <w:rsid w:val="00174502"/>
    <w:rsid w:val="00192010"/>
    <w:rsid w:val="00192821"/>
    <w:rsid w:val="0019451B"/>
    <w:rsid w:val="001A18E8"/>
    <w:rsid w:val="001A55C5"/>
    <w:rsid w:val="001A5655"/>
    <w:rsid w:val="001A6DAF"/>
    <w:rsid w:val="001A7F4E"/>
    <w:rsid w:val="001C068D"/>
    <w:rsid w:val="001C3246"/>
    <w:rsid w:val="001D3D0C"/>
    <w:rsid w:val="001E362B"/>
    <w:rsid w:val="001E399D"/>
    <w:rsid w:val="001F2527"/>
    <w:rsid w:val="001F68C4"/>
    <w:rsid w:val="002032CD"/>
    <w:rsid w:val="002118BF"/>
    <w:rsid w:val="00212FC0"/>
    <w:rsid w:val="00216678"/>
    <w:rsid w:val="00220F66"/>
    <w:rsid w:val="00224B3E"/>
    <w:rsid w:val="00224C68"/>
    <w:rsid w:val="0023513B"/>
    <w:rsid w:val="00236B38"/>
    <w:rsid w:val="00241D39"/>
    <w:rsid w:val="00243C99"/>
    <w:rsid w:val="00250C41"/>
    <w:rsid w:val="00251295"/>
    <w:rsid w:val="00251D29"/>
    <w:rsid w:val="00252B00"/>
    <w:rsid w:val="002557EF"/>
    <w:rsid w:val="00260B49"/>
    <w:rsid w:val="00262CAA"/>
    <w:rsid w:val="00271826"/>
    <w:rsid w:val="002725B2"/>
    <w:rsid w:val="00275FD2"/>
    <w:rsid w:val="002776DC"/>
    <w:rsid w:val="00280102"/>
    <w:rsid w:val="0028154A"/>
    <w:rsid w:val="00282866"/>
    <w:rsid w:val="00282CAA"/>
    <w:rsid w:val="00282F32"/>
    <w:rsid w:val="00296754"/>
    <w:rsid w:val="00296BCC"/>
    <w:rsid w:val="002A27E6"/>
    <w:rsid w:val="002B3BE6"/>
    <w:rsid w:val="002B417C"/>
    <w:rsid w:val="002B7BB8"/>
    <w:rsid w:val="002C63D3"/>
    <w:rsid w:val="002C7AD2"/>
    <w:rsid w:val="002D4442"/>
    <w:rsid w:val="002D71EB"/>
    <w:rsid w:val="002E0667"/>
    <w:rsid w:val="002E50EF"/>
    <w:rsid w:val="002E68DE"/>
    <w:rsid w:val="002E6C6F"/>
    <w:rsid w:val="002E7351"/>
    <w:rsid w:val="002E743A"/>
    <w:rsid w:val="00311318"/>
    <w:rsid w:val="00313F61"/>
    <w:rsid w:val="003147AE"/>
    <w:rsid w:val="003174C3"/>
    <w:rsid w:val="003245EE"/>
    <w:rsid w:val="00340571"/>
    <w:rsid w:val="00343F58"/>
    <w:rsid w:val="00346084"/>
    <w:rsid w:val="00352818"/>
    <w:rsid w:val="0035582E"/>
    <w:rsid w:val="003570ED"/>
    <w:rsid w:val="00384743"/>
    <w:rsid w:val="00390531"/>
    <w:rsid w:val="0039070A"/>
    <w:rsid w:val="00393EE4"/>
    <w:rsid w:val="00396B91"/>
    <w:rsid w:val="003A390E"/>
    <w:rsid w:val="003A684E"/>
    <w:rsid w:val="003B51D8"/>
    <w:rsid w:val="003B6EB7"/>
    <w:rsid w:val="003C04A3"/>
    <w:rsid w:val="003C2982"/>
    <w:rsid w:val="003C48E6"/>
    <w:rsid w:val="003C59F3"/>
    <w:rsid w:val="003D754E"/>
    <w:rsid w:val="003E559D"/>
    <w:rsid w:val="003E6E86"/>
    <w:rsid w:val="003F0688"/>
    <w:rsid w:val="003F0DC4"/>
    <w:rsid w:val="0040292C"/>
    <w:rsid w:val="00405EDE"/>
    <w:rsid w:val="004123FA"/>
    <w:rsid w:val="00416DC8"/>
    <w:rsid w:val="00416E1E"/>
    <w:rsid w:val="00426454"/>
    <w:rsid w:val="00426965"/>
    <w:rsid w:val="00431E53"/>
    <w:rsid w:val="00435EEB"/>
    <w:rsid w:val="00437224"/>
    <w:rsid w:val="00437B98"/>
    <w:rsid w:val="00440F83"/>
    <w:rsid w:val="00441E86"/>
    <w:rsid w:val="004464FE"/>
    <w:rsid w:val="00447831"/>
    <w:rsid w:val="0045260E"/>
    <w:rsid w:val="00454716"/>
    <w:rsid w:val="0045580B"/>
    <w:rsid w:val="00457422"/>
    <w:rsid w:val="00461A7C"/>
    <w:rsid w:val="00461F51"/>
    <w:rsid w:val="0047034C"/>
    <w:rsid w:val="004719A2"/>
    <w:rsid w:val="00471AAD"/>
    <w:rsid w:val="0047413E"/>
    <w:rsid w:val="004900AB"/>
    <w:rsid w:val="00492D87"/>
    <w:rsid w:val="00492F4A"/>
    <w:rsid w:val="00495B49"/>
    <w:rsid w:val="004960D8"/>
    <w:rsid w:val="004A1696"/>
    <w:rsid w:val="004A2E67"/>
    <w:rsid w:val="004B0487"/>
    <w:rsid w:val="004B3751"/>
    <w:rsid w:val="004B4340"/>
    <w:rsid w:val="004B4C47"/>
    <w:rsid w:val="004B7D95"/>
    <w:rsid w:val="004C682D"/>
    <w:rsid w:val="004D1F67"/>
    <w:rsid w:val="004D5C53"/>
    <w:rsid w:val="004E2A46"/>
    <w:rsid w:val="004E672E"/>
    <w:rsid w:val="004F1933"/>
    <w:rsid w:val="004F49BF"/>
    <w:rsid w:val="004F522F"/>
    <w:rsid w:val="004F645D"/>
    <w:rsid w:val="00500944"/>
    <w:rsid w:val="005033D5"/>
    <w:rsid w:val="005077CE"/>
    <w:rsid w:val="0051205B"/>
    <w:rsid w:val="00516857"/>
    <w:rsid w:val="00521084"/>
    <w:rsid w:val="005240C7"/>
    <w:rsid w:val="00533639"/>
    <w:rsid w:val="005358DE"/>
    <w:rsid w:val="00541C03"/>
    <w:rsid w:val="00544F29"/>
    <w:rsid w:val="00553A03"/>
    <w:rsid w:val="005554F3"/>
    <w:rsid w:val="00562A67"/>
    <w:rsid w:val="005631DD"/>
    <w:rsid w:val="00572AA0"/>
    <w:rsid w:val="0057705D"/>
    <w:rsid w:val="00577C4E"/>
    <w:rsid w:val="005841FC"/>
    <w:rsid w:val="0058576D"/>
    <w:rsid w:val="005866AC"/>
    <w:rsid w:val="005870E1"/>
    <w:rsid w:val="00592C0C"/>
    <w:rsid w:val="005A1B1A"/>
    <w:rsid w:val="005A4FA7"/>
    <w:rsid w:val="005A63C2"/>
    <w:rsid w:val="005B1FB0"/>
    <w:rsid w:val="005B2EC1"/>
    <w:rsid w:val="005C0EE7"/>
    <w:rsid w:val="005C301C"/>
    <w:rsid w:val="005C4D01"/>
    <w:rsid w:val="005C4D66"/>
    <w:rsid w:val="005C5AF0"/>
    <w:rsid w:val="005C634B"/>
    <w:rsid w:val="005C67E6"/>
    <w:rsid w:val="005D2D7D"/>
    <w:rsid w:val="005D4D93"/>
    <w:rsid w:val="005D5860"/>
    <w:rsid w:val="005E09D9"/>
    <w:rsid w:val="005E1F97"/>
    <w:rsid w:val="005E62F5"/>
    <w:rsid w:val="005F1D9D"/>
    <w:rsid w:val="005F2478"/>
    <w:rsid w:val="005F5EED"/>
    <w:rsid w:val="005F66A8"/>
    <w:rsid w:val="005F743D"/>
    <w:rsid w:val="006047FE"/>
    <w:rsid w:val="006056C3"/>
    <w:rsid w:val="00616BC8"/>
    <w:rsid w:val="00617AFA"/>
    <w:rsid w:val="006210A6"/>
    <w:rsid w:val="006253A5"/>
    <w:rsid w:val="00626EDB"/>
    <w:rsid w:val="00633BB8"/>
    <w:rsid w:val="00637693"/>
    <w:rsid w:val="006540B6"/>
    <w:rsid w:val="00654E03"/>
    <w:rsid w:val="00656E56"/>
    <w:rsid w:val="00660767"/>
    <w:rsid w:val="00665AF6"/>
    <w:rsid w:val="00674D31"/>
    <w:rsid w:val="00681576"/>
    <w:rsid w:val="006917A5"/>
    <w:rsid w:val="00693A5A"/>
    <w:rsid w:val="00693F63"/>
    <w:rsid w:val="00696D53"/>
    <w:rsid w:val="006A698B"/>
    <w:rsid w:val="006B0883"/>
    <w:rsid w:val="006B1938"/>
    <w:rsid w:val="006B1C56"/>
    <w:rsid w:val="006B37B8"/>
    <w:rsid w:val="006B512A"/>
    <w:rsid w:val="006B59AA"/>
    <w:rsid w:val="006C7D3F"/>
    <w:rsid w:val="006D0DDC"/>
    <w:rsid w:val="006D120B"/>
    <w:rsid w:val="006D2B80"/>
    <w:rsid w:val="006E4BDA"/>
    <w:rsid w:val="006E7F8E"/>
    <w:rsid w:val="006F004B"/>
    <w:rsid w:val="006F071D"/>
    <w:rsid w:val="006F0BE6"/>
    <w:rsid w:val="006F567A"/>
    <w:rsid w:val="007018C0"/>
    <w:rsid w:val="00703BDB"/>
    <w:rsid w:val="007071C2"/>
    <w:rsid w:val="0070790F"/>
    <w:rsid w:val="00711EA3"/>
    <w:rsid w:val="00714A8B"/>
    <w:rsid w:val="00720C9E"/>
    <w:rsid w:val="00731F04"/>
    <w:rsid w:val="0073554E"/>
    <w:rsid w:val="00736C58"/>
    <w:rsid w:val="00740C3B"/>
    <w:rsid w:val="0074335F"/>
    <w:rsid w:val="00746802"/>
    <w:rsid w:val="00751048"/>
    <w:rsid w:val="007526DA"/>
    <w:rsid w:val="00755645"/>
    <w:rsid w:val="007656E4"/>
    <w:rsid w:val="00765917"/>
    <w:rsid w:val="00765BDD"/>
    <w:rsid w:val="007663C9"/>
    <w:rsid w:val="00766A36"/>
    <w:rsid w:val="0077038C"/>
    <w:rsid w:val="00772179"/>
    <w:rsid w:val="007723E7"/>
    <w:rsid w:val="00772B88"/>
    <w:rsid w:val="00772F59"/>
    <w:rsid w:val="00776DA1"/>
    <w:rsid w:val="0078124C"/>
    <w:rsid w:val="00787575"/>
    <w:rsid w:val="00787B9D"/>
    <w:rsid w:val="00792C36"/>
    <w:rsid w:val="00797059"/>
    <w:rsid w:val="007A2111"/>
    <w:rsid w:val="007A27C2"/>
    <w:rsid w:val="007A492E"/>
    <w:rsid w:val="007B134C"/>
    <w:rsid w:val="007B3C48"/>
    <w:rsid w:val="007C46D9"/>
    <w:rsid w:val="007C5239"/>
    <w:rsid w:val="007C78AE"/>
    <w:rsid w:val="007C7F61"/>
    <w:rsid w:val="007E3DE7"/>
    <w:rsid w:val="007E7E5E"/>
    <w:rsid w:val="007F06EA"/>
    <w:rsid w:val="00804E2C"/>
    <w:rsid w:val="008208D2"/>
    <w:rsid w:val="0082268D"/>
    <w:rsid w:val="00824B46"/>
    <w:rsid w:val="008358E0"/>
    <w:rsid w:val="0083709F"/>
    <w:rsid w:val="00842D6B"/>
    <w:rsid w:val="00843189"/>
    <w:rsid w:val="0084492D"/>
    <w:rsid w:val="00851BC3"/>
    <w:rsid w:val="00856F98"/>
    <w:rsid w:val="00863473"/>
    <w:rsid w:val="0087197B"/>
    <w:rsid w:val="00875A99"/>
    <w:rsid w:val="008765DF"/>
    <w:rsid w:val="00876754"/>
    <w:rsid w:val="00876D31"/>
    <w:rsid w:val="00881AD4"/>
    <w:rsid w:val="00881BEE"/>
    <w:rsid w:val="00884109"/>
    <w:rsid w:val="00886781"/>
    <w:rsid w:val="008922AD"/>
    <w:rsid w:val="008A00DC"/>
    <w:rsid w:val="008A18C7"/>
    <w:rsid w:val="008B1613"/>
    <w:rsid w:val="008B307D"/>
    <w:rsid w:val="008C4088"/>
    <w:rsid w:val="008C58FB"/>
    <w:rsid w:val="008C70EA"/>
    <w:rsid w:val="008C748E"/>
    <w:rsid w:val="008D00A1"/>
    <w:rsid w:val="008D5F0D"/>
    <w:rsid w:val="008E2E0D"/>
    <w:rsid w:val="008E5C6B"/>
    <w:rsid w:val="008E6F5A"/>
    <w:rsid w:val="008F0D19"/>
    <w:rsid w:val="008F161F"/>
    <w:rsid w:val="009073B8"/>
    <w:rsid w:val="009207AE"/>
    <w:rsid w:val="00924AF6"/>
    <w:rsid w:val="009273CD"/>
    <w:rsid w:val="00927BE5"/>
    <w:rsid w:val="009502BC"/>
    <w:rsid w:val="009539FF"/>
    <w:rsid w:val="00953DFF"/>
    <w:rsid w:val="00955543"/>
    <w:rsid w:val="00956C58"/>
    <w:rsid w:val="00956D48"/>
    <w:rsid w:val="0096251C"/>
    <w:rsid w:val="009633A5"/>
    <w:rsid w:val="00964CDA"/>
    <w:rsid w:val="00970235"/>
    <w:rsid w:val="00972EEC"/>
    <w:rsid w:val="009767CE"/>
    <w:rsid w:val="00977542"/>
    <w:rsid w:val="00977FBD"/>
    <w:rsid w:val="00991E1C"/>
    <w:rsid w:val="0099361A"/>
    <w:rsid w:val="009963DA"/>
    <w:rsid w:val="00996C65"/>
    <w:rsid w:val="0099709C"/>
    <w:rsid w:val="009B7640"/>
    <w:rsid w:val="009C337D"/>
    <w:rsid w:val="009D0011"/>
    <w:rsid w:val="009D01FB"/>
    <w:rsid w:val="009D055E"/>
    <w:rsid w:val="009D2BDD"/>
    <w:rsid w:val="009D34EF"/>
    <w:rsid w:val="009E43F4"/>
    <w:rsid w:val="009E7E9F"/>
    <w:rsid w:val="009F1884"/>
    <w:rsid w:val="009F7B82"/>
    <w:rsid w:val="00A00A5B"/>
    <w:rsid w:val="00A01862"/>
    <w:rsid w:val="00A03655"/>
    <w:rsid w:val="00A0549F"/>
    <w:rsid w:val="00A05B73"/>
    <w:rsid w:val="00A0613B"/>
    <w:rsid w:val="00A06D8A"/>
    <w:rsid w:val="00A075DD"/>
    <w:rsid w:val="00A078A0"/>
    <w:rsid w:val="00A13DE5"/>
    <w:rsid w:val="00A2250E"/>
    <w:rsid w:val="00A23727"/>
    <w:rsid w:val="00A24078"/>
    <w:rsid w:val="00A25932"/>
    <w:rsid w:val="00A3090B"/>
    <w:rsid w:val="00A30C77"/>
    <w:rsid w:val="00A31536"/>
    <w:rsid w:val="00A35735"/>
    <w:rsid w:val="00A36262"/>
    <w:rsid w:val="00A37C37"/>
    <w:rsid w:val="00A420EA"/>
    <w:rsid w:val="00A451AE"/>
    <w:rsid w:val="00A500B8"/>
    <w:rsid w:val="00A5168A"/>
    <w:rsid w:val="00A5687F"/>
    <w:rsid w:val="00A66444"/>
    <w:rsid w:val="00A67A2F"/>
    <w:rsid w:val="00A759EF"/>
    <w:rsid w:val="00A84351"/>
    <w:rsid w:val="00A87345"/>
    <w:rsid w:val="00A91F70"/>
    <w:rsid w:val="00AA0B6D"/>
    <w:rsid w:val="00AA5F96"/>
    <w:rsid w:val="00AB09F5"/>
    <w:rsid w:val="00AB12FB"/>
    <w:rsid w:val="00AB1E1D"/>
    <w:rsid w:val="00AB6A7D"/>
    <w:rsid w:val="00AC0BDE"/>
    <w:rsid w:val="00AC1E45"/>
    <w:rsid w:val="00AD0A0A"/>
    <w:rsid w:val="00AD0B14"/>
    <w:rsid w:val="00AD3616"/>
    <w:rsid w:val="00AD3AEF"/>
    <w:rsid w:val="00AD63CC"/>
    <w:rsid w:val="00AE76AB"/>
    <w:rsid w:val="00AF5322"/>
    <w:rsid w:val="00AF6946"/>
    <w:rsid w:val="00AF69B2"/>
    <w:rsid w:val="00B02598"/>
    <w:rsid w:val="00B04448"/>
    <w:rsid w:val="00B10069"/>
    <w:rsid w:val="00B108FB"/>
    <w:rsid w:val="00B126A8"/>
    <w:rsid w:val="00B21339"/>
    <w:rsid w:val="00B21C0E"/>
    <w:rsid w:val="00B25EAC"/>
    <w:rsid w:val="00B31B68"/>
    <w:rsid w:val="00B352A4"/>
    <w:rsid w:val="00B37EB2"/>
    <w:rsid w:val="00B44B0B"/>
    <w:rsid w:val="00B52A81"/>
    <w:rsid w:val="00B52B87"/>
    <w:rsid w:val="00B546FE"/>
    <w:rsid w:val="00B61135"/>
    <w:rsid w:val="00B637E9"/>
    <w:rsid w:val="00B66930"/>
    <w:rsid w:val="00B67244"/>
    <w:rsid w:val="00B76C90"/>
    <w:rsid w:val="00B774D3"/>
    <w:rsid w:val="00B77D31"/>
    <w:rsid w:val="00B77E0D"/>
    <w:rsid w:val="00B82F25"/>
    <w:rsid w:val="00B871AC"/>
    <w:rsid w:val="00B90C99"/>
    <w:rsid w:val="00B926AB"/>
    <w:rsid w:val="00BB4037"/>
    <w:rsid w:val="00BC1ACD"/>
    <w:rsid w:val="00BC2906"/>
    <w:rsid w:val="00BC4B6D"/>
    <w:rsid w:val="00BC5F64"/>
    <w:rsid w:val="00BC7431"/>
    <w:rsid w:val="00BC7F82"/>
    <w:rsid w:val="00BD1A9B"/>
    <w:rsid w:val="00BD29DB"/>
    <w:rsid w:val="00BD29F1"/>
    <w:rsid w:val="00BD31D7"/>
    <w:rsid w:val="00BD443A"/>
    <w:rsid w:val="00BD6654"/>
    <w:rsid w:val="00BF06B8"/>
    <w:rsid w:val="00BF1D35"/>
    <w:rsid w:val="00BF43FC"/>
    <w:rsid w:val="00BF4EC8"/>
    <w:rsid w:val="00BF5252"/>
    <w:rsid w:val="00BF5394"/>
    <w:rsid w:val="00BF6FDE"/>
    <w:rsid w:val="00C03BE5"/>
    <w:rsid w:val="00C03EFB"/>
    <w:rsid w:val="00C105DA"/>
    <w:rsid w:val="00C11482"/>
    <w:rsid w:val="00C165C1"/>
    <w:rsid w:val="00C201D2"/>
    <w:rsid w:val="00C24833"/>
    <w:rsid w:val="00C250F1"/>
    <w:rsid w:val="00C30BEC"/>
    <w:rsid w:val="00C36D38"/>
    <w:rsid w:val="00C371F3"/>
    <w:rsid w:val="00C43603"/>
    <w:rsid w:val="00C56B29"/>
    <w:rsid w:val="00C665FC"/>
    <w:rsid w:val="00C66C2C"/>
    <w:rsid w:val="00C800A6"/>
    <w:rsid w:val="00C81AAE"/>
    <w:rsid w:val="00C8295C"/>
    <w:rsid w:val="00C8738C"/>
    <w:rsid w:val="00C94939"/>
    <w:rsid w:val="00C96414"/>
    <w:rsid w:val="00CA2408"/>
    <w:rsid w:val="00CA5441"/>
    <w:rsid w:val="00CB1414"/>
    <w:rsid w:val="00CB3F71"/>
    <w:rsid w:val="00CC0EFE"/>
    <w:rsid w:val="00CD7B15"/>
    <w:rsid w:val="00CE5506"/>
    <w:rsid w:val="00CF4008"/>
    <w:rsid w:val="00CF779F"/>
    <w:rsid w:val="00D03D82"/>
    <w:rsid w:val="00D06D6F"/>
    <w:rsid w:val="00D16BA4"/>
    <w:rsid w:val="00D206A9"/>
    <w:rsid w:val="00D20CC9"/>
    <w:rsid w:val="00D243AB"/>
    <w:rsid w:val="00D35385"/>
    <w:rsid w:val="00D41B74"/>
    <w:rsid w:val="00D43BE0"/>
    <w:rsid w:val="00D44AF8"/>
    <w:rsid w:val="00D46E5D"/>
    <w:rsid w:val="00D50103"/>
    <w:rsid w:val="00D66ED8"/>
    <w:rsid w:val="00D74E4C"/>
    <w:rsid w:val="00D773A8"/>
    <w:rsid w:val="00D812BA"/>
    <w:rsid w:val="00D814DA"/>
    <w:rsid w:val="00D81AC9"/>
    <w:rsid w:val="00D9064E"/>
    <w:rsid w:val="00D93A31"/>
    <w:rsid w:val="00DA2459"/>
    <w:rsid w:val="00DA2503"/>
    <w:rsid w:val="00DB667A"/>
    <w:rsid w:val="00DC2EFA"/>
    <w:rsid w:val="00DC489D"/>
    <w:rsid w:val="00DC67DD"/>
    <w:rsid w:val="00DD00E8"/>
    <w:rsid w:val="00DD27BA"/>
    <w:rsid w:val="00DE21CB"/>
    <w:rsid w:val="00DF72E0"/>
    <w:rsid w:val="00E00EC4"/>
    <w:rsid w:val="00E0337D"/>
    <w:rsid w:val="00E04D2D"/>
    <w:rsid w:val="00E14373"/>
    <w:rsid w:val="00E14940"/>
    <w:rsid w:val="00E1552E"/>
    <w:rsid w:val="00E23D9E"/>
    <w:rsid w:val="00E339C5"/>
    <w:rsid w:val="00E36089"/>
    <w:rsid w:val="00E41BAA"/>
    <w:rsid w:val="00E46CF8"/>
    <w:rsid w:val="00E57FD3"/>
    <w:rsid w:val="00E646FA"/>
    <w:rsid w:val="00E660A1"/>
    <w:rsid w:val="00E7027F"/>
    <w:rsid w:val="00E715CF"/>
    <w:rsid w:val="00E757BD"/>
    <w:rsid w:val="00E826C5"/>
    <w:rsid w:val="00E831DE"/>
    <w:rsid w:val="00EA058F"/>
    <w:rsid w:val="00EA36B1"/>
    <w:rsid w:val="00EA4481"/>
    <w:rsid w:val="00EB0169"/>
    <w:rsid w:val="00EB03EA"/>
    <w:rsid w:val="00EB56D5"/>
    <w:rsid w:val="00EB5F9F"/>
    <w:rsid w:val="00EC1020"/>
    <w:rsid w:val="00EC2309"/>
    <w:rsid w:val="00EC28FC"/>
    <w:rsid w:val="00EC4543"/>
    <w:rsid w:val="00ED0EB7"/>
    <w:rsid w:val="00ED7920"/>
    <w:rsid w:val="00ED7FF8"/>
    <w:rsid w:val="00EE0628"/>
    <w:rsid w:val="00EE4336"/>
    <w:rsid w:val="00EE7399"/>
    <w:rsid w:val="00F02F4A"/>
    <w:rsid w:val="00F13C93"/>
    <w:rsid w:val="00F161E9"/>
    <w:rsid w:val="00F17D55"/>
    <w:rsid w:val="00F21E25"/>
    <w:rsid w:val="00F2508C"/>
    <w:rsid w:val="00F26E12"/>
    <w:rsid w:val="00F353EF"/>
    <w:rsid w:val="00F40B8E"/>
    <w:rsid w:val="00F41DE4"/>
    <w:rsid w:val="00F46261"/>
    <w:rsid w:val="00F46C32"/>
    <w:rsid w:val="00F55266"/>
    <w:rsid w:val="00F60488"/>
    <w:rsid w:val="00F93EB7"/>
    <w:rsid w:val="00F9632A"/>
    <w:rsid w:val="00F96F78"/>
    <w:rsid w:val="00FA01CB"/>
    <w:rsid w:val="00FA3563"/>
    <w:rsid w:val="00FB2363"/>
    <w:rsid w:val="00FC69B2"/>
    <w:rsid w:val="00FC74DA"/>
    <w:rsid w:val="00FD0648"/>
    <w:rsid w:val="00FD2A22"/>
    <w:rsid w:val="00FD3C38"/>
    <w:rsid w:val="00FE12F7"/>
    <w:rsid w:val="00FF336F"/>
    <w:rsid w:val="0B3202D6"/>
    <w:rsid w:val="0C8A79D2"/>
    <w:rsid w:val="381DA0EE"/>
    <w:rsid w:val="4593B6D9"/>
    <w:rsid w:val="45DE6162"/>
    <w:rsid w:val="6104026D"/>
    <w:rsid w:val="64991FC4"/>
    <w:rsid w:val="6B27F4F7"/>
    <w:rsid w:val="7E14E1EE"/>
  </w:rsids>
  <m:mathPr>
    <m:mathFont m:val="Cambria Math"/>
    <m:brkBin m:val="before"/>
    <m:brkBinSub m:val="--"/>
    <m:smallFrac m:val="0"/>
    <m:dispDef/>
    <m:lMargin m:val="0"/>
    <m:rMargin m:val="0"/>
    <m:defJc m:val="centerGroup"/>
    <m:wrapIndent m:val="1440"/>
    <m:intLim m:val="subSup"/>
    <m:naryLim m:val="undOvr"/>
  </m:mathPr>
  <w:themeFontLang w:val="en-IN" w:eastAsia="ja-JP"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AF28"/>
  <w15:chartTrackingRefBased/>
  <w15:docId w15:val="{E7175553-0076-4472-91C2-DDAE5693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Mangal"/>
        <w:kern w:val="2"/>
        <w:sz w:val="22"/>
        <w:lang w:val="en-US" w:eastAsia="en-US" w:bidi="mr-IN"/>
        <w14:ligatures w14:val="standardContextual"/>
      </w:rPr>
    </w:rPrDefault>
    <w:pPrDefault>
      <w:pPr>
        <w:spacing w:after="200"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4833"/>
    <w:pPr>
      <w:widowControl w:val="0"/>
      <w:autoSpaceDE w:val="0"/>
      <w:autoSpaceDN w:val="0"/>
      <w:spacing w:after="0" w:line="240" w:lineRule="auto"/>
    </w:pPr>
    <w:rPr>
      <w:rFonts w:ascii="Cambria" w:eastAsia="Cambria" w:hAnsi="Cambria" w:cs="Cambria"/>
      <w:kern w:val="0"/>
      <w:szCs w:val="22"/>
      <w:lang w:bidi="en-US"/>
      <w14:ligatures w14:val="none"/>
    </w:rPr>
  </w:style>
  <w:style w:type="paragraph" w:styleId="Heading1">
    <w:name w:val="heading 1"/>
    <w:basedOn w:val="Normal"/>
    <w:next w:val="Normal"/>
    <w:link w:val="Heading1Char"/>
    <w:uiPriority w:val="9"/>
    <w:qFormat/>
    <w:rsid w:val="00C2483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2483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2483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24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8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8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8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8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83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2483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2483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24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833"/>
    <w:rPr>
      <w:rFonts w:eastAsiaTheme="majorEastAsia" w:cstheme="majorBidi"/>
      <w:color w:val="272727" w:themeColor="text1" w:themeTint="D8"/>
    </w:rPr>
  </w:style>
  <w:style w:type="paragraph" w:styleId="Title">
    <w:name w:val="Title"/>
    <w:basedOn w:val="Normal"/>
    <w:next w:val="Normal"/>
    <w:link w:val="TitleChar"/>
    <w:uiPriority w:val="10"/>
    <w:qFormat/>
    <w:rsid w:val="00C24833"/>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2483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24833"/>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2483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248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833"/>
    <w:rPr>
      <w:i/>
      <w:iCs/>
      <w:color w:val="404040" w:themeColor="text1" w:themeTint="BF"/>
    </w:rPr>
  </w:style>
  <w:style w:type="paragraph" w:styleId="ListParagraph">
    <w:name w:val="List Paragraph"/>
    <w:aliases w:val="Paragraph,HEAD 3,Cell bullets,Noise heading,RUS List,Number abc,List Paragraph1,123 List Paragraph,main heading,Annexure,LP,List Para,LPARA,List Paragraph (numbered (a)),FooterText,Bullet List,numbered,Paragraphe de liste1,列出段落,列出段落1,lp1"/>
    <w:basedOn w:val="Normal"/>
    <w:link w:val="ListParagraphChar"/>
    <w:uiPriority w:val="34"/>
    <w:qFormat/>
    <w:rsid w:val="00C24833"/>
    <w:pPr>
      <w:ind w:left="720"/>
      <w:contextualSpacing/>
    </w:pPr>
  </w:style>
  <w:style w:type="character" w:styleId="IntenseEmphasis">
    <w:name w:val="Intense Emphasis"/>
    <w:basedOn w:val="DefaultParagraphFont"/>
    <w:uiPriority w:val="21"/>
    <w:qFormat/>
    <w:rsid w:val="00C24833"/>
    <w:rPr>
      <w:i/>
      <w:iCs/>
      <w:color w:val="0F4761" w:themeColor="accent1" w:themeShade="BF"/>
    </w:rPr>
  </w:style>
  <w:style w:type="paragraph" w:styleId="IntenseQuote">
    <w:name w:val="Intense Quote"/>
    <w:basedOn w:val="Normal"/>
    <w:next w:val="Normal"/>
    <w:link w:val="IntenseQuoteChar"/>
    <w:uiPriority w:val="30"/>
    <w:qFormat/>
    <w:rsid w:val="00C24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833"/>
    <w:rPr>
      <w:i/>
      <w:iCs/>
      <w:color w:val="0F4761" w:themeColor="accent1" w:themeShade="BF"/>
    </w:rPr>
  </w:style>
  <w:style w:type="character" w:styleId="IntenseReference">
    <w:name w:val="Intense Reference"/>
    <w:basedOn w:val="DefaultParagraphFont"/>
    <w:uiPriority w:val="32"/>
    <w:qFormat/>
    <w:rsid w:val="00C24833"/>
    <w:rPr>
      <w:b/>
      <w:bCs/>
      <w:smallCaps/>
      <w:color w:val="0F4761" w:themeColor="accent1" w:themeShade="BF"/>
      <w:spacing w:val="5"/>
    </w:rPr>
  </w:style>
  <w:style w:type="table" w:styleId="TableGrid">
    <w:name w:val="Table Grid"/>
    <w:aliases w:val="CV table"/>
    <w:basedOn w:val="TableNormal"/>
    <w:uiPriority w:val="39"/>
    <w:rsid w:val="00C24833"/>
    <w:pPr>
      <w:spacing w:after="0" w:line="240" w:lineRule="auto"/>
    </w:pPr>
    <w:rPr>
      <w:rFonts w:cstheme="minorBidi"/>
      <w:kern w:val="0"/>
      <w:szCs w:val="22"/>
      <w:lang w:val="en-GB"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Paragraph Char,HEAD 3 Char,Cell bullets Char,Noise heading Char,RUS List Char,Number abc Char,List Paragraph1 Char,123 List Paragraph Char,main heading Char,Annexure Char,LP Char,List Para Char,LPARA Char,FooterText Char,列出段落 Char"/>
    <w:basedOn w:val="DefaultParagraphFont"/>
    <w:link w:val="ListParagraph"/>
    <w:uiPriority w:val="34"/>
    <w:qFormat/>
    <w:locked/>
    <w:rsid w:val="00C24833"/>
  </w:style>
  <w:style w:type="paragraph" w:styleId="Header">
    <w:name w:val="header"/>
    <w:basedOn w:val="Normal"/>
    <w:link w:val="HeaderChar"/>
    <w:uiPriority w:val="99"/>
    <w:unhideWhenUsed/>
    <w:rsid w:val="00C24833"/>
    <w:pPr>
      <w:tabs>
        <w:tab w:val="center" w:pos="4513"/>
        <w:tab w:val="right" w:pos="9026"/>
      </w:tabs>
    </w:pPr>
  </w:style>
  <w:style w:type="character" w:customStyle="1" w:styleId="HeaderChar">
    <w:name w:val="Header Char"/>
    <w:basedOn w:val="DefaultParagraphFont"/>
    <w:link w:val="Header"/>
    <w:uiPriority w:val="99"/>
    <w:rsid w:val="00C24833"/>
    <w:rPr>
      <w:rFonts w:ascii="Cambria" w:eastAsia="Cambria" w:hAnsi="Cambria" w:cs="Cambria"/>
      <w:kern w:val="0"/>
      <w:szCs w:val="22"/>
      <w:lang w:bidi="en-US"/>
      <w14:ligatures w14:val="none"/>
    </w:rPr>
  </w:style>
  <w:style w:type="paragraph" w:styleId="Footer">
    <w:name w:val="footer"/>
    <w:basedOn w:val="Normal"/>
    <w:link w:val="FooterChar"/>
    <w:uiPriority w:val="99"/>
    <w:unhideWhenUsed/>
    <w:rsid w:val="00C24833"/>
    <w:pPr>
      <w:tabs>
        <w:tab w:val="center" w:pos="4513"/>
        <w:tab w:val="right" w:pos="9026"/>
      </w:tabs>
    </w:pPr>
  </w:style>
  <w:style w:type="character" w:customStyle="1" w:styleId="FooterChar">
    <w:name w:val="Footer Char"/>
    <w:basedOn w:val="DefaultParagraphFont"/>
    <w:link w:val="Footer"/>
    <w:uiPriority w:val="99"/>
    <w:rsid w:val="00C24833"/>
    <w:rPr>
      <w:rFonts w:ascii="Cambria" w:eastAsia="Cambria" w:hAnsi="Cambria" w:cs="Cambria"/>
      <w:kern w:val="0"/>
      <w:szCs w:val="22"/>
      <w:lang w:bidi="en-US"/>
      <w14:ligatures w14:val="none"/>
    </w:rPr>
  </w:style>
  <w:style w:type="numbering" w:customStyle="1" w:styleId="CurrentList1">
    <w:name w:val="Current List1"/>
    <w:uiPriority w:val="99"/>
    <w:rsid w:val="00FD2A22"/>
    <w:pPr>
      <w:numPr>
        <w:numId w:val="1"/>
      </w:numPr>
    </w:pPr>
  </w:style>
  <w:style w:type="paragraph" w:styleId="FootnoteText">
    <w:name w:val="footnote text"/>
    <w:aliases w:val="fn,FT,ft"/>
    <w:basedOn w:val="Normal"/>
    <w:link w:val="FootnoteTextChar"/>
    <w:uiPriority w:val="99"/>
    <w:unhideWhenUsed/>
    <w:rsid w:val="006056C3"/>
    <w:pPr>
      <w:widowControl/>
      <w:autoSpaceDE/>
      <w:autoSpaceDN/>
      <w:ind w:left="720" w:hanging="720"/>
    </w:pPr>
    <w:rPr>
      <w:rFonts w:ascii="EYInterstate" w:eastAsiaTheme="minorHAnsi" w:hAnsi="EYInterstate" w:cstheme="minorBidi"/>
      <w:sz w:val="20"/>
      <w:szCs w:val="20"/>
      <w:lang w:val="en-IN" w:bidi="ar-SA"/>
    </w:rPr>
  </w:style>
  <w:style w:type="character" w:customStyle="1" w:styleId="FootnoteTextChar">
    <w:name w:val="Footnote Text Char"/>
    <w:aliases w:val="fn Char,FT Char,ft Char"/>
    <w:basedOn w:val="DefaultParagraphFont"/>
    <w:link w:val="FootnoteText"/>
    <w:uiPriority w:val="99"/>
    <w:rsid w:val="006056C3"/>
    <w:rPr>
      <w:rFonts w:ascii="EYInterstate" w:hAnsi="EYInterstate" w:cstheme="minorBidi"/>
      <w:kern w:val="0"/>
      <w:sz w:val="20"/>
      <w:lang w:val="en-IN" w:bidi="ar-SA"/>
      <w14:ligatures w14:val="none"/>
    </w:rPr>
  </w:style>
  <w:style w:type="character" w:styleId="FootnoteReference">
    <w:name w:val="footnote reference"/>
    <w:basedOn w:val="DefaultParagraphFont"/>
    <w:uiPriority w:val="99"/>
    <w:semiHidden/>
    <w:unhideWhenUsed/>
    <w:rsid w:val="006056C3"/>
    <w:rPr>
      <w:vertAlign w:val="superscript"/>
    </w:rPr>
  </w:style>
  <w:style w:type="table" w:customStyle="1" w:styleId="TableGrid1">
    <w:name w:val="Table Grid1"/>
    <w:basedOn w:val="TableNormal"/>
    <w:next w:val="TableGrid"/>
    <w:uiPriority w:val="39"/>
    <w:rsid w:val="00B774D3"/>
    <w:pPr>
      <w:spacing w:after="0" w:line="240" w:lineRule="auto"/>
    </w:pPr>
    <w:rPr>
      <w:rFonts w:cstheme="minorBidi"/>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B8E"/>
    <w:rPr>
      <w:color w:val="467886"/>
      <w:u w:val="single"/>
    </w:rPr>
  </w:style>
  <w:style w:type="paragraph" w:customStyle="1" w:styleId="indent2a">
    <w:name w:val="indent2a"/>
    <w:basedOn w:val="Normal"/>
    <w:rsid w:val="002E50EF"/>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customStyle="1" w:styleId="indent2">
    <w:name w:val="indent2"/>
    <w:basedOn w:val="Normal"/>
    <w:rsid w:val="002E50EF"/>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customStyle="1" w:styleId="indent3">
    <w:name w:val="indent3"/>
    <w:basedOn w:val="Normal"/>
    <w:rsid w:val="002E50EF"/>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numbering" w:customStyle="1" w:styleId="CurrentList2">
    <w:name w:val="Current List2"/>
    <w:uiPriority w:val="99"/>
    <w:rsid w:val="00495B49"/>
    <w:pPr>
      <w:numPr>
        <w:numId w:val="4"/>
      </w:numPr>
    </w:pPr>
  </w:style>
  <w:style w:type="numbering" w:customStyle="1" w:styleId="CurrentList3">
    <w:name w:val="Current List3"/>
    <w:uiPriority w:val="99"/>
    <w:rsid w:val="00A0613B"/>
    <w:pPr>
      <w:numPr>
        <w:numId w:val="6"/>
      </w:numPr>
    </w:pPr>
  </w:style>
  <w:style w:type="numbering" w:customStyle="1" w:styleId="CurrentList4">
    <w:name w:val="Current List4"/>
    <w:uiPriority w:val="99"/>
    <w:rsid w:val="00A0613B"/>
    <w:pPr>
      <w:numPr>
        <w:numId w:val="7"/>
      </w:numPr>
    </w:pPr>
  </w:style>
  <w:style w:type="numbering" w:customStyle="1" w:styleId="CurrentList5">
    <w:name w:val="Current List5"/>
    <w:uiPriority w:val="99"/>
    <w:rsid w:val="00A0613B"/>
    <w:pPr>
      <w:numPr>
        <w:numId w:val="8"/>
      </w:numPr>
    </w:pPr>
  </w:style>
  <w:style w:type="numbering" w:customStyle="1" w:styleId="CurrentList6">
    <w:name w:val="Current List6"/>
    <w:uiPriority w:val="99"/>
    <w:rsid w:val="00A91F70"/>
    <w:pPr>
      <w:numPr>
        <w:numId w:val="10"/>
      </w:numPr>
    </w:pPr>
  </w:style>
  <w:style w:type="paragraph" w:styleId="Revision">
    <w:name w:val="Revision"/>
    <w:hidden/>
    <w:uiPriority w:val="99"/>
    <w:semiHidden/>
    <w:rsid w:val="005D4D93"/>
    <w:pPr>
      <w:spacing w:after="0" w:line="240" w:lineRule="auto"/>
    </w:pPr>
    <w:rPr>
      <w:rFonts w:ascii="Cambria" w:eastAsia="Cambria" w:hAnsi="Cambria" w:cs="Cambria"/>
      <w:kern w:val="0"/>
      <w:szCs w:val="22"/>
      <w:lang w:bidi="en-US"/>
      <w14:ligatures w14:val="none"/>
    </w:rPr>
  </w:style>
  <w:style w:type="character" w:styleId="CommentReference">
    <w:name w:val="annotation reference"/>
    <w:basedOn w:val="DefaultParagraphFont"/>
    <w:uiPriority w:val="99"/>
    <w:semiHidden/>
    <w:unhideWhenUsed/>
    <w:rsid w:val="00521084"/>
    <w:rPr>
      <w:sz w:val="16"/>
      <w:szCs w:val="16"/>
    </w:rPr>
  </w:style>
  <w:style w:type="paragraph" w:styleId="CommentText">
    <w:name w:val="annotation text"/>
    <w:basedOn w:val="Normal"/>
    <w:link w:val="CommentTextChar"/>
    <w:uiPriority w:val="99"/>
    <w:unhideWhenUsed/>
    <w:rsid w:val="00521084"/>
    <w:rPr>
      <w:sz w:val="20"/>
      <w:szCs w:val="20"/>
    </w:rPr>
  </w:style>
  <w:style w:type="character" w:customStyle="1" w:styleId="CommentTextChar">
    <w:name w:val="Comment Text Char"/>
    <w:basedOn w:val="DefaultParagraphFont"/>
    <w:link w:val="CommentText"/>
    <w:uiPriority w:val="99"/>
    <w:rsid w:val="00521084"/>
    <w:rPr>
      <w:rFonts w:ascii="Cambria" w:eastAsia="Cambria" w:hAnsi="Cambria" w:cs="Cambria"/>
      <w:kern w:val="0"/>
      <w:sz w:val="20"/>
      <w:lang w:bidi="en-US"/>
      <w14:ligatures w14:val="none"/>
    </w:rPr>
  </w:style>
  <w:style w:type="paragraph" w:styleId="CommentSubject">
    <w:name w:val="annotation subject"/>
    <w:basedOn w:val="CommentText"/>
    <w:next w:val="CommentText"/>
    <w:link w:val="CommentSubjectChar"/>
    <w:uiPriority w:val="99"/>
    <w:semiHidden/>
    <w:unhideWhenUsed/>
    <w:rsid w:val="00521084"/>
    <w:rPr>
      <w:b/>
      <w:bCs/>
    </w:rPr>
  </w:style>
  <w:style w:type="character" w:customStyle="1" w:styleId="CommentSubjectChar">
    <w:name w:val="Comment Subject Char"/>
    <w:basedOn w:val="CommentTextChar"/>
    <w:link w:val="CommentSubject"/>
    <w:uiPriority w:val="99"/>
    <w:semiHidden/>
    <w:rsid w:val="00521084"/>
    <w:rPr>
      <w:rFonts w:ascii="Cambria" w:eastAsia="Cambria" w:hAnsi="Cambria" w:cs="Cambria"/>
      <w:b/>
      <w:bCs/>
      <w:kern w:val="0"/>
      <w:sz w:val="20"/>
      <w:lang w:bidi="en-US"/>
      <w14:ligatures w14:val="none"/>
    </w:rPr>
  </w:style>
  <w:style w:type="character" w:styleId="UnresolvedMention">
    <w:name w:val="Unresolved Mention"/>
    <w:basedOn w:val="DefaultParagraphFont"/>
    <w:uiPriority w:val="99"/>
    <w:semiHidden/>
    <w:unhideWhenUsed/>
    <w:rsid w:val="003E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0553">
      <w:bodyDiv w:val="1"/>
      <w:marLeft w:val="0"/>
      <w:marRight w:val="0"/>
      <w:marTop w:val="0"/>
      <w:marBottom w:val="0"/>
      <w:divBdr>
        <w:top w:val="none" w:sz="0" w:space="0" w:color="auto"/>
        <w:left w:val="none" w:sz="0" w:space="0" w:color="auto"/>
        <w:bottom w:val="none" w:sz="0" w:space="0" w:color="auto"/>
        <w:right w:val="none" w:sz="0" w:space="0" w:color="auto"/>
      </w:divBdr>
    </w:div>
    <w:div w:id="455149903">
      <w:bodyDiv w:val="1"/>
      <w:marLeft w:val="0"/>
      <w:marRight w:val="0"/>
      <w:marTop w:val="0"/>
      <w:marBottom w:val="0"/>
      <w:divBdr>
        <w:top w:val="none" w:sz="0" w:space="0" w:color="auto"/>
        <w:left w:val="none" w:sz="0" w:space="0" w:color="auto"/>
        <w:bottom w:val="none" w:sz="0" w:space="0" w:color="auto"/>
        <w:right w:val="none" w:sz="0" w:space="0" w:color="auto"/>
      </w:divBdr>
    </w:div>
    <w:div w:id="1013073979">
      <w:bodyDiv w:val="1"/>
      <w:marLeft w:val="0"/>
      <w:marRight w:val="0"/>
      <w:marTop w:val="0"/>
      <w:marBottom w:val="0"/>
      <w:divBdr>
        <w:top w:val="none" w:sz="0" w:space="0" w:color="auto"/>
        <w:left w:val="none" w:sz="0" w:space="0" w:color="auto"/>
        <w:bottom w:val="none" w:sz="0" w:space="0" w:color="auto"/>
        <w:right w:val="none" w:sz="0" w:space="0" w:color="auto"/>
      </w:divBdr>
    </w:div>
    <w:div w:id="1137182014">
      <w:bodyDiv w:val="1"/>
      <w:marLeft w:val="0"/>
      <w:marRight w:val="0"/>
      <w:marTop w:val="0"/>
      <w:marBottom w:val="0"/>
      <w:divBdr>
        <w:top w:val="none" w:sz="0" w:space="0" w:color="auto"/>
        <w:left w:val="none" w:sz="0" w:space="0" w:color="auto"/>
        <w:bottom w:val="none" w:sz="0" w:space="0" w:color="auto"/>
        <w:right w:val="none" w:sz="0" w:space="0" w:color="auto"/>
      </w:divBdr>
    </w:div>
    <w:div w:id="1352075236">
      <w:bodyDiv w:val="1"/>
      <w:marLeft w:val="0"/>
      <w:marRight w:val="0"/>
      <w:marTop w:val="0"/>
      <w:marBottom w:val="0"/>
      <w:divBdr>
        <w:top w:val="none" w:sz="0" w:space="0" w:color="auto"/>
        <w:left w:val="none" w:sz="0" w:space="0" w:color="auto"/>
        <w:bottom w:val="none" w:sz="0" w:space="0" w:color="auto"/>
        <w:right w:val="none" w:sz="0" w:space="0" w:color="auto"/>
      </w:divBdr>
    </w:div>
    <w:div w:id="1462109007">
      <w:bodyDiv w:val="1"/>
      <w:marLeft w:val="0"/>
      <w:marRight w:val="0"/>
      <w:marTop w:val="0"/>
      <w:marBottom w:val="0"/>
      <w:divBdr>
        <w:top w:val="none" w:sz="0" w:space="0" w:color="auto"/>
        <w:left w:val="none" w:sz="0" w:space="0" w:color="auto"/>
        <w:bottom w:val="none" w:sz="0" w:space="0" w:color="auto"/>
        <w:right w:val="none" w:sz="0" w:space="0" w:color="auto"/>
      </w:divBdr>
    </w:div>
    <w:div w:id="1988824505">
      <w:bodyDiv w:val="1"/>
      <w:marLeft w:val="0"/>
      <w:marRight w:val="0"/>
      <w:marTop w:val="0"/>
      <w:marBottom w:val="0"/>
      <w:divBdr>
        <w:top w:val="none" w:sz="0" w:space="0" w:color="auto"/>
        <w:left w:val="none" w:sz="0" w:space="0" w:color="auto"/>
        <w:bottom w:val="none" w:sz="0" w:space="0" w:color="auto"/>
        <w:right w:val="none" w:sz="0" w:space="0" w:color="auto"/>
      </w:divBdr>
    </w:div>
    <w:div w:id="2023583720">
      <w:bodyDiv w:val="1"/>
      <w:marLeft w:val="0"/>
      <w:marRight w:val="0"/>
      <w:marTop w:val="0"/>
      <w:marBottom w:val="0"/>
      <w:divBdr>
        <w:top w:val="none" w:sz="0" w:space="0" w:color="auto"/>
        <w:left w:val="none" w:sz="0" w:space="0" w:color="auto"/>
        <w:bottom w:val="none" w:sz="0" w:space="0" w:color="auto"/>
        <w:right w:val="none" w:sz="0" w:space="0" w:color="auto"/>
      </w:divBdr>
    </w:div>
    <w:div w:id="2057586932">
      <w:bodyDiv w:val="1"/>
      <w:marLeft w:val="0"/>
      <w:marRight w:val="0"/>
      <w:marTop w:val="0"/>
      <w:marBottom w:val="0"/>
      <w:divBdr>
        <w:top w:val="none" w:sz="0" w:space="0" w:color="auto"/>
        <w:left w:val="none" w:sz="0" w:space="0" w:color="auto"/>
        <w:bottom w:val="none" w:sz="0" w:space="0" w:color="auto"/>
        <w:right w:val="none" w:sz="0" w:space="0" w:color="auto"/>
      </w:divBdr>
    </w:div>
    <w:div w:id="206452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ti.gov.in/sites/default/files/2025-10/Report_Tax_Policy_Working_Paper_Series_I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68D1-7831-4A48-B0A7-67627255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9180</Words>
  <Characters>46911</Characters>
  <Application>Microsoft Office Word</Application>
  <DocSecurity>0</DocSecurity>
  <Lines>837</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Nimisha Paradkar</dc:creator>
  <cp:keywords/>
  <dc:description/>
  <cp:lastModifiedBy>Dolly</cp:lastModifiedBy>
  <cp:revision>2</cp:revision>
  <dcterms:created xsi:type="dcterms:W3CDTF">2026-02-09T10:39:00Z</dcterms:created>
  <dcterms:modified xsi:type="dcterms:W3CDTF">2026-02-09T10:39:00Z</dcterms:modified>
</cp:coreProperties>
</file>