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114300</wp:posOffset>
            </wp:positionV>
            <wp:extent cx="1443038" cy="824593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8245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REITS - ASSET TOKENISATION CONCLAVE 2025: From Bricks to Blocks: Future of Real Estate  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Investments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Venue: BALL ROOM, ITC GRAND CENTRAL HOTEL Time: 2:00 pm  onwards  Date: 25th June, 2025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9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8610"/>
        <w:tblGridChange w:id="0">
          <w:tblGrid>
            <w:gridCol w:w="2295"/>
            <w:gridCol w:w="8610"/>
          </w:tblGrid>
        </w:tblGridChange>
      </w:tblGrid>
      <w:tr>
        <w:trPr>
          <w:cantSplit w:val="0"/>
          <w:trHeight w:val="493.5546874999999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  <w:rtl w:val="0"/>
              </w:rPr>
              <w:t xml:space="preserve">Time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  <w:rtl w:val="0"/>
              </w:rPr>
              <w:t xml:space="preserve">Program 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2:00 pm - 2:10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Welcome Address &amp;  Theme Setting: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Sanjay Dutt, Director, Bombay Chamber &amp; MD &amp; CEO, Tata Housing Development Co. Ltd.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2:10 pm - 2:30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Keynote Address: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G.N. Bajpai, Former Chairman, Life Insurance Corporation of India &amp; Securities and  Exchange Board of India.  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2:30 pm - 2:50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Special Address on Fractional Ownership &amp; REITs: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Shri. Pramod Rao, Executive Director, Securities and Exchange Board of India</w:t>
            </w:r>
          </w:p>
        </w:tc>
      </w:tr>
      <w:tr>
        <w:trPr>
          <w:cantSplit w:val="0"/>
          <w:trHeight w:val="2074.882812499999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2:50  pm - 3:40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  <w:rtl w:val="0"/>
              </w:rPr>
              <w:t xml:space="preserve">Panel 1: Fractional Ownership: A Scalable Investment Model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Moderator: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Neil Borate, Deputy Editor, LiveMint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Panellist 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Shiv Parekh, Founder &amp; CEO, hBits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Vivek Mimani, Partner- Investment Funds Practice Group, Khaitan &amp; Co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Saurabh Rathi, Managing Director &amp; Co-Head of Real Estate, Motilal Oswal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Onkar Shetye, Executive Director, Aurum PropTech Limited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3:40 pm - 3:50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  <w:rtl w:val="0"/>
              </w:rPr>
              <w:t xml:space="preserve">Tea Break  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3:50 pm - 4:40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u w:val="none"/>
                <w:vertAlign w:val="baseline"/>
                <w:rtl w:val="0"/>
              </w:rPr>
              <w:t xml:space="preserve">Panel 2: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Tokenisation in Real Estate: Bridging Emerging Technology, Financial Innovation &amp; Legal Frameworks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Moderator: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Jyoti Tandon, Compliance Consultant &amp; Co-Founder, FinCrimeExpert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Panellist: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Manish Kumar, Co- Founder &amp; CEO, RealX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Anand Narayanan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Founder, Alt DRX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Anil Choudhary, Partner, Finsec Law Advisors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Prasanth Kalangi, Founder &amp; CEO, Zoniqx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4:40 pm onwards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45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Vote of Thanks: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Mr. Sandeep Khosla, Director General, Bombay Chamber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mallCaps w:val="0"/>
          <w:strike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before="0" w:line="300" w:lineRule="auto"/>
        <w:ind w:left="-20" w:right="-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rPr>
        <w:b w:val="0"/>
        <w:i w:val="0"/>
      </w:rPr>
    </w:tblStylePr>
    <w:tblStylePr w:type="band1Vert">
      <w:rPr>
        <w:b w:val="0"/>
        <w:i w:val="0"/>
      </w:rPr>
    </w:tblStylePr>
    <w:tblStylePr w:type="band2Horz">
      <w:rPr>
        <w:b w:val="0"/>
        <w:i w:val="0"/>
      </w:rPr>
    </w:tblStylePr>
    <w:tblStylePr w:type="band2Vert">
      <w:rPr>
        <w:b w:val="0"/>
        <w:i w:val="0"/>
      </w:rPr>
    </w:tblStylePr>
    <w:tblStylePr w:type="firstCol">
      <w:rPr>
        <w:b w:val="0"/>
        <w:i w:val="0"/>
      </w:rPr>
    </w:tblStylePr>
    <w:tblStylePr w:type="firstRow">
      <w:rPr>
        <w:b w:val="0"/>
        <w:i w:val="0"/>
      </w:rPr>
    </w:tblStylePr>
    <w:tblStylePr w:type="lastCol">
      <w:rPr>
        <w:b w:val="0"/>
        <w:i w:val="0"/>
      </w:rPr>
    </w:tblStylePr>
    <w:tblStylePr w:type="lastRow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linkedin.com/in/anandnarayanankb/overlay/about-this-prof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+MbAn1d7BPJLbyJuwklE1F8iwQ==">CgMxLjA4AHIhMWRWcmlFX2J3MkJWVVo5SVNycVJUeE1yVkk1S2VDeVFp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