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A0BC3" w14:textId="3DD77115" w:rsidR="00FF1259" w:rsidRDefault="00196F1D" w:rsidP="00326996">
      <w:pPr>
        <w:spacing w:before="120" w:after="240" w:line="240" w:lineRule="auto"/>
        <w:jc w:val="both"/>
        <w:rPr>
          <w:rFonts w:ascii="Arial" w:hAnsi="Arial" w:cs="Arial"/>
          <w:b/>
          <w:bCs/>
          <w:sz w:val="20"/>
          <w:szCs w:val="20"/>
          <w:lang w:val="en-US"/>
        </w:rPr>
      </w:pPr>
      <w:r>
        <w:rPr>
          <w:rFonts w:ascii="Arial" w:hAnsi="Arial" w:cs="Arial"/>
          <w:b/>
          <w:bCs/>
          <w:sz w:val="20"/>
          <w:szCs w:val="20"/>
          <w:lang w:val="en-US"/>
        </w:rPr>
        <w:t>R</w:t>
      </w:r>
      <w:bookmarkStart w:id="0" w:name="_GoBack"/>
      <w:bookmarkEnd w:id="0"/>
      <w:r>
        <w:rPr>
          <w:rFonts w:ascii="Arial" w:hAnsi="Arial" w:cs="Arial"/>
          <w:b/>
          <w:bCs/>
          <w:sz w:val="20"/>
          <w:szCs w:val="20"/>
          <w:lang w:val="en-US"/>
        </w:rPr>
        <w:t xml:space="preserve">epresentation for </w:t>
      </w:r>
      <w:r w:rsidR="006F1E46">
        <w:rPr>
          <w:rFonts w:ascii="Arial" w:hAnsi="Arial" w:cs="Arial"/>
          <w:b/>
          <w:bCs/>
          <w:sz w:val="20"/>
          <w:szCs w:val="20"/>
          <w:lang w:val="en-US"/>
        </w:rPr>
        <w:t xml:space="preserve">reducing </w:t>
      </w:r>
      <w:r>
        <w:rPr>
          <w:rFonts w:ascii="Arial" w:hAnsi="Arial" w:cs="Arial"/>
          <w:b/>
          <w:bCs/>
          <w:sz w:val="20"/>
          <w:szCs w:val="20"/>
          <w:lang w:val="en-US"/>
        </w:rPr>
        <w:t>p</w:t>
      </w:r>
      <w:r w:rsidR="00D42E0D" w:rsidRPr="006305F9">
        <w:rPr>
          <w:rFonts w:ascii="Arial" w:hAnsi="Arial" w:cs="Arial"/>
          <w:b/>
          <w:bCs/>
          <w:sz w:val="20"/>
          <w:szCs w:val="20"/>
          <w:lang w:val="en-US"/>
        </w:rPr>
        <w:t xml:space="preserve">eriod of holding of </w:t>
      </w:r>
      <w:r w:rsidR="006F1E46">
        <w:rPr>
          <w:rFonts w:ascii="Arial" w:hAnsi="Arial" w:cs="Arial"/>
          <w:b/>
          <w:bCs/>
          <w:sz w:val="20"/>
          <w:szCs w:val="20"/>
          <w:lang w:val="en-US"/>
        </w:rPr>
        <w:t xml:space="preserve">business undertaking from 3 years to 2 years and </w:t>
      </w:r>
      <w:r w:rsidR="00D42E0D" w:rsidRPr="006305F9">
        <w:rPr>
          <w:rFonts w:ascii="Arial" w:hAnsi="Arial" w:cs="Arial"/>
          <w:b/>
          <w:bCs/>
          <w:sz w:val="20"/>
          <w:szCs w:val="20"/>
          <w:lang w:val="en-US"/>
        </w:rPr>
        <w:t xml:space="preserve">shares transferred via </w:t>
      </w:r>
      <w:r w:rsidR="00813B2E" w:rsidRPr="006305F9">
        <w:rPr>
          <w:rFonts w:ascii="Arial" w:hAnsi="Arial" w:cs="Arial"/>
          <w:b/>
          <w:bCs/>
          <w:sz w:val="20"/>
          <w:szCs w:val="20"/>
          <w:lang w:val="en-US"/>
        </w:rPr>
        <w:t>O</w:t>
      </w:r>
      <w:r w:rsidR="00D42E0D" w:rsidRPr="006305F9">
        <w:rPr>
          <w:rFonts w:ascii="Arial" w:hAnsi="Arial" w:cs="Arial"/>
          <w:b/>
          <w:bCs/>
          <w:sz w:val="20"/>
          <w:szCs w:val="20"/>
          <w:lang w:val="en-US"/>
        </w:rPr>
        <w:t>ffer for sale in IPO</w:t>
      </w:r>
      <w:r w:rsidR="00455A4C">
        <w:rPr>
          <w:rFonts w:ascii="Arial" w:hAnsi="Arial" w:cs="Arial"/>
          <w:b/>
          <w:bCs/>
          <w:sz w:val="20"/>
          <w:szCs w:val="20"/>
          <w:lang w:val="en-US"/>
        </w:rPr>
        <w:t xml:space="preserve"> </w:t>
      </w:r>
      <w:r>
        <w:rPr>
          <w:rFonts w:ascii="Arial" w:hAnsi="Arial" w:cs="Arial"/>
          <w:b/>
          <w:bCs/>
          <w:sz w:val="20"/>
          <w:szCs w:val="20"/>
          <w:lang w:val="en-US"/>
        </w:rPr>
        <w:t>from 2 years to 1</w:t>
      </w:r>
      <w:r w:rsidR="00455A4C">
        <w:rPr>
          <w:rFonts w:ascii="Arial" w:hAnsi="Arial" w:cs="Arial"/>
          <w:b/>
          <w:bCs/>
          <w:sz w:val="20"/>
          <w:szCs w:val="20"/>
          <w:lang w:val="en-US"/>
        </w:rPr>
        <w:t xml:space="preserve"> year</w:t>
      </w:r>
      <w:r>
        <w:rPr>
          <w:rFonts w:ascii="Arial" w:hAnsi="Arial" w:cs="Arial"/>
          <w:b/>
          <w:bCs/>
          <w:sz w:val="20"/>
          <w:szCs w:val="20"/>
          <w:lang w:val="en-US"/>
        </w:rPr>
        <w:t xml:space="preserve"> to turn long term </w:t>
      </w:r>
      <w:r w:rsidR="00455A4C">
        <w:rPr>
          <w:rFonts w:ascii="Arial" w:hAnsi="Arial" w:cs="Arial"/>
          <w:b/>
          <w:bCs/>
          <w:sz w:val="20"/>
          <w:szCs w:val="20"/>
          <w:lang w:val="en-US"/>
        </w:rPr>
        <w:t xml:space="preserve"> </w:t>
      </w:r>
    </w:p>
    <w:p w14:paraId="60B403D8" w14:textId="77777777" w:rsidR="000F61E2" w:rsidRPr="000F61E2" w:rsidRDefault="000F61E2" w:rsidP="00326996">
      <w:pPr>
        <w:pStyle w:val="ListParagraph"/>
        <w:numPr>
          <w:ilvl w:val="0"/>
          <w:numId w:val="3"/>
        </w:numPr>
        <w:spacing w:before="120" w:after="240" w:line="240" w:lineRule="auto"/>
        <w:contextualSpacing w:val="0"/>
        <w:jc w:val="both"/>
        <w:rPr>
          <w:rFonts w:ascii="Arial" w:hAnsi="Arial" w:cs="Arial"/>
          <w:sz w:val="20"/>
          <w:szCs w:val="20"/>
        </w:rPr>
      </w:pPr>
      <w:r w:rsidRPr="000F61E2">
        <w:rPr>
          <w:rFonts w:ascii="Arial" w:hAnsi="Arial" w:cs="Arial"/>
          <w:sz w:val="20"/>
          <w:szCs w:val="20"/>
        </w:rPr>
        <w:t>Finance (No.2) (FA) 2024 reformed the capital gains taxation regime by rationalisation of period of holding and LTCG/STCG tax rates for different types of capital assets.</w:t>
      </w:r>
    </w:p>
    <w:p w14:paraId="75047046" w14:textId="6B98B7DB" w:rsidR="000F61E2" w:rsidRDefault="00390377" w:rsidP="00326996">
      <w:pPr>
        <w:pStyle w:val="ListParagraph"/>
        <w:numPr>
          <w:ilvl w:val="0"/>
          <w:numId w:val="3"/>
        </w:numPr>
        <w:spacing w:before="120" w:after="240" w:line="240" w:lineRule="auto"/>
        <w:contextualSpacing w:val="0"/>
        <w:jc w:val="both"/>
        <w:rPr>
          <w:rFonts w:ascii="Arial" w:hAnsi="Arial" w:cs="Arial"/>
          <w:sz w:val="20"/>
          <w:szCs w:val="20"/>
        </w:rPr>
      </w:pPr>
      <w:r>
        <w:rPr>
          <w:rFonts w:ascii="Arial" w:hAnsi="Arial" w:cs="Arial"/>
          <w:sz w:val="20"/>
          <w:szCs w:val="20"/>
        </w:rPr>
        <w:t xml:space="preserve">The holding period for all capital assets was rationalised to 1 year for listed securities and 2 years for other assets. </w:t>
      </w:r>
      <w:r w:rsidR="000F61E2" w:rsidRPr="000F61E2">
        <w:rPr>
          <w:rFonts w:ascii="Arial" w:hAnsi="Arial" w:cs="Arial"/>
          <w:sz w:val="20"/>
          <w:szCs w:val="20"/>
        </w:rPr>
        <w:t>However, there exists an anomaly (perhaps unintended) for period of holding for following two types of assets.</w:t>
      </w:r>
    </w:p>
    <w:p w14:paraId="72D43A2E" w14:textId="6C187C72" w:rsidR="000F61E2" w:rsidRDefault="001D2452" w:rsidP="00326996">
      <w:pPr>
        <w:pStyle w:val="ListParagraph"/>
        <w:numPr>
          <w:ilvl w:val="1"/>
          <w:numId w:val="3"/>
        </w:numPr>
        <w:spacing w:before="120" w:after="240" w:line="240" w:lineRule="auto"/>
        <w:contextualSpacing w:val="0"/>
        <w:jc w:val="both"/>
        <w:rPr>
          <w:rFonts w:ascii="Arial" w:hAnsi="Arial" w:cs="Arial"/>
          <w:sz w:val="20"/>
          <w:szCs w:val="20"/>
        </w:rPr>
      </w:pPr>
      <w:r>
        <w:rPr>
          <w:rFonts w:ascii="Arial" w:hAnsi="Arial" w:cs="Arial"/>
          <w:sz w:val="20"/>
          <w:szCs w:val="20"/>
        </w:rPr>
        <w:t xml:space="preserve">Business undertaking referred in s.50B </w:t>
      </w:r>
      <w:r w:rsidR="00E10491">
        <w:rPr>
          <w:rFonts w:ascii="Arial" w:hAnsi="Arial" w:cs="Arial"/>
          <w:sz w:val="20"/>
          <w:szCs w:val="20"/>
        </w:rPr>
        <w:t>for taxation of slump sale of undertaking</w:t>
      </w:r>
    </w:p>
    <w:p w14:paraId="62A4FFC4" w14:textId="40B2BE0A" w:rsidR="000F61E2" w:rsidRPr="000F61E2" w:rsidRDefault="00E10491" w:rsidP="00326996">
      <w:pPr>
        <w:pStyle w:val="ListParagraph"/>
        <w:numPr>
          <w:ilvl w:val="1"/>
          <w:numId w:val="3"/>
        </w:numPr>
        <w:spacing w:before="120" w:after="240" w:line="240" w:lineRule="auto"/>
        <w:contextualSpacing w:val="0"/>
        <w:jc w:val="both"/>
        <w:rPr>
          <w:rFonts w:ascii="Arial" w:hAnsi="Arial" w:cs="Arial"/>
          <w:sz w:val="20"/>
          <w:szCs w:val="20"/>
        </w:rPr>
      </w:pPr>
      <w:r>
        <w:rPr>
          <w:rFonts w:ascii="Arial" w:hAnsi="Arial" w:cs="Arial"/>
          <w:sz w:val="20"/>
          <w:szCs w:val="20"/>
        </w:rPr>
        <w:t>Shares sold in Offer for sale (OFS) in an IPO</w:t>
      </w:r>
    </w:p>
    <w:p w14:paraId="14090391" w14:textId="51CAB26A" w:rsidR="00E10491" w:rsidRPr="0009005C" w:rsidRDefault="00E10491" w:rsidP="00326996">
      <w:pPr>
        <w:spacing w:before="120" w:after="240" w:line="240" w:lineRule="auto"/>
        <w:ind w:left="360"/>
        <w:jc w:val="both"/>
        <w:rPr>
          <w:rFonts w:ascii="Arial" w:hAnsi="Arial" w:cs="Arial"/>
          <w:b/>
          <w:bCs/>
          <w:sz w:val="20"/>
          <w:szCs w:val="20"/>
        </w:rPr>
      </w:pPr>
      <w:r w:rsidRPr="0009005C">
        <w:rPr>
          <w:rFonts w:ascii="Arial" w:hAnsi="Arial" w:cs="Arial"/>
          <w:b/>
          <w:bCs/>
          <w:sz w:val="20"/>
          <w:szCs w:val="20"/>
        </w:rPr>
        <w:t xml:space="preserve">Reduction of holding period of </w:t>
      </w:r>
      <w:r w:rsidR="00390377" w:rsidRPr="0009005C">
        <w:rPr>
          <w:rFonts w:ascii="Arial" w:hAnsi="Arial" w:cs="Arial"/>
          <w:b/>
          <w:bCs/>
          <w:sz w:val="20"/>
          <w:szCs w:val="20"/>
        </w:rPr>
        <w:t>“undertaking” from 3 years to 2 years.</w:t>
      </w:r>
    </w:p>
    <w:p w14:paraId="46542278" w14:textId="243157FB" w:rsidR="000F61E2" w:rsidRPr="000F61E2" w:rsidRDefault="000F61E2" w:rsidP="00326996">
      <w:pPr>
        <w:pStyle w:val="ListParagraph"/>
        <w:numPr>
          <w:ilvl w:val="0"/>
          <w:numId w:val="3"/>
        </w:numPr>
        <w:spacing w:before="120" w:after="240" w:line="240" w:lineRule="auto"/>
        <w:contextualSpacing w:val="0"/>
        <w:jc w:val="both"/>
        <w:rPr>
          <w:rFonts w:ascii="Arial" w:hAnsi="Arial" w:cs="Arial"/>
          <w:sz w:val="20"/>
          <w:szCs w:val="20"/>
        </w:rPr>
      </w:pPr>
      <w:r w:rsidRPr="000F61E2">
        <w:rPr>
          <w:rFonts w:ascii="Arial" w:hAnsi="Arial" w:cs="Arial"/>
          <w:sz w:val="20"/>
          <w:szCs w:val="20"/>
        </w:rPr>
        <w:t xml:space="preserve">Section 50B provides the mechanism for computation of capital gains arising on slump sale. FA 2024 reduced the holding period for all capital assets to 12 or 24 months to turn into long term. However, it appears the holding period for a business “undertaking” as specified in proviso 7 to section 50B(1) of the Act appears to be unintentionally left out to be reduced from 36 months to 24 months. </w:t>
      </w:r>
    </w:p>
    <w:p w14:paraId="7D86D0A7" w14:textId="77E4E558" w:rsidR="000F61E2" w:rsidRDefault="00655D9A" w:rsidP="00326996">
      <w:pPr>
        <w:pStyle w:val="ListParagraph"/>
        <w:numPr>
          <w:ilvl w:val="0"/>
          <w:numId w:val="3"/>
        </w:numPr>
        <w:spacing w:before="120" w:after="240" w:line="240" w:lineRule="auto"/>
        <w:contextualSpacing w:val="0"/>
        <w:jc w:val="both"/>
        <w:rPr>
          <w:rFonts w:ascii="Arial" w:hAnsi="Arial" w:cs="Arial"/>
          <w:sz w:val="20"/>
          <w:szCs w:val="20"/>
        </w:rPr>
      </w:pPr>
      <w:r>
        <w:rPr>
          <w:rFonts w:ascii="Arial" w:hAnsi="Arial" w:cs="Arial"/>
          <w:sz w:val="20"/>
          <w:szCs w:val="20"/>
        </w:rPr>
        <w:t xml:space="preserve">Hence, it is recommended to reduce holding </w:t>
      </w:r>
      <w:r w:rsidR="00D53B0E">
        <w:rPr>
          <w:rFonts w:ascii="Arial" w:hAnsi="Arial" w:cs="Arial"/>
          <w:sz w:val="20"/>
          <w:szCs w:val="20"/>
        </w:rPr>
        <w:t>of undertaking from 3 years to 2 years.</w:t>
      </w:r>
    </w:p>
    <w:p w14:paraId="52BEB873" w14:textId="0EF8F6F4" w:rsidR="00D53B0E" w:rsidRPr="00D53B0E" w:rsidRDefault="00D53B0E" w:rsidP="00326996">
      <w:pPr>
        <w:spacing w:before="120" w:after="240" w:line="240" w:lineRule="auto"/>
        <w:ind w:left="360"/>
        <w:jc w:val="both"/>
        <w:rPr>
          <w:rFonts w:ascii="Arial" w:hAnsi="Arial" w:cs="Arial"/>
          <w:b/>
          <w:bCs/>
          <w:sz w:val="20"/>
          <w:szCs w:val="20"/>
        </w:rPr>
      </w:pPr>
      <w:r w:rsidRPr="00D53B0E">
        <w:rPr>
          <w:rFonts w:ascii="Arial" w:hAnsi="Arial" w:cs="Arial"/>
          <w:b/>
          <w:bCs/>
          <w:sz w:val="20"/>
          <w:szCs w:val="20"/>
        </w:rPr>
        <w:t>Reduction of holding period of shares transferred in OFS in IPO from 2 years to 1 year</w:t>
      </w:r>
    </w:p>
    <w:p w14:paraId="21B00A8B" w14:textId="233F697D" w:rsidR="00564043" w:rsidRDefault="00564043"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India’s IPO market has seen a significant growth, driven by strong demand from both retail and institutional investors</w:t>
      </w:r>
    </w:p>
    <w:p w14:paraId="4899799B" w14:textId="6A48418A" w:rsidR="009300C2" w:rsidRDefault="009300C2"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The trend is fuelled by the positive economic outlook in India, the availability of private equity and venture capital funding, and the government's initiatives to simplify the IPO process</w:t>
      </w:r>
    </w:p>
    <w:p w14:paraId="27B9ADDE" w14:textId="3A65E4D3" w:rsidR="00B22C01" w:rsidRDefault="00B22C01"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In FY2023-24, around 247 companies raised about INR 64,126 crores through IPOs</w:t>
      </w:r>
      <w:r w:rsidR="00AB06FD">
        <w:rPr>
          <w:rFonts w:ascii="Arial" w:hAnsi="Arial" w:cs="Arial"/>
          <w:sz w:val="20"/>
          <w:szCs w:val="20"/>
        </w:rPr>
        <w:t>. The capital raised in current FY 2024-25 has already crossed INR 1 lakh crores.</w:t>
      </w:r>
    </w:p>
    <w:p w14:paraId="194FDD1E" w14:textId="3922C66F" w:rsidR="00B22C01" w:rsidRDefault="00B22C01"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Reorganization of capital structure is one of the key considerations in making the company ready for IPO</w:t>
      </w:r>
    </w:p>
    <w:p w14:paraId="67DC2ABB" w14:textId="5C4474CF" w:rsidR="001D4907" w:rsidRPr="00D77595" w:rsidRDefault="001D4907" w:rsidP="00326996">
      <w:pPr>
        <w:pStyle w:val="ListParagraph"/>
        <w:numPr>
          <w:ilvl w:val="0"/>
          <w:numId w:val="3"/>
        </w:numPr>
        <w:spacing w:before="120" w:after="240" w:line="240" w:lineRule="auto"/>
        <w:contextualSpacing w:val="0"/>
        <w:jc w:val="both"/>
        <w:rPr>
          <w:rFonts w:ascii="Arial" w:hAnsi="Arial" w:cs="Arial"/>
          <w:sz w:val="20"/>
          <w:szCs w:val="20"/>
          <w:lang w:val="en-US"/>
        </w:rPr>
      </w:pPr>
      <w:r w:rsidRPr="00D77595">
        <w:rPr>
          <w:rFonts w:ascii="Arial" w:hAnsi="Arial" w:cs="Arial"/>
          <w:sz w:val="20"/>
          <w:szCs w:val="20"/>
          <w:lang w:val="en-US"/>
        </w:rPr>
        <w:t>As per SEBI (ICDR), 2018</w:t>
      </w:r>
      <w:r w:rsidR="00CF023C">
        <w:rPr>
          <w:rFonts w:ascii="Arial" w:hAnsi="Arial" w:cs="Arial"/>
          <w:sz w:val="20"/>
          <w:szCs w:val="20"/>
          <w:lang w:val="en-US"/>
        </w:rPr>
        <w:t xml:space="preserve"> regulations</w:t>
      </w:r>
      <w:r w:rsidRPr="00D77595">
        <w:rPr>
          <w:rFonts w:ascii="Arial" w:hAnsi="Arial" w:cs="Arial"/>
          <w:sz w:val="20"/>
          <w:szCs w:val="20"/>
          <w:lang w:val="en-US"/>
        </w:rPr>
        <w:t xml:space="preserve"> </w:t>
      </w:r>
    </w:p>
    <w:p w14:paraId="0460436B" w14:textId="77777777" w:rsidR="001D4907" w:rsidRPr="00D77595" w:rsidRDefault="001D4907" w:rsidP="00326996">
      <w:pPr>
        <w:pStyle w:val="ListParagraph"/>
        <w:numPr>
          <w:ilvl w:val="1"/>
          <w:numId w:val="3"/>
        </w:numPr>
        <w:spacing w:before="120" w:after="240" w:line="240" w:lineRule="auto"/>
        <w:contextualSpacing w:val="0"/>
        <w:jc w:val="both"/>
        <w:rPr>
          <w:rFonts w:ascii="Arial" w:hAnsi="Arial" w:cs="Arial"/>
          <w:sz w:val="20"/>
          <w:szCs w:val="20"/>
          <w:lang w:val="en-US"/>
        </w:rPr>
      </w:pPr>
      <w:r w:rsidRPr="00D77595">
        <w:rPr>
          <w:rFonts w:ascii="Arial" w:hAnsi="Arial" w:cs="Arial"/>
          <w:sz w:val="20"/>
          <w:szCs w:val="20"/>
          <w:lang w:val="en-US"/>
        </w:rPr>
        <w:t xml:space="preserve">minimum promoter holding shall be locked in for a period of 18 months from the date of allotment in the IPO </w:t>
      </w:r>
    </w:p>
    <w:p w14:paraId="7C072088" w14:textId="77777777" w:rsidR="001D4907" w:rsidRPr="00D77595" w:rsidRDefault="001D4907" w:rsidP="00326996">
      <w:pPr>
        <w:pStyle w:val="ListParagraph"/>
        <w:numPr>
          <w:ilvl w:val="1"/>
          <w:numId w:val="3"/>
        </w:numPr>
        <w:spacing w:before="120" w:after="240" w:line="240" w:lineRule="auto"/>
        <w:contextualSpacing w:val="0"/>
        <w:jc w:val="both"/>
        <w:rPr>
          <w:rFonts w:ascii="Arial" w:hAnsi="Arial" w:cs="Arial"/>
          <w:sz w:val="20"/>
          <w:szCs w:val="20"/>
          <w:lang w:val="en-US"/>
        </w:rPr>
      </w:pPr>
      <w:r w:rsidRPr="00D77595">
        <w:rPr>
          <w:rFonts w:ascii="Arial" w:hAnsi="Arial" w:cs="Arial"/>
          <w:sz w:val="20"/>
          <w:szCs w:val="20"/>
          <w:lang w:val="en-US"/>
        </w:rPr>
        <w:t>promoter’s holding in excess of the above shall be locked in for a period of 6 months from the date of allotment in IPO</w:t>
      </w:r>
    </w:p>
    <w:p w14:paraId="3877F83E" w14:textId="6490DAAA" w:rsidR="001D4907" w:rsidRPr="00D77595" w:rsidRDefault="001D4907" w:rsidP="00326996">
      <w:pPr>
        <w:pStyle w:val="ListParagraph"/>
        <w:spacing w:before="120" w:after="240" w:line="240" w:lineRule="auto"/>
        <w:contextualSpacing w:val="0"/>
        <w:jc w:val="both"/>
        <w:rPr>
          <w:rFonts w:ascii="Arial" w:hAnsi="Arial" w:cs="Arial"/>
          <w:sz w:val="20"/>
          <w:szCs w:val="20"/>
          <w:lang w:val="en-US"/>
        </w:rPr>
      </w:pPr>
      <w:r w:rsidRPr="00D77595">
        <w:rPr>
          <w:rFonts w:ascii="Arial" w:hAnsi="Arial" w:cs="Arial"/>
          <w:sz w:val="20"/>
          <w:szCs w:val="20"/>
          <w:lang w:val="en-US"/>
        </w:rPr>
        <w:t>Based on the above, the promoters will have to wait at</w:t>
      </w:r>
      <w:r w:rsidR="001C1DE0">
        <w:rPr>
          <w:rFonts w:ascii="Arial" w:hAnsi="Arial" w:cs="Arial"/>
          <w:sz w:val="20"/>
          <w:szCs w:val="20"/>
          <w:lang w:val="en-US"/>
        </w:rPr>
        <w:t xml:space="preserve"> </w:t>
      </w:r>
      <w:r w:rsidRPr="00D77595">
        <w:rPr>
          <w:rFonts w:ascii="Arial" w:hAnsi="Arial" w:cs="Arial"/>
          <w:sz w:val="20"/>
          <w:szCs w:val="20"/>
          <w:lang w:val="en-US"/>
        </w:rPr>
        <w:t xml:space="preserve">least 6 months before they can sell a portion of their shares on the stock exchange, unless they sell it in OFS. Accordingly, they may be compelled to sell a portion of their shares in OFS than wait for their lock in to complete before selling it on the stock exchange. </w:t>
      </w:r>
    </w:p>
    <w:p w14:paraId="2C4607C5" w14:textId="2FF17EA7" w:rsidR="001D4907" w:rsidRPr="00D77595" w:rsidRDefault="001D4907" w:rsidP="00326996">
      <w:pPr>
        <w:pStyle w:val="ListParagraph"/>
        <w:numPr>
          <w:ilvl w:val="0"/>
          <w:numId w:val="3"/>
        </w:numPr>
        <w:spacing w:before="120" w:after="240" w:line="240" w:lineRule="auto"/>
        <w:contextualSpacing w:val="0"/>
        <w:jc w:val="both"/>
        <w:rPr>
          <w:rFonts w:ascii="Arial" w:hAnsi="Arial" w:cs="Arial"/>
          <w:sz w:val="20"/>
          <w:szCs w:val="20"/>
          <w:lang w:val="en-US"/>
        </w:rPr>
      </w:pPr>
      <w:r w:rsidRPr="00D77595">
        <w:rPr>
          <w:rFonts w:ascii="Arial" w:hAnsi="Arial" w:cs="Arial"/>
          <w:sz w:val="20"/>
          <w:szCs w:val="20"/>
          <w:lang w:val="en-US"/>
        </w:rPr>
        <w:t>Also, from market perspective any sale by promoters immediately post listing may impact the market sentiment and negatively impact the price</w:t>
      </w:r>
    </w:p>
    <w:p w14:paraId="6E889A14" w14:textId="52866FEF" w:rsidR="001D4907" w:rsidRPr="00D77595" w:rsidRDefault="001D4907" w:rsidP="00326996">
      <w:pPr>
        <w:pStyle w:val="ListParagraph"/>
        <w:numPr>
          <w:ilvl w:val="0"/>
          <w:numId w:val="3"/>
        </w:numPr>
        <w:spacing w:before="120" w:after="240" w:line="240" w:lineRule="auto"/>
        <w:contextualSpacing w:val="0"/>
        <w:jc w:val="both"/>
        <w:rPr>
          <w:rFonts w:ascii="Arial" w:hAnsi="Arial" w:cs="Arial"/>
          <w:sz w:val="20"/>
          <w:szCs w:val="20"/>
          <w:lang w:val="en-US"/>
        </w:rPr>
      </w:pPr>
      <w:r w:rsidRPr="00D77595">
        <w:rPr>
          <w:rFonts w:ascii="Arial" w:hAnsi="Arial" w:cs="Arial"/>
          <w:sz w:val="20"/>
          <w:szCs w:val="20"/>
          <w:lang w:val="en-US"/>
        </w:rPr>
        <w:t>Further, SEBI mandates a minimum public shareholding of 25%</w:t>
      </w:r>
      <w:r w:rsidR="00684269" w:rsidRPr="00D77595">
        <w:rPr>
          <w:rFonts w:ascii="Arial" w:hAnsi="Arial" w:cs="Arial"/>
          <w:sz w:val="20"/>
          <w:szCs w:val="20"/>
          <w:lang w:val="en-US"/>
        </w:rPr>
        <w:t xml:space="preserve">. The company may not really </w:t>
      </w:r>
      <w:r w:rsidR="00AE6814" w:rsidRPr="00D77595">
        <w:rPr>
          <w:rFonts w:ascii="Arial" w:hAnsi="Arial" w:cs="Arial"/>
          <w:sz w:val="20"/>
          <w:szCs w:val="20"/>
          <w:lang w:val="en-US"/>
        </w:rPr>
        <w:t>need</w:t>
      </w:r>
      <w:r w:rsidR="00684269" w:rsidRPr="00D77595">
        <w:rPr>
          <w:rFonts w:ascii="Arial" w:hAnsi="Arial" w:cs="Arial"/>
          <w:sz w:val="20"/>
          <w:szCs w:val="20"/>
          <w:lang w:val="en-US"/>
        </w:rPr>
        <w:t xml:space="preserve"> fresh infusion/capital for the </w:t>
      </w:r>
      <w:r w:rsidR="00AE6814" w:rsidRPr="00D77595">
        <w:rPr>
          <w:rFonts w:ascii="Arial" w:hAnsi="Arial" w:cs="Arial"/>
          <w:sz w:val="20"/>
          <w:szCs w:val="20"/>
          <w:lang w:val="en-US"/>
        </w:rPr>
        <w:t>business. Hence, there is a mix of both primary and OFS part in the IPO as promoters also wish to get some liquidity</w:t>
      </w:r>
      <w:r w:rsidR="00C93486" w:rsidRPr="00D77595">
        <w:rPr>
          <w:rFonts w:ascii="Arial" w:hAnsi="Arial" w:cs="Arial"/>
          <w:sz w:val="20"/>
          <w:szCs w:val="20"/>
          <w:lang w:val="en-US"/>
        </w:rPr>
        <w:t xml:space="preserve">. </w:t>
      </w:r>
    </w:p>
    <w:p w14:paraId="55294377" w14:textId="77777777" w:rsidR="001D4907" w:rsidRPr="00D77595" w:rsidRDefault="001D4907" w:rsidP="00326996">
      <w:pPr>
        <w:pStyle w:val="ListParagraph"/>
        <w:numPr>
          <w:ilvl w:val="0"/>
          <w:numId w:val="3"/>
        </w:numPr>
        <w:spacing w:before="120" w:after="240" w:line="240" w:lineRule="auto"/>
        <w:contextualSpacing w:val="0"/>
        <w:jc w:val="both"/>
        <w:rPr>
          <w:rFonts w:ascii="Arial" w:hAnsi="Arial" w:cs="Arial"/>
          <w:sz w:val="20"/>
          <w:szCs w:val="20"/>
          <w:lang w:val="en-US"/>
        </w:rPr>
      </w:pPr>
      <w:r w:rsidRPr="00D77595">
        <w:rPr>
          <w:rFonts w:ascii="Arial" w:hAnsi="Arial" w:cs="Arial"/>
          <w:sz w:val="20"/>
          <w:szCs w:val="20"/>
          <w:lang w:val="en-US"/>
        </w:rPr>
        <w:lastRenderedPageBreak/>
        <w:t>Furthermore, agreements with private equity (PE) and venture capital (VC) investors often include clauses that require promoters to provide liquidity through an OFS during the IPO. These investors seek exits within specific timeframes, which can be facilitated more effectively through an OFS.</w:t>
      </w:r>
    </w:p>
    <w:p w14:paraId="3EE3D074" w14:textId="4A6D79DF" w:rsidR="00F577D9" w:rsidRPr="00F577D9" w:rsidRDefault="00F055DC" w:rsidP="00326996">
      <w:pPr>
        <w:pStyle w:val="ListParagraph"/>
        <w:numPr>
          <w:ilvl w:val="0"/>
          <w:numId w:val="3"/>
        </w:numPr>
        <w:spacing w:before="120" w:after="240" w:line="240" w:lineRule="auto"/>
        <w:contextualSpacing w:val="0"/>
        <w:jc w:val="both"/>
        <w:rPr>
          <w:rFonts w:ascii="Arial" w:hAnsi="Arial" w:cs="Arial"/>
          <w:sz w:val="20"/>
          <w:szCs w:val="20"/>
        </w:rPr>
      </w:pPr>
      <w:r w:rsidRPr="00F577D9">
        <w:rPr>
          <w:rFonts w:ascii="Arial" w:hAnsi="Arial" w:cs="Arial"/>
          <w:sz w:val="20"/>
          <w:szCs w:val="20"/>
          <w:lang w:val="en-US"/>
        </w:rPr>
        <w:t xml:space="preserve">Hence, the company generally structure their capital immediately pre-IPO </w:t>
      </w:r>
    </w:p>
    <w:p w14:paraId="3E63E1E7" w14:textId="1866E80F" w:rsidR="006305F9" w:rsidRPr="00CF023C" w:rsidRDefault="009300C2"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As part of the capital restructuring, companies resort to methods like issuance of bonus and share splits</w:t>
      </w:r>
    </w:p>
    <w:p w14:paraId="76A68BD2" w14:textId="77777777" w:rsidR="009300C2" w:rsidRDefault="009300C2"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This is primarily done to ensure that there is enough liquidity of shares in the market and the price per share is affordable for the retail investors</w:t>
      </w:r>
    </w:p>
    <w:p w14:paraId="553E81E5" w14:textId="77777777" w:rsidR="00DD3E16" w:rsidRDefault="00852199"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As part of IPO, companies raise capital as well as promoters/investors get liquidity by selling some portion of their shares in the IPO (Offer for sale</w:t>
      </w:r>
      <w:r w:rsidR="00AE322F" w:rsidRPr="006305F9">
        <w:rPr>
          <w:rFonts w:ascii="Arial" w:hAnsi="Arial" w:cs="Arial"/>
          <w:sz w:val="20"/>
          <w:szCs w:val="20"/>
        </w:rPr>
        <w:t>) (OFS)</w:t>
      </w:r>
    </w:p>
    <w:p w14:paraId="32A0DF8D" w14:textId="77777777" w:rsidR="00DD3E16" w:rsidRDefault="00DD3E16"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The taxability in the hands of Promoters/Investors depends upon the period of holding of shares</w:t>
      </w:r>
    </w:p>
    <w:p w14:paraId="628063CC" w14:textId="4859C687" w:rsidR="00DD3E16" w:rsidRDefault="00DD3E16"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S</w:t>
      </w:r>
      <w:r w:rsidR="00ED4D66" w:rsidRPr="006305F9">
        <w:rPr>
          <w:rFonts w:ascii="Arial" w:hAnsi="Arial" w:cs="Arial"/>
          <w:sz w:val="20"/>
          <w:szCs w:val="20"/>
        </w:rPr>
        <w:t xml:space="preserve">ection 2(42A) of </w:t>
      </w:r>
      <w:r w:rsidR="00467D0B" w:rsidRPr="006305F9">
        <w:rPr>
          <w:rFonts w:ascii="Arial" w:hAnsi="Arial" w:cs="Arial"/>
          <w:sz w:val="20"/>
          <w:szCs w:val="20"/>
        </w:rPr>
        <w:t>the Income-tax Act, 1961 (‘the Act’),</w:t>
      </w:r>
      <w:r w:rsidR="00ED4D66" w:rsidRPr="006305F9">
        <w:rPr>
          <w:rFonts w:ascii="Arial" w:hAnsi="Arial" w:cs="Arial"/>
          <w:sz w:val="20"/>
          <w:szCs w:val="20"/>
        </w:rPr>
        <w:t xml:space="preserve"> a threshold of 12 months in the case of listed shares and 24 months in the case of unlisted shares has been provided for determining whether the shares qualify as a long term/ short term capital asset</w:t>
      </w:r>
    </w:p>
    <w:p w14:paraId="3353FC86" w14:textId="372207E7" w:rsidR="009D6C90" w:rsidRDefault="009D6C90"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Accordingly, it is imperative to understand whether the shares sold through an OFS to be considered as listed or unlisted to determine the period of holding of such shares and classifying the gains as long term or short term</w:t>
      </w:r>
    </w:p>
    <w:p w14:paraId="54B8CC86" w14:textId="04F2D63D" w:rsidR="00935B77" w:rsidRDefault="00FB03C1"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As per section 97(</w:t>
      </w:r>
      <w:r w:rsidR="00BE2F52" w:rsidRPr="006305F9">
        <w:rPr>
          <w:rFonts w:ascii="Arial" w:hAnsi="Arial" w:cs="Arial"/>
          <w:sz w:val="20"/>
          <w:szCs w:val="20"/>
        </w:rPr>
        <w:t xml:space="preserve">13)(aa) of Securities Transaction Tax, </w:t>
      </w:r>
      <w:r w:rsidR="00681FCD" w:rsidRPr="006305F9">
        <w:rPr>
          <w:rFonts w:ascii="Arial" w:hAnsi="Arial" w:cs="Arial"/>
          <w:sz w:val="20"/>
          <w:szCs w:val="20"/>
        </w:rPr>
        <w:t xml:space="preserve">‘taxable securities transaction’ is defined to mean </w:t>
      </w:r>
      <w:r w:rsidR="00A37A56" w:rsidRPr="006305F9">
        <w:rPr>
          <w:rFonts w:ascii="Arial" w:hAnsi="Arial" w:cs="Arial"/>
          <w:sz w:val="20"/>
          <w:szCs w:val="20"/>
        </w:rPr>
        <w:t>sale of unlisted equity shares by any holder of such shares under an offer for sale to the public included in an initial public offer and where such shares are subsequently listed on a recognised stock exchange</w:t>
      </w:r>
    </w:p>
    <w:p w14:paraId="53D6FE03" w14:textId="0AEB8890" w:rsidR="009A69AB" w:rsidRDefault="00A37A56"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Based on above, it is inferred that the shared transferred in OFS are treated as ‘unlisted’ and hence the period of holding should be more than 24 months for the same to qualify as long</w:t>
      </w:r>
      <w:r w:rsidR="006305F9">
        <w:rPr>
          <w:rFonts w:ascii="Arial" w:hAnsi="Arial" w:cs="Arial"/>
          <w:sz w:val="20"/>
          <w:szCs w:val="20"/>
        </w:rPr>
        <w:t>-</w:t>
      </w:r>
      <w:r w:rsidRPr="006305F9">
        <w:rPr>
          <w:rFonts w:ascii="Arial" w:hAnsi="Arial" w:cs="Arial"/>
          <w:sz w:val="20"/>
          <w:szCs w:val="20"/>
        </w:rPr>
        <w:t>term capital asset</w:t>
      </w:r>
      <w:r w:rsidR="00316DFD">
        <w:rPr>
          <w:rFonts w:ascii="Arial" w:hAnsi="Arial" w:cs="Arial"/>
          <w:sz w:val="20"/>
          <w:szCs w:val="20"/>
        </w:rPr>
        <w:t xml:space="preserve">. However, all other tax </w:t>
      </w:r>
      <w:r w:rsidR="00F451BA">
        <w:rPr>
          <w:rFonts w:ascii="Arial" w:hAnsi="Arial" w:cs="Arial"/>
          <w:sz w:val="20"/>
          <w:szCs w:val="20"/>
        </w:rPr>
        <w:t xml:space="preserve">consequences of sale of shares in OFS are same as listed shares which </w:t>
      </w:r>
      <w:r w:rsidR="00666E12">
        <w:rPr>
          <w:rFonts w:ascii="Arial" w:hAnsi="Arial" w:cs="Arial"/>
          <w:sz w:val="20"/>
          <w:szCs w:val="20"/>
        </w:rPr>
        <w:t>are as follows :-</w:t>
      </w:r>
    </w:p>
    <w:p w14:paraId="45E0E5F8" w14:textId="77777777" w:rsidR="009B3821" w:rsidRPr="009B3821" w:rsidRDefault="009B3821" w:rsidP="00326996">
      <w:pPr>
        <w:pStyle w:val="ListParagraph"/>
        <w:numPr>
          <w:ilvl w:val="1"/>
          <w:numId w:val="3"/>
        </w:numPr>
        <w:spacing w:before="120" w:after="240" w:line="240" w:lineRule="auto"/>
        <w:contextualSpacing w:val="0"/>
        <w:jc w:val="both"/>
        <w:rPr>
          <w:rFonts w:ascii="Arial" w:hAnsi="Arial" w:cs="Arial"/>
          <w:sz w:val="20"/>
          <w:szCs w:val="20"/>
        </w:rPr>
      </w:pPr>
      <w:r w:rsidRPr="009B3821">
        <w:rPr>
          <w:rFonts w:ascii="Arial" w:hAnsi="Arial" w:cs="Arial"/>
          <w:sz w:val="20"/>
          <w:szCs w:val="20"/>
        </w:rPr>
        <w:t>LTCG rate is 12.5% u/s. 112A and STCG rate is 20% u/s. 111A</w:t>
      </w:r>
    </w:p>
    <w:p w14:paraId="5FE3220D" w14:textId="77777777" w:rsidR="009B3821" w:rsidRPr="009B3821" w:rsidRDefault="009B3821" w:rsidP="00326996">
      <w:pPr>
        <w:pStyle w:val="ListParagraph"/>
        <w:numPr>
          <w:ilvl w:val="1"/>
          <w:numId w:val="3"/>
        </w:numPr>
        <w:spacing w:before="120" w:after="240" w:line="240" w:lineRule="auto"/>
        <w:contextualSpacing w:val="0"/>
        <w:jc w:val="both"/>
        <w:rPr>
          <w:rFonts w:ascii="Arial" w:hAnsi="Arial" w:cs="Arial"/>
          <w:sz w:val="20"/>
          <w:szCs w:val="20"/>
        </w:rPr>
      </w:pPr>
      <w:r w:rsidRPr="009B3821">
        <w:rPr>
          <w:rFonts w:ascii="Arial" w:hAnsi="Arial" w:cs="Arial"/>
          <w:sz w:val="20"/>
          <w:szCs w:val="20"/>
        </w:rPr>
        <w:t>Such transfer is liable to STT at higher rate of @ 0.2% as compared to listed shares (@ 0.1%)</w:t>
      </w:r>
    </w:p>
    <w:p w14:paraId="279E2717" w14:textId="0BD3D39B" w:rsidR="009B3821" w:rsidRPr="009B3821" w:rsidRDefault="009B3821" w:rsidP="00326996">
      <w:pPr>
        <w:pStyle w:val="ListParagraph"/>
        <w:numPr>
          <w:ilvl w:val="1"/>
          <w:numId w:val="3"/>
        </w:numPr>
        <w:spacing w:before="120" w:after="240" w:line="240" w:lineRule="auto"/>
        <w:contextualSpacing w:val="0"/>
        <w:jc w:val="both"/>
        <w:rPr>
          <w:rFonts w:ascii="Arial" w:hAnsi="Arial" w:cs="Arial"/>
          <w:sz w:val="20"/>
          <w:szCs w:val="20"/>
        </w:rPr>
      </w:pPr>
      <w:r w:rsidRPr="009B3821">
        <w:rPr>
          <w:rFonts w:ascii="Arial" w:hAnsi="Arial" w:cs="Arial"/>
          <w:sz w:val="20"/>
          <w:szCs w:val="20"/>
        </w:rPr>
        <w:t xml:space="preserve">Such shares are also eligible for “grandfathering benefit” u/s. 55(2)(ac) of substituting FMV as on 31 Jan 2018 </w:t>
      </w:r>
      <w:r w:rsidR="00217932">
        <w:rPr>
          <w:rFonts w:ascii="Arial" w:hAnsi="Arial" w:cs="Arial"/>
          <w:sz w:val="20"/>
          <w:szCs w:val="20"/>
        </w:rPr>
        <w:t>for cost of acquisition</w:t>
      </w:r>
    </w:p>
    <w:p w14:paraId="6A2EDF76" w14:textId="12756749" w:rsidR="00FE780E" w:rsidRDefault="00A37A56"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S</w:t>
      </w:r>
      <w:r w:rsidR="007509BF" w:rsidRPr="006305F9">
        <w:rPr>
          <w:rFonts w:ascii="Arial" w:hAnsi="Arial" w:cs="Arial"/>
          <w:sz w:val="20"/>
          <w:szCs w:val="20"/>
        </w:rPr>
        <w:t>ection 111A and 112A of the Act which provides for special rates in case of short-term and long-term capital asset respectively does not provide a specific reference to the shares being listed on stock exchange</w:t>
      </w:r>
      <w:r w:rsidR="005E10FB" w:rsidRPr="006305F9">
        <w:rPr>
          <w:rFonts w:ascii="Arial" w:hAnsi="Arial" w:cs="Arial"/>
          <w:sz w:val="20"/>
          <w:szCs w:val="20"/>
        </w:rPr>
        <w:t>.</w:t>
      </w:r>
      <w:r w:rsidR="007509BF" w:rsidRPr="006305F9">
        <w:rPr>
          <w:rFonts w:ascii="Arial" w:hAnsi="Arial" w:cs="Arial"/>
          <w:sz w:val="20"/>
          <w:szCs w:val="20"/>
        </w:rPr>
        <w:t xml:space="preserve"> </w:t>
      </w:r>
      <w:r w:rsidR="005E10FB" w:rsidRPr="006305F9">
        <w:rPr>
          <w:rFonts w:ascii="Arial" w:hAnsi="Arial" w:cs="Arial"/>
          <w:sz w:val="20"/>
          <w:szCs w:val="20"/>
        </w:rPr>
        <w:t>I</w:t>
      </w:r>
      <w:r w:rsidR="007509BF" w:rsidRPr="006305F9">
        <w:rPr>
          <w:rFonts w:ascii="Arial" w:hAnsi="Arial" w:cs="Arial"/>
          <w:sz w:val="20"/>
          <w:szCs w:val="20"/>
        </w:rPr>
        <w:t>nstead</w:t>
      </w:r>
      <w:r w:rsidR="005E10FB" w:rsidRPr="006305F9">
        <w:rPr>
          <w:rFonts w:ascii="Arial" w:hAnsi="Arial" w:cs="Arial"/>
          <w:sz w:val="20"/>
          <w:szCs w:val="20"/>
        </w:rPr>
        <w:t>,</w:t>
      </w:r>
      <w:r w:rsidR="00D94B15" w:rsidRPr="006305F9">
        <w:rPr>
          <w:rFonts w:ascii="Arial" w:hAnsi="Arial" w:cs="Arial"/>
          <w:sz w:val="20"/>
          <w:szCs w:val="20"/>
        </w:rPr>
        <w:t xml:space="preserve"> these sections</w:t>
      </w:r>
      <w:r w:rsidR="007509BF" w:rsidRPr="006305F9">
        <w:rPr>
          <w:rFonts w:ascii="Arial" w:hAnsi="Arial" w:cs="Arial"/>
          <w:sz w:val="20"/>
          <w:szCs w:val="20"/>
        </w:rPr>
        <w:t xml:space="preserve"> </w:t>
      </w:r>
      <w:r w:rsidR="006305F9" w:rsidRPr="006305F9">
        <w:rPr>
          <w:rFonts w:ascii="Arial" w:hAnsi="Arial" w:cs="Arial"/>
          <w:sz w:val="20"/>
          <w:szCs w:val="20"/>
        </w:rPr>
        <w:t>apply</w:t>
      </w:r>
      <w:r w:rsidR="007509BF" w:rsidRPr="006305F9">
        <w:rPr>
          <w:rFonts w:ascii="Arial" w:hAnsi="Arial" w:cs="Arial"/>
          <w:sz w:val="20"/>
          <w:szCs w:val="20"/>
        </w:rPr>
        <w:t xml:space="preserve"> to the shares on which Securities Transaction Tax (‘STT’) </w:t>
      </w:r>
      <w:r w:rsidR="00D94B15" w:rsidRPr="006305F9">
        <w:rPr>
          <w:rFonts w:ascii="Arial" w:hAnsi="Arial" w:cs="Arial"/>
          <w:sz w:val="20"/>
          <w:szCs w:val="20"/>
        </w:rPr>
        <w:t>has been</w:t>
      </w:r>
      <w:r w:rsidR="007509BF" w:rsidRPr="006305F9">
        <w:rPr>
          <w:rFonts w:ascii="Arial" w:hAnsi="Arial" w:cs="Arial"/>
          <w:sz w:val="20"/>
          <w:szCs w:val="20"/>
        </w:rPr>
        <w:t xml:space="preserve"> paid </w:t>
      </w:r>
      <w:r w:rsidR="00D94B15" w:rsidRPr="006305F9">
        <w:rPr>
          <w:rFonts w:ascii="Arial" w:hAnsi="Arial" w:cs="Arial"/>
          <w:sz w:val="20"/>
          <w:szCs w:val="20"/>
        </w:rPr>
        <w:t>in accordance with relevant</w:t>
      </w:r>
      <w:r w:rsidR="007509BF" w:rsidRPr="006305F9">
        <w:rPr>
          <w:rFonts w:ascii="Arial" w:hAnsi="Arial" w:cs="Arial"/>
          <w:sz w:val="20"/>
          <w:szCs w:val="20"/>
        </w:rPr>
        <w:t xml:space="preserve"> provisions. </w:t>
      </w:r>
    </w:p>
    <w:p w14:paraId="1F7FCC34" w14:textId="3CC3DEB4" w:rsidR="00174234" w:rsidRDefault="00785B8A"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Consequently,</w:t>
      </w:r>
      <w:r w:rsidR="007509BF" w:rsidRPr="006305F9">
        <w:rPr>
          <w:rFonts w:ascii="Arial" w:hAnsi="Arial" w:cs="Arial"/>
          <w:sz w:val="20"/>
          <w:szCs w:val="20"/>
        </w:rPr>
        <w:t xml:space="preserve"> </w:t>
      </w:r>
      <w:r w:rsidR="00174234" w:rsidRPr="006305F9">
        <w:rPr>
          <w:rFonts w:ascii="Arial" w:hAnsi="Arial" w:cs="Arial"/>
          <w:sz w:val="20"/>
          <w:szCs w:val="20"/>
        </w:rPr>
        <w:t xml:space="preserve">based on the period of holding, </w:t>
      </w:r>
      <w:r w:rsidR="007509BF" w:rsidRPr="006305F9">
        <w:rPr>
          <w:rFonts w:ascii="Arial" w:hAnsi="Arial" w:cs="Arial"/>
          <w:sz w:val="20"/>
          <w:szCs w:val="20"/>
        </w:rPr>
        <w:t xml:space="preserve">gains arising on transfer of shares under </w:t>
      </w:r>
      <w:r w:rsidRPr="006305F9">
        <w:rPr>
          <w:rFonts w:ascii="Arial" w:hAnsi="Arial" w:cs="Arial"/>
          <w:sz w:val="20"/>
          <w:szCs w:val="20"/>
        </w:rPr>
        <w:t xml:space="preserve">an </w:t>
      </w:r>
      <w:r w:rsidR="007509BF" w:rsidRPr="006305F9">
        <w:rPr>
          <w:rFonts w:ascii="Arial" w:hAnsi="Arial" w:cs="Arial"/>
          <w:sz w:val="20"/>
          <w:szCs w:val="20"/>
        </w:rPr>
        <w:t>OFS is covered under the provisions of section 111A and 112A of the Act even though the shares subject to OFS are not listed on the date of transfer</w:t>
      </w:r>
    </w:p>
    <w:p w14:paraId="0355585E" w14:textId="02BDA4DD" w:rsidR="00AF4644" w:rsidRDefault="000E5C4B"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 xml:space="preserve">Further, </w:t>
      </w:r>
      <w:r w:rsidR="00467D0B" w:rsidRPr="006305F9">
        <w:rPr>
          <w:rFonts w:ascii="Arial" w:hAnsi="Arial" w:cs="Arial"/>
          <w:sz w:val="20"/>
          <w:szCs w:val="20"/>
        </w:rPr>
        <w:t>any purchase or sale of any equity shares of a company entered into in a recognised stock exchange would require the payment of STT</w:t>
      </w:r>
    </w:p>
    <w:p w14:paraId="2C38D03B" w14:textId="19F3DDA4" w:rsidR="00467D0B" w:rsidRDefault="00AF4644"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lastRenderedPageBreak/>
        <w:t>For the period upto</w:t>
      </w:r>
      <w:r w:rsidR="00467D0B" w:rsidRPr="006305F9">
        <w:rPr>
          <w:rFonts w:ascii="Arial" w:hAnsi="Arial" w:cs="Arial"/>
          <w:sz w:val="20"/>
          <w:szCs w:val="20"/>
        </w:rPr>
        <w:t xml:space="preserve"> 2012, there was no STT paid on unlisted securities sold to the public under an OFS included in an IPO. However, in the year 2012, the Finance Minister in his Budget speech on Finance Bill, 2012 quoted the following:</w:t>
      </w:r>
    </w:p>
    <w:p w14:paraId="1C9A9168" w14:textId="468B83A9" w:rsidR="006305F9" w:rsidRPr="00A744A8" w:rsidRDefault="00467D0B" w:rsidP="00326996">
      <w:pPr>
        <w:spacing w:before="120" w:after="240" w:line="240" w:lineRule="auto"/>
        <w:ind w:left="1440"/>
        <w:jc w:val="both"/>
        <w:rPr>
          <w:rFonts w:ascii="Arial" w:hAnsi="Arial" w:cs="Arial"/>
          <w:i/>
          <w:iCs/>
          <w:sz w:val="20"/>
          <w:szCs w:val="20"/>
        </w:rPr>
      </w:pPr>
      <w:r w:rsidRPr="00A744A8">
        <w:rPr>
          <w:rFonts w:ascii="Arial" w:hAnsi="Arial" w:cs="Arial"/>
          <w:i/>
          <w:iCs/>
          <w:sz w:val="20"/>
          <w:szCs w:val="20"/>
        </w:rPr>
        <w:t>“…..To promote further depth of the capital markets through listing of companies, I propose to extend the benefit of tax exemption on long term capital gains to the sale of unlisted securities in an initial public offer. For this purpose, I propose to provide the levy of Securities Transaction Tax (STT) at the rate of 0.2 per cent on such sale of unlisted securities….”</w:t>
      </w:r>
    </w:p>
    <w:p w14:paraId="5B60357C" w14:textId="645FB54D" w:rsidR="00992F63" w:rsidRDefault="00992F63"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 xml:space="preserve">It is imperative to note that this amendment was made in the STT in order to promote listing of companies and extend the benefit of section 10(38) of the </w:t>
      </w:r>
      <w:r w:rsidR="007A5DD6" w:rsidRPr="006305F9">
        <w:rPr>
          <w:rFonts w:ascii="Arial" w:hAnsi="Arial" w:cs="Arial"/>
          <w:sz w:val="20"/>
          <w:szCs w:val="20"/>
        </w:rPr>
        <w:t>Act</w:t>
      </w:r>
      <w:r w:rsidRPr="006305F9">
        <w:rPr>
          <w:rFonts w:ascii="Arial" w:hAnsi="Arial" w:cs="Arial"/>
          <w:sz w:val="20"/>
          <w:szCs w:val="20"/>
        </w:rPr>
        <w:t xml:space="preserve"> to unlisted securities. This shows that the intention of the legislators was to treat the securities transferred through an OFS on par with listed securities</w:t>
      </w:r>
    </w:p>
    <w:p w14:paraId="6E704A32" w14:textId="1ACDB403" w:rsidR="00F4554E" w:rsidRDefault="005B2131"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Moreover, a</w:t>
      </w:r>
      <w:r w:rsidR="00166FFB" w:rsidRPr="006305F9">
        <w:rPr>
          <w:rFonts w:ascii="Arial" w:hAnsi="Arial" w:cs="Arial"/>
          <w:sz w:val="20"/>
          <w:szCs w:val="20"/>
        </w:rPr>
        <w:t xml:space="preserve"> company which proposes to get listed through an IPO would have to obtain an in-principle approval from the recognised stock exchange in which the shares are proposed to get listed</w:t>
      </w:r>
    </w:p>
    <w:p w14:paraId="79DC3D08" w14:textId="0495E52A" w:rsidR="00166FFB" w:rsidRDefault="00166FFB"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 xml:space="preserve">Investors are then permitted to submit orders for OFS shares on a designated platform within a recognized stock exchange. </w:t>
      </w:r>
      <w:r w:rsidR="006305F9" w:rsidRPr="006305F9">
        <w:rPr>
          <w:rFonts w:ascii="Arial" w:hAnsi="Arial" w:cs="Arial"/>
          <w:sz w:val="20"/>
          <w:szCs w:val="20"/>
        </w:rPr>
        <w:t>After</w:t>
      </w:r>
      <w:r w:rsidRPr="006305F9">
        <w:rPr>
          <w:rFonts w:ascii="Arial" w:hAnsi="Arial" w:cs="Arial"/>
          <w:sz w:val="20"/>
          <w:szCs w:val="20"/>
        </w:rPr>
        <w:t xml:space="preserve"> order placement, the stock exchange is responsible for the allocation of shares to investors.</w:t>
      </w:r>
    </w:p>
    <w:p w14:paraId="5CDFE8CF" w14:textId="11AA48B3" w:rsidR="00000E9D" w:rsidRDefault="00166FFB"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 xml:space="preserve">Since the procedure for an OFS through IPO involves offering of shares to the public in designated stock exchange, it </w:t>
      </w:r>
      <w:r w:rsidR="00472AB9" w:rsidRPr="006305F9">
        <w:rPr>
          <w:rFonts w:ascii="Arial" w:hAnsi="Arial" w:cs="Arial"/>
          <w:sz w:val="20"/>
          <w:szCs w:val="20"/>
        </w:rPr>
        <w:t xml:space="preserve">would </w:t>
      </w:r>
      <w:r w:rsidRPr="006305F9">
        <w:rPr>
          <w:rFonts w:ascii="Arial" w:hAnsi="Arial" w:cs="Arial"/>
          <w:sz w:val="20"/>
          <w:szCs w:val="20"/>
        </w:rPr>
        <w:t xml:space="preserve">be </w:t>
      </w:r>
      <w:r w:rsidR="00472AB9" w:rsidRPr="006305F9">
        <w:rPr>
          <w:rFonts w:ascii="Arial" w:hAnsi="Arial" w:cs="Arial"/>
          <w:sz w:val="20"/>
          <w:szCs w:val="20"/>
        </w:rPr>
        <w:t xml:space="preserve">appropriate to treat the shares </w:t>
      </w:r>
      <w:r w:rsidR="003D17F9" w:rsidRPr="006305F9">
        <w:rPr>
          <w:rFonts w:ascii="Arial" w:hAnsi="Arial" w:cs="Arial"/>
          <w:sz w:val="20"/>
          <w:szCs w:val="20"/>
        </w:rPr>
        <w:t xml:space="preserve">offered in OFS as listed </w:t>
      </w:r>
    </w:p>
    <w:p w14:paraId="3A8C3D29" w14:textId="4CB3C641" w:rsidR="003D17F9" w:rsidRDefault="00000E9D" w:rsidP="00326996">
      <w:pPr>
        <w:pStyle w:val="ListParagraph"/>
        <w:numPr>
          <w:ilvl w:val="0"/>
          <w:numId w:val="3"/>
        </w:numPr>
        <w:spacing w:before="120" w:after="240" w:line="240" w:lineRule="auto"/>
        <w:contextualSpacing w:val="0"/>
        <w:jc w:val="both"/>
        <w:rPr>
          <w:rFonts w:ascii="Arial" w:hAnsi="Arial" w:cs="Arial"/>
          <w:sz w:val="20"/>
          <w:szCs w:val="20"/>
        </w:rPr>
      </w:pPr>
      <w:r>
        <w:rPr>
          <w:rFonts w:ascii="Arial" w:hAnsi="Arial" w:cs="Arial"/>
          <w:sz w:val="20"/>
          <w:szCs w:val="20"/>
        </w:rPr>
        <w:t>A</w:t>
      </w:r>
      <w:r w:rsidRPr="006305F9">
        <w:rPr>
          <w:rFonts w:ascii="Arial" w:hAnsi="Arial" w:cs="Arial"/>
          <w:sz w:val="20"/>
          <w:szCs w:val="20"/>
        </w:rPr>
        <w:t>ccordingly</w:t>
      </w:r>
      <w:r w:rsidR="0045687E">
        <w:rPr>
          <w:rFonts w:ascii="Arial" w:hAnsi="Arial" w:cs="Arial"/>
          <w:sz w:val="20"/>
          <w:szCs w:val="20"/>
        </w:rPr>
        <w:t>,</w:t>
      </w:r>
      <w:r w:rsidRPr="006305F9">
        <w:rPr>
          <w:rFonts w:ascii="Arial" w:hAnsi="Arial" w:cs="Arial"/>
          <w:sz w:val="20"/>
          <w:szCs w:val="20"/>
        </w:rPr>
        <w:t xml:space="preserve"> </w:t>
      </w:r>
      <w:r w:rsidR="003D17F9" w:rsidRPr="006305F9">
        <w:rPr>
          <w:rFonts w:ascii="Arial" w:hAnsi="Arial" w:cs="Arial"/>
          <w:sz w:val="20"/>
          <w:szCs w:val="20"/>
        </w:rPr>
        <w:t xml:space="preserve">the period of holding for same should be 12 months to classify the same as long term capital asset </w:t>
      </w:r>
    </w:p>
    <w:p w14:paraId="365DE970" w14:textId="77777777" w:rsidR="00020D78" w:rsidRDefault="003D17F9" w:rsidP="00326996">
      <w:pPr>
        <w:pStyle w:val="ListParagraph"/>
        <w:numPr>
          <w:ilvl w:val="0"/>
          <w:numId w:val="3"/>
        </w:numPr>
        <w:spacing w:before="120" w:after="240" w:line="240" w:lineRule="auto"/>
        <w:contextualSpacing w:val="0"/>
        <w:jc w:val="both"/>
        <w:rPr>
          <w:rFonts w:ascii="Arial" w:hAnsi="Arial" w:cs="Arial"/>
          <w:sz w:val="20"/>
          <w:szCs w:val="20"/>
        </w:rPr>
      </w:pPr>
      <w:r w:rsidRPr="006305F9">
        <w:rPr>
          <w:rFonts w:ascii="Arial" w:hAnsi="Arial" w:cs="Arial"/>
          <w:sz w:val="20"/>
          <w:szCs w:val="20"/>
        </w:rPr>
        <w:t xml:space="preserve">The above </w:t>
      </w:r>
      <w:r w:rsidR="000F135F" w:rsidRPr="006305F9">
        <w:rPr>
          <w:rFonts w:ascii="Arial" w:hAnsi="Arial" w:cs="Arial"/>
          <w:sz w:val="20"/>
          <w:szCs w:val="20"/>
        </w:rPr>
        <w:t xml:space="preserve">clarification </w:t>
      </w:r>
      <w:r w:rsidR="00774C4B" w:rsidRPr="006305F9">
        <w:rPr>
          <w:rFonts w:ascii="Arial" w:hAnsi="Arial" w:cs="Arial"/>
          <w:sz w:val="20"/>
          <w:szCs w:val="20"/>
        </w:rPr>
        <w:t>would help in</w:t>
      </w:r>
      <w:r w:rsidR="00020D78">
        <w:rPr>
          <w:rFonts w:ascii="Arial" w:hAnsi="Arial" w:cs="Arial"/>
          <w:sz w:val="20"/>
          <w:szCs w:val="20"/>
        </w:rPr>
        <w:t xml:space="preserve"> following:</w:t>
      </w:r>
    </w:p>
    <w:p w14:paraId="091B0AD6" w14:textId="77777777" w:rsidR="003A2798" w:rsidRDefault="00020D78" w:rsidP="00326996">
      <w:pPr>
        <w:pStyle w:val="ListParagraph"/>
        <w:numPr>
          <w:ilvl w:val="1"/>
          <w:numId w:val="3"/>
        </w:numPr>
        <w:spacing w:before="120" w:after="240" w:line="240" w:lineRule="auto"/>
        <w:ind w:left="1134" w:hanging="425"/>
        <w:contextualSpacing w:val="0"/>
        <w:jc w:val="both"/>
        <w:rPr>
          <w:rFonts w:ascii="Arial" w:hAnsi="Arial" w:cs="Arial"/>
          <w:sz w:val="20"/>
          <w:szCs w:val="20"/>
        </w:rPr>
      </w:pPr>
      <w:r>
        <w:rPr>
          <w:rFonts w:ascii="Arial" w:hAnsi="Arial" w:cs="Arial"/>
          <w:sz w:val="20"/>
          <w:szCs w:val="20"/>
        </w:rPr>
        <w:t>E</w:t>
      </w:r>
      <w:r w:rsidR="000F135F" w:rsidRPr="006305F9">
        <w:rPr>
          <w:rFonts w:ascii="Arial" w:hAnsi="Arial" w:cs="Arial"/>
          <w:sz w:val="20"/>
          <w:szCs w:val="20"/>
        </w:rPr>
        <w:t>liminating multiple tax rates for unlisted securities sold off market or through OFS</w:t>
      </w:r>
      <w:r w:rsidR="00FA0D60" w:rsidRPr="006305F9">
        <w:rPr>
          <w:rFonts w:ascii="Arial" w:hAnsi="Arial" w:cs="Arial"/>
          <w:sz w:val="20"/>
          <w:szCs w:val="20"/>
        </w:rPr>
        <w:t xml:space="preserve">. </w:t>
      </w:r>
    </w:p>
    <w:p w14:paraId="66705EC5" w14:textId="2F98E346" w:rsidR="003A2798" w:rsidRDefault="003A2798" w:rsidP="00326996">
      <w:pPr>
        <w:pStyle w:val="ListParagraph"/>
        <w:numPr>
          <w:ilvl w:val="1"/>
          <w:numId w:val="3"/>
        </w:numPr>
        <w:spacing w:before="120" w:after="240" w:line="240" w:lineRule="auto"/>
        <w:ind w:left="1134" w:hanging="425"/>
        <w:contextualSpacing w:val="0"/>
        <w:jc w:val="both"/>
        <w:rPr>
          <w:rFonts w:ascii="Arial" w:hAnsi="Arial" w:cs="Arial"/>
          <w:sz w:val="20"/>
          <w:szCs w:val="20"/>
        </w:rPr>
      </w:pPr>
      <w:r>
        <w:rPr>
          <w:rFonts w:ascii="Arial" w:hAnsi="Arial" w:cs="Arial"/>
          <w:sz w:val="20"/>
          <w:szCs w:val="20"/>
        </w:rPr>
        <w:t xml:space="preserve">Expedite the road map for </w:t>
      </w:r>
      <w:r w:rsidR="00B00B73" w:rsidRPr="006305F9">
        <w:rPr>
          <w:rFonts w:ascii="Arial" w:hAnsi="Arial" w:cs="Arial"/>
          <w:sz w:val="20"/>
          <w:szCs w:val="20"/>
        </w:rPr>
        <w:t xml:space="preserve">an IPO </w:t>
      </w:r>
      <w:r>
        <w:rPr>
          <w:rFonts w:ascii="Arial" w:hAnsi="Arial" w:cs="Arial"/>
          <w:sz w:val="20"/>
          <w:szCs w:val="20"/>
        </w:rPr>
        <w:t xml:space="preserve">by reducing the time by </w:t>
      </w:r>
      <w:r w:rsidR="00B00B73" w:rsidRPr="006305F9">
        <w:rPr>
          <w:rFonts w:ascii="Arial" w:hAnsi="Arial" w:cs="Arial"/>
          <w:sz w:val="20"/>
          <w:szCs w:val="20"/>
        </w:rPr>
        <w:t>12 month</w:t>
      </w:r>
      <w:r>
        <w:rPr>
          <w:rFonts w:ascii="Arial" w:hAnsi="Arial" w:cs="Arial"/>
          <w:sz w:val="20"/>
          <w:szCs w:val="20"/>
        </w:rPr>
        <w:t>s as companies may look to go public immediately after 12 months of capital restructuring</w:t>
      </w:r>
    </w:p>
    <w:p w14:paraId="009F3279" w14:textId="2B6C238E" w:rsidR="003A2798" w:rsidRDefault="00886213" w:rsidP="00326996">
      <w:pPr>
        <w:pStyle w:val="ListParagraph"/>
        <w:numPr>
          <w:ilvl w:val="1"/>
          <w:numId w:val="3"/>
        </w:numPr>
        <w:spacing w:before="120" w:after="240" w:line="240" w:lineRule="auto"/>
        <w:ind w:left="1134" w:hanging="425"/>
        <w:contextualSpacing w:val="0"/>
        <w:jc w:val="both"/>
        <w:rPr>
          <w:rFonts w:ascii="Arial" w:hAnsi="Arial" w:cs="Arial"/>
          <w:sz w:val="20"/>
          <w:szCs w:val="20"/>
        </w:rPr>
      </w:pPr>
      <w:r>
        <w:rPr>
          <w:rFonts w:ascii="Arial" w:hAnsi="Arial" w:cs="Arial"/>
          <w:sz w:val="20"/>
          <w:szCs w:val="20"/>
        </w:rPr>
        <w:t xml:space="preserve">Possibility of </w:t>
      </w:r>
      <w:r w:rsidR="0084602E">
        <w:rPr>
          <w:rFonts w:ascii="Arial" w:hAnsi="Arial" w:cs="Arial"/>
          <w:sz w:val="20"/>
          <w:szCs w:val="20"/>
        </w:rPr>
        <w:t>advancing the tax collections by a year as overall timelines for IPO get reduced by 12 months</w:t>
      </w:r>
    </w:p>
    <w:p w14:paraId="1AB5ADC0" w14:textId="1753B04D" w:rsidR="003D17F9" w:rsidRPr="006305F9" w:rsidRDefault="00B00B73" w:rsidP="00326996">
      <w:pPr>
        <w:pStyle w:val="ListParagraph"/>
        <w:numPr>
          <w:ilvl w:val="1"/>
          <w:numId w:val="3"/>
        </w:numPr>
        <w:spacing w:before="120" w:after="240" w:line="240" w:lineRule="auto"/>
        <w:ind w:left="1134" w:hanging="425"/>
        <w:contextualSpacing w:val="0"/>
        <w:jc w:val="both"/>
        <w:rPr>
          <w:rFonts w:ascii="Arial" w:hAnsi="Arial" w:cs="Arial"/>
          <w:sz w:val="20"/>
          <w:szCs w:val="20"/>
        </w:rPr>
      </w:pPr>
      <w:r w:rsidRPr="006305F9">
        <w:rPr>
          <w:rFonts w:ascii="Arial" w:hAnsi="Arial" w:cs="Arial"/>
          <w:sz w:val="20"/>
          <w:szCs w:val="20"/>
        </w:rPr>
        <w:t xml:space="preserve">It would also ensure the overall objective and intent of the government to </w:t>
      </w:r>
      <w:r w:rsidR="006305F9" w:rsidRPr="006305F9">
        <w:rPr>
          <w:rFonts w:ascii="Arial" w:hAnsi="Arial" w:cs="Arial"/>
          <w:sz w:val="20"/>
          <w:szCs w:val="20"/>
        </w:rPr>
        <w:t>promote listing of Indian companies</w:t>
      </w:r>
    </w:p>
    <w:p w14:paraId="7E6BD467" w14:textId="17CE1B54" w:rsidR="00467D0B" w:rsidRPr="000562E3" w:rsidRDefault="000562E3" w:rsidP="00326996">
      <w:pPr>
        <w:spacing w:before="120" w:after="240" w:line="240" w:lineRule="auto"/>
        <w:jc w:val="both"/>
        <w:rPr>
          <w:rFonts w:ascii="Arial" w:hAnsi="Arial" w:cs="Arial"/>
          <w:b/>
          <w:bCs/>
          <w:sz w:val="20"/>
          <w:szCs w:val="20"/>
          <w:u w:val="single"/>
        </w:rPr>
      </w:pPr>
      <w:r w:rsidRPr="000562E3">
        <w:rPr>
          <w:rFonts w:ascii="Arial" w:hAnsi="Arial" w:cs="Arial"/>
          <w:b/>
          <w:bCs/>
          <w:sz w:val="20"/>
          <w:szCs w:val="20"/>
          <w:u w:val="single"/>
        </w:rPr>
        <w:t>Recommendation</w:t>
      </w:r>
    </w:p>
    <w:p w14:paraId="34FA6E70" w14:textId="48379633" w:rsidR="000562E3" w:rsidRDefault="000562E3" w:rsidP="00326996">
      <w:pPr>
        <w:pStyle w:val="ListParagraph"/>
        <w:numPr>
          <w:ilvl w:val="0"/>
          <w:numId w:val="3"/>
        </w:numPr>
        <w:spacing w:before="120" w:after="240" w:line="240" w:lineRule="auto"/>
        <w:contextualSpacing w:val="0"/>
        <w:jc w:val="both"/>
        <w:rPr>
          <w:rFonts w:ascii="Arial" w:hAnsi="Arial" w:cs="Arial"/>
          <w:sz w:val="20"/>
          <w:szCs w:val="20"/>
        </w:rPr>
      </w:pPr>
      <w:r>
        <w:rPr>
          <w:rFonts w:ascii="Arial" w:hAnsi="Arial" w:cs="Arial"/>
          <w:sz w:val="20"/>
          <w:szCs w:val="20"/>
        </w:rPr>
        <w:t xml:space="preserve">It is recommended to amend </w:t>
      </w:r>
      <w:r w:rsidR="003A55C0">
        <w:rPr>
          <w:rFonts w:ascii="Arial" w:hAnsi="Arial" w:cs="Arial"/>
          <w:sz w:val="20"/>
          <w:szCs w:val="20"/>
        </w:rPr>
        <w:t xml:space="preserve">first </w:t>
      </w:r>
      <w:r>
        <w:rPr>
          <w:rFonts w:ascii="Arial" w:hAnsi="Arial" w:cs="Arial"/>
          <w:sz w:val="20"/>
          <w:szCs w:val="20"/>
        </w:rPr>
        <w:t xml:space="preserve">proviso to s.2(42A) </w:t>
      </w:r>
      <w:r w:rsidR="003A55C0">
        <w:rPr>
          <w:rFonts w:ascii="Arial" w:hAnsi="Arial" w:cs="Arial"/>
          <w:sz w:val="20"/>
          <w:szCs w:val="20"/>
        </w:rPr>
        <w:t xml:space="preserve">to include </w:t>
      </w:r>
      <w:r w:rsidR="000C5610">
        <w:rPr>
          <w:rFonts w:ascii="Arial" w:hAnsi="Arial" w:cs="Arial"/>
          <w:sz w:val="20"/>
          <w:szCs w:val="20"/>
        </w:rPr>
        <w:t xml:space="preserve">unlisted shares sold </w:t>
      </w:r>
      <w:r w:rsidR="00F6140A">
        <w:rPr>
          <w:rFonts w:ascii="Arial" w:hAnsi="Arial" w:cs="Arial"/>
          <w:sz w:val="20"/>
          <w:szCs w:val="20"/>
        </w:rPr>
        <w:t xml:space="preserve">under </w:t>
      </w:r>
      <w:r w:rsidR="0096623F">
        <w:rPr>
          <w:rFonts w:ascii="Arial" w:hAnsi="Arial" w:cs="Arial"/>
          <w:sz w:val="20"/>
          <w:szCs w:val="20"/>
        </w:rPr>
        <w:t>an offer for sale to the public included in an initial public offer to reduce the holding period for such shares to turn long term from 24 months to 12 months.</w:t>
      </w:r>
      <w:r w:rsidR="000C5610">
        <w:rPr>
          <w:rFonts w:ascii="Arial" w:hAnsi="Arial" w:cs="Arial"/>
          <w:sz w:val="20"/>
          <w:szCs w:val="20"/>
        </w:rPr>
        <w:t xml:space="preserve"> </w:t>
      </w:r>
      <w:r w:rsidR="00354024">
        <w:rPr>
          <w:rFonts w:ascii="Arial" w:hAnsi="Arial" w:cs="Arial"/>
          <w:sz w:val="20"/>
          <w:szCs w:val="20"/>
        </w:rPr>
        <w:t xml:space="preserve">It is also recommended to amend first proviso to s.50B </w:t>
      </w:r>
      <w:r w:rsidR="0037545A">
        <w:rPr>
          <w:rFonts w:ascii="Arial" w:hAnsi="Arial" w:cs="Arial"/>
          <w:sz w:val="20"/>
          <w:szCs w:val="20"/>
        </w:rPr>
        <w:t xml:space="preserve">to substitute “thirty-six” months with “twenty-four” months to reduce the period of holding of business undertaking </w:t>
      </w:r>
      <w:r w:rsidR="006F4DB4">
        <w:rPr>
          <w:rFonts w:ascii="Arial" w:hAnsi="Arial" w:cs="Arial"/>
          <w:sz w:val="20"/>
          <w:szCs w:val="20"/>
        </w:rPr>
        <w:t>to turn long term.</w:t>
      </w:r>
    </w:p>
    <w:p w14:paraId="53C62B55" w14:textId="715E9C0D" w:rsidR="00B406E0" w:rsidRDefault="00B406E0" w:rsidP="00326996">
      <w:pPr>
        <w:pStyle w:val="ListParagraph"/>
        <w:numPr>
          <w:ilvl w:val="0"/>
          <w:numId w:val="3"/>
        </w:numPr>
        <w:spacing w:before="120" w:after="240" w:line="240" w:lineRule="auto"/>
        <w:contextualSpacing w:val="0"/>
        <w:jc w:val="both"/>
        <w:rPr>
          <w:rFonts w:ascii="Arial" w:hAnsi="Arial" w:cs="Arial"/>
          <w:sz w:val="20"/>
          <w:szCs w:val="20"/>
        </w:rPr>
      </w:pPr>
      <w:r>
        <w:rPr>
          <w:rFonts w:ascii="Arial" w:hAnsi="Arial" w:cs="Arial"/>
          <w:sz w:val="20"/>
          <w:szCs w:val="20"/>
        </w:rPr>
        <w:t>Suggested text of amendment is provided below :-</w:t>
      </w:r>
    </w:p>
    <w:p w14:paraId="6811DD84" w14:textId="3590B059" w:rsidR="006C5012" w:rsidRPr="006C5012" w:rsidRDefault="006C5012" w:rsidP="00326996">
      <w:pPr>
        <w:pStyle w:val="ListParagraph"/>
        <w:spacing w:before="120" w:after="240" w:line="240" w:lineRule="auto"/>
        <w:contextualSpacing w:val="0"/>
        <w:jc w:val="both"/>
        <w:rPr>
          <w:rFonts w:ascii="Arial" w:hAnsi="Arial" w:cs="Arial"/>
          <w:i/>
          <w:iCs/>
          <w:sz w:val="20"/>
          <w:szCs w:val="20"/>
        </w:rPr>
      </w:pPr>
      <w:r>
        <w:rPr>
          <w:rFonts w:ascii="Arial" w:hAnsi="Arial" w:cs="Arial"/>
          <w:i/>
          <w:iCs/>
          <w:sz w:val="20"/>
          <w:szCs w:val="20"/>
        </w:rPr>
        <w:t>“</w:t>
      </w:r>
      <w:r w:rsidRPr="006C5012">
        <w:rPr>
          <w:rFonts w:ascii="Arial" w:hAnsi="Arial" w:cs="Arial"/>
          <w:i/>
          <w:iCs/>
          <w:sz w:val="20"/>
          <w:szCs w:val="20"/>
        </w:rPr>
        <w:t>(42A) "short-term capital asset" means a capital asset held by an assessee for not more than twenty-four months immediately preceding the date of its transfer :</w:t>
      </w:r>
    </w:p>
    <w:p w14:paraId="106BF18A" w14:textId="2B581826" w:rsidR="006C5012" w:rsidRDefault="006C5012" w:rsidP="00326996">
      <w:pPr>
        <w:pStyle w:val="ListParagraph"/>
        <w:spacing w:before="120" w:after="240" w:line="240" w:lineRule="auto"/>
        <w:contextualSpacing w:val="0"/>
        <w:jc w:val="both"/>
        <w:rPr>
          <w:rFonts w:ascii="Arial" w:hAnsi="Arial" w:cs="Arial"/>
          <w:i/>
          <w:iCs/>
          <w:sz w:val="20"/>
          <w:szCs w:val="20"/>
        </w:rPr>
      </w:pPr>
      <w:r w:rsidRPr="006C5012">
        <w:rPr>
          <w:rFonts w:ascii="Arial" w:hAnsi="Arial" w:cs="Arial"/>
          <w:i/>
          <w:iCs/>
          <w:sz w:val="20"/>
          <w:szCs w:val="20"/>
        </w:rPr>
        <w:t xml:space="preserve">Provided that in the case of a security  listed in a recognized stock exchange in India </w:t>
      </w:r>
      <w:r w:rsidRPr="006C5012">
        <w:rPr>
          <w:rFonts w:ascii="Arial" w:hAnsi="Arial" w:cs="Arial"/>
          <w:i/>
          <w:iCs/>
          <w:color w:val="FF0000"/>
          <w:sz w:val="20"/>
          <w:szCs w:val="20"/>
        </w:rPr>
        <w:t xml:space="preserve">or </w:t>
      </w:r>
      <w:r w:rsidR="00820EAF" w:rsidRPr="006F1775">
        <w:rPr>
          <w:rFonts w:ascii="Arial" w:hAnsi="Arial" w:cs="Arial"/>
          <w:i/>
          <w:iCs/>
          <w:color w:val="FF0000"/>
          <w:sz w:val="20"/>
          <w:szCs w:val="20"/>
        </w:rPr>
        <w:t xml:space="preserve">equity shares not listed in a recognised stock exchange in India </w:t>
      </w:r>
      <w:r w:rsidR="00EB6BA6" w:rsidRPr="006F1775">
        <w:rPr>
          <w:rFonts w:ascii="Arial" w:hAnsi="Arial" w:cs="Arial"/>
          <w:i/>
          <w:iCs/>
          <w:color w:val="FF0000"/>
          <w:sz w:val="20"/>
          <w:szCs w:val="20"/>
        </w:rPr>
        <w:t xml:space="preserve">sold under an offer for sale to the public included in </w:t>
      </w:r>
      <w:r w:rsidR="006F1775" w:rsidRPr="006F1775">
        <w:rPr>
          <w:rFonts w:ascii="Arial" w:hAnsi="Arial" w:cs="Arial"/>
          <w:i/>
          <w:iCs/>
          <w:color w:val="FF0000"/>
          <w:sz w:val="20"/>
          <w:szCs w:val="20"/>
        </w:rPr>
        <w:t>an initial public offer</w:t>
      </w:r>
      <w:r w:rsidR="006F1775">
        <w:rPr>
          <w:rFonts w:ascii="Arial" w:hAnsi="Arial" w:cs="Arial"/>
          <w:i/>
          <w:iCs/>
          <w:sz w:val="20"/>
          <w:szCs w:val="20"/>
        </w:rPr>
        <w:t xml:space="preserve"> or </w:t>
      </w:r>
      <w:r w:rsidRPr="006C5012">
        <w:rPr>
          <w:rFonts w:ascii="Arial" w:hAnsi="Arial" w:cs="Arial"/>
          <w:i/>
          <w:iCs/>
          <w:sz w:val="20"/>
          <w:szCs w:val="20"/>
        </w:rPr>
        <w:t xml:space="preserve">a unit of the Unit Trust of India established under the </w:t>
      </w:r>
      <w:r w:rsidRPr="006C5012">
        <w:rPr>
          <w:rFonts w:ascii="Arial" w:hAnsi="Arial" w:cs="Arial"/>
          <w:i/>
          <w:iCs/>
          <w:sz w:val="20"/>
          <w:szCs w:val="20"/>
        </w:rPr>
        <w:lastRenderedPageBreak/>
        <w:t>Unit Trust of India Act, 1963 (52 of 1963) or a unit of an equity oriented fund or a zero coupon bond, the provisions of this clause shall have effect as if for the words twenty-four months", the words "twelve months" had been substituted:</w:t>
      </w:r>
      <w:r>
        <w:rPr>
          <w:rFonts w:ascii="Arial" w:hAnsi="Arial" w:cs="Arial"/>
          <w:i/>
          <w:iCs/>
          <w:sz w:val="20"/>
          <w:szCs w:val="20"/>
        </w:rPr>
        <w:t>”</w:t>
      </w:r>
    </w:p>
    <w:p w14:paraId="263E55D2" w14:textId="77777777" w:rsidR="006F4DB4" w:rsidRDefault="006F4DB4" w:rsidP="00326996">
      <w:pPr>
        <w:pStyle w:val="ListParagraph"/>
        <w:spacing w:before="120" w:after="240" w:line="240" w:lineRule="auto"/>
        <w:contextualSpacing w:val="0"/>
        <w:jc w:val="both"/>
        <w:rPr>
          <w:rFonts w:ascii="Arial" w:hAnsi="Arial" w:cs="Arial"/>
          <w:i/>
          <w:iCs/>
          <w:sz w:val="20"/>
          <w:szCs w:val="20"/>
        </w:rPr>
      </w:pPr>
    </w:p>
    <w:p w14:paraId="5FA905DD" w14:textId="1A775F7B" w:rsidR="00065F1B" w:rsidRDefault="00065F1B" w:rsidP="00065F1B">
      <w:pPr>
        <w:pStyle w:val="ListParagraph"/>
        <w:spacing w:before="120" w:after="240"/>
        <w:rPr>
          <w:rFonts w:ascii="Arial" w:hAnsi="Arial" w:cs="Arial"/>
          <w:i/>
          <w:iCs/>
          <w:sz w:val="20"/>
          <w:szCs w:val="20"/>
        </w:rPr>
      </w:pPr>
      <w:r w:rsidRPr="00065F1B">
        <w:rPr>
          <w:rFonts w:ascii="Arial" w:hAnsi="Arial" w:cs="Arial"/>
          <w:b/>
          <w:bCs/>
          <w:i/>
          <w:iCs/>
          <w:sz w:val="20"/>
          <w:szCs w:val="20"/>
        </w:rPr>
        <w:t>“50B.</w:t>
      </w:r>
      <w:r w:rsidRPr="00065F1B">
        <w:rPr>
          <w:rFonts w:ascii="Arial" w:hAnsi="Arial" w:cs="Arial"/>
          <w:i/>
          <w:iCs/>
          <w:sz w:val="20"/>
          <w:szCs w:val="20"/>
        </w:rPr>
        <w:t> (1) Any profits or gains arising from the slump sale effected in the previous year shall be chargeable to income-tax as capital gains arising from the transfer of long-term capital assets and shall be deemed to be the income of the previ</w:t>
      </w:r>
      <w:r w:rsidRPr="00065F1B">
        <w:rPr>
          <w:rFonts w:ascii="Arial" w:hAnsi="Arial" w:cs="Arial"/>
          <w:i/>
          <w:iCs/>
          <w:sz w:val="20"/>
          <w:szCs w:val="20"/>
        </w:rPr>
        <w:softHyphen/>
        <w:t>ous year in which the transfer took place :</w:t>
      </w:r>
    </w:p>
    <w:p w14:paraId="60D76A35" w14:textId="77777777" w:rsidR="00065F1B" w:rsidRPr="00065F1B" w:rsidRDefault="00065F1B" w:rsidP="00065F1B">
      <w:pPr>
        <w:pStyle w:val="ListParagraph"/>
        <w:spacing w:before="120" w:after="240"/>
        <w:rPr>
          <w:rFonts w:ascii="Arial" w:hAnsi="Arial" w:cs="Arial"/>
          <w:i/>
          <w:iCs/>
          <w:sz w:val="20"/>
          <w:szCs w:val="20"/>
        </w:rPr>
      </w:pPr>
    </w:p>
    <w:p w14:paraId="7252C8AC" w14:textId="2A9AAA98" w:rsidR="00065F1B" w:rsidRPr="00065F1B" w:rsidRDefault="00065F1B" w:rsidP="00065F1B">
      <w:pPr>
        <w:pStyle w:val="ListParagraph"/>
        <w:spacing w:before="120" w:after="240"/>
        <w:rPr>
          <w:rFonts w:ascii="Arial" w:hAnsi="Arial" w:cs="Arial"/>
          <w:sz w:val="20"/>
          <w:szCs w:val="20"/>
        </w:rPr>
      </w:pPr>
      <w:r w:rsidRPr="00065F1B">
        <w:rPr>
          <w:rFonts w:ascii="Arial" w:hAnsi="Arial" w:cs="Arial"/>
          <w:i/>
          <w:iCs/>
          <w:sz w:val="20"/>
          <w:szCs w:val="20"/>
        </w:rPr>
        <w:t xml:space="preserve">Provided that any profits or gains arising from the transfer under the slump sale of any capital asset being one or more undertakings owned and held by an assessee for not more than </w:t>
      </w:r>
      <w:r w:rsidRPr="00065F1B">
        <w:rPr>
          <w:rFonts w:ascii="Arial" w:hAnsi="Arial" w:cs="Arial"/>
          <w:i/>
          <w:iCs/>
          <w:strike/>
          <w:color w:val="FF0000"/>
          <w:sz w:val="20"/>
          <w:szCs w:val="20"/>
        </w:rPr>
        <w:t>thirty-six</w:t>
      </w:r>
      <w:r w:rsidRPr="00065F1B">
        <w:rPr>
          <w:rFonts w:ascii="Arial" w:hAnsi="Arial" w:cs="Arial"/>
          <w:i/>
          <w:iCs/>
          <w:color w:val="FF0000"/>
          <w:sz w:val="20"/>
          <w:szCs w:val="20"/>
        </w:rPr>
        <w:t xml:space="preserve"> twenty-four</w:t>
      </w:r>
      <w:r>
        <w:rPr>
          <w:rFonts w:ascii="Arial" w:hAnsi="Arial" w:cs="Arial"/>
          <w:i/>
          <w:iCs/>
          <w:sz w:val="20"/>
          <w:szCs w:val="20"/>
        </w:rPr>
        <w:t xml:space="preserve"> </w:t>
      </w:r>
      <w:r w:rsidRPr="00065F1B">
        <w:rPr>
          <w:rFonts w:ascii="Arial" w:hAnsi="Arial" w:cs="Arial"/>
          <w:i/>
          <w:iCs/>
          <w:sz w:val="20"/>
          <w:szCs w:val="20"/>
        </w:rPr>
        <w:t>months immediately preceding the date of its transfer shall be deemed to be the capital gains arising from the transfer of short-term capital assets.</w:t>
      </w:r>
      <w:r>
        <w:rPr>
          <w:rFonts w:ascii="Arial" w:hAnsi="Arial" w:cs="Arial"/>
          <w:i/>
          <w:iCs/>
          <w:sz w:val="20"/>
          <w:szCs w:val="20"/>
        </w:rPr>
        <w:t>”</w:t>
      </w:r>
    </w:p>
    <w:p w14:paraId="73C8765D" w14:textId="77777777" w:rsidR="00065F1B" w:rsidRPr="006C5012" w:rsidRDefault="00065F1B" w:rsidP="00326996">
      <w:pPr>
        <w:pStyle w:val="ListParagraph"/>
        <w:spacing w:before="120" w:after="240" w:line="240" w:lineRule="auto"/>
        <w:contextualSpacing w:val="0"/>
        <w:jc w:val="both"/>
        <w:rPr>
          <w:rFonts w:ascii="Arial" w:hAnsi="Arial" w:cs="Arial"/>
          <w:sz w:val="20"/>
          <w:szCs w:val="20"/>
        </w:rPr>
      </w:pPr>
    </w:p>
    <w:p w14:paraId="681B7A8D" w14:textId="77777777" w:rsidR="00B406E0" w:rsidRPr="006305F9" w:rsidRDefault="00B406E0" w:rsidP="00326996">
      <w:pPr>
        <w:pStyle w:val="ListParagraph"/>
        <w:spacing w:before="120" w:after="240" w:line="240" w:lineRule="auto"/>
        <w:contextualSpacing w:val="0"/>
        <w:jc w:val="both"/>
        <w:rPr>
          <w:rFonts w:ascii="Arial" w:hAnsi="Arial" w:cs="Arial"/>
          <w:sz w:val="20"/>
          <w:szCs w:val="20"/>
        </w:rPr>
      </w:pPr>
    </w:p>
    <w:p w14:paraId="69935201" w14:textId="596D906B" w:rsidR="00000E9D" w:rsidRPr="00000E9D" w:rsidRDefault="00000E9D" w:rsidP="00326996">
      <w:pPr>
        <w:spacing w:before="120" w:after="240" w:line="240" w:lineRule="auto"/>
        <w:jc w:val="both"/>
        <w:rPr>
          <w:rFonts w:ascii="Arial" w:hAnsi="Arial" w:cs="Arial"/>
          <w:sz w:val="20"/>
          <w:szCs w:val="20"/>
          <w:lang w:val="en-US"/>
        </w:rPr>
      </w:pPr>
    </w:p>
    <w:sectPr w:rsidR="00000E9D" w:rsidRPr="00000E9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8E6FC" w14:textId="77777777" w:rsidR="003045F3" w:rsidRDefault="003045F3" w:rsidP="006745A5">
      <w:pPr>
        <w:spacing w:after="0" w:line="240" w:lineRule="auto"/>
      </w:pPr>
      <w:r>
        <w:separator/>
      </w:r>
    </w:p>
  </w:endnote>
  <w:endnote w:type="continuationSeparator" w:id="0">
    <w:p w14:paraId="1A75299D" w14:textId="77777777" w:rsidR="003045F3" w:rsidRDefault="003045F3" w:rsidP="006745A5">
      <w:pPr>
        <w:spacing w:after="0" w:line="240" w:lineRule="auto"/>
      </w:pPr>
      <w:r>
        <w:continuationSeparator/>
      </w:r>
    </w:p>
  </w:endnote>
  <w:endnote w:type="continuationNotice" w:id="1">
    <w:p w14:paraId="36CB37DF" w14:textId="77777777" w:rsidR="003045F3" w:rsidRDefault="00304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424824"/>
      <w:docPartObj>
        <w:docPartGallery w:val="Page Numbers (Bottom of Page)"/>
        <w:docPartUnique/>
      </w:docPartObj>
    </w:sdtPr>
    <w:sdtEndPr/>
    <w:sdtContent>
      <w:sdt>
        <w:sdtPr>
          <w:id w:val="1728636285"/>
          <w:docPartObj>
            <w:docPartGallery w:val="Page Numbers (Top of Page)"/>
            <w:docPartUnique/>
          </w:docPartObj>
        </w:sdtPr>
        <w:sdtEndPr/>
        <w:sdtContent>
          <w:p w14:paraId="7CB3A2FB" w14:textId="7CD28768" w:rsidR="00065F1B" w:rsidRDefault="00065F1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1418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418F">
              <w:rPr>
                <w:b/>
                <w:bCs/>
                <w:noProof/>
              </w:rPr>
              <w:t>4</w:t>
            </w:r>
            <w:r>
              <w:rPr>
                <w:b/>
                <w:bCs/>
                <w:sz w:val="24"/>
                <w:szCs w:val="24"/>
              </w:rPr>
              <w:fldChar w:fldCharType="end"/>
            </w:r>
          </w:p>
        </w:sdtContent>
      </w:sdt>
    </w:sdtContent>
  </w:sdt>
  <w:p w14:paraId="33B28B53" w14:textId="77777777" w:rsidR="006745A5" w:rsidRDefault="00674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2AB5E" w14:textId="77777777" w:rsidR="003045F3" w:rsidRDefault="003045F3" w:rsidP="006745A5">
      <w:pPr>
        <w:spacing w:after="0" w:line="240" w:lineRule="auto"/>
      </w:pPr>
      <w:r>
        <w:separator/>
      </w:r>
    </w:p>
  </w:footnote>
  <w:footnote w:type="continuationSeparator" w:id="0">
    <w:p w14:paraId="3FF1CE7A" w14:textId="77777777" w:rsidR="003045F3" w:rsidRDefault="003045F3" w:rsidP="006745A5">
      <w:pPr>
        <w:spacing w:after="0" w:line="240" w:lineRule="auto"/>
      </w:pPr>
      <w:r>
        <w:continuationSeparator/>
      </w:r>
    </w:p>
  </w:footnote>
  <w:footnote w:type="continuationNotice" w:id="1">
    <w:p w14:paraId="02BAB369" w14:textId="77777777" w:rsidR="003045F3" w:rsidRDefault="003045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9C545" w14:textId="6EF727F8" w:rsidR="0091418F" w:rsidRPr="00017648" w:rsidRDefault="0091418F" w:rsidP="0091418F">
    <w:pPr>
      <w:pStyle w:val="Header"/>
      <w:ind w:right="-718"/>
      <w:rPr>
        <w:b/>
        <w:bCs/>
        <w:sz w:val="18"/>
        <w:szCs w:val="18"/>
      </w:rPr>
    </w:pPr>
    <w:r w:rsidRPr="00B07335">
      <w:rPr>
        <w:b/>
        <w:noProof/>
        <w:lang w:val="en-US"/>
      </w:rPr>
      <w:drawing>
        <wp:inline distT="0" distB="0" distL="0" distR="0" wp14:anchorId="69319A7E" wp14:editId="2F00B6FB">
          <wp:extent cx="581025" cy="3905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90525"/>
                  </a:xfrm>
                  <a:prstGeom prst="rect">
                    <a:avLst/>
                  </a:prstGeom>
                  <a:solidFill>
                    <a:srgbClr val="FFFFFF"/>
                  </a:solidFill>
                  <a:ln w="9525">
                    <a:noFill/>
                    <a:miter lim="800000"/>
                    <a:headEnd/>
                    <a:tailEnd/>
                  </a:ln>
                </pic:spPr>
              </pic:pic>
            </a:graphicData>
          </a:graphic>
        </wp:inline>
      </w:drawing>
    </w:r>
    <w:r w:rsidRPr="00017648">
      <w:t xml:space="preserve"> </w:t>
    </w:r>
    <w:r>
      <w:tab/>
    </w:r>
    <w:r>
      <w:tab/>
      <w:t xml:space="preserve">           </w:t>
    </w:r>
    <w:r>
      <w:t xml:space="preserve">            </w:t>
    </w:r>
    <w:r w:rsidRPr="00017648">
      <w:rPr>
        <w:rFonts w:cstheme="minorHAnsi"/>
        <w:sz w:val="18"/>
        <w:szCs w:val="18"/>
      </w:rPr>
      <w:t>Bombay Chamber of Commerce and Industry</w:t>
    </w:r>
  </w:p>
  <w:p w14:paraId="56ED289C" w14:textId="77777777" w:rsidR="0091418F" w:rsidRDefault="00914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939"/>
    <w:multiLevelType w:val="hybridMultilevel"/>
    <w:tmpl w:val="B4C6BBB0"/>
    <w:lvl w:ilvl="0" w:tplc="40161DD6">
      <w:start w:val="1"/>
      <w:numFmt w:val="bullet"/>
      <w:lvlText w:val="►"/>
      <w:lvlJc w:val="left"/>
      <w:pPr>
        <w:ind w:left="1440" w:hanging="360"/>
      </w:pPr>
      <w:rPr>
        <w:rFonts w:ascii="Arial" w:hAnsi="Arial" w:hint="default"/>
        <w:color w:val="FFC000"/>
        <w:sz w:val="16"/>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A481BF2"/>
    <w:multiLevelType w:val="hybridMultilevel"/>
    <w:tmpl w:val="91EA470E"/>
    <w:lvl w:ilvl="0" w:tplc="40161DD6">
      <w:start w:val="1"/>
      <w:numFmt w:val="bullet"/>
      <w:lvlText w:val="►"/>
      <w:lvlJc w:val="left"/>
      <w:pPr>
        <w:ind w:left="720" w:hanging="360"/>
      </w:pPr>
      <w:rPr>
        <w:rFonts w:ascii="Arial" w:hAnsi="Arial" w:hint="default"/>
        <w:color w:val="FFC000"/>
        <w:sz w:val="16"/>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1122C32"/>
    <w:multiLevelType w:val="hybridMultilevel"/>
    <w:tmpl w:val="8A206F90"/>
    <w:lvl w:ilvl="0" w:tplc="3C7CC3E4">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5221C5E"/>
    <w:multiLevelType w:val="hybridMultilevel"/>
    <w:tmpl w:val="CC36B0FC"/>
    <w:lvl w:ilvl="0" w:tplc="48CC4226">
      <w:start w:val="1"/>
      <w:numFmt w:val="bullet"/>
      <w:lvlText w:val=""/>
      <w:lvlJc w:val="left"/>
      <w:pPr>
        <w:tabs>
          <w:tab w:val="num" w:pos="720"/>
        </w:tabs>
        <w:ind w:left="720" w:hanging="360"/>
      </w:pPr>
      <w:rPr>
        <w:rFonts w:ascii="Wingdings" w:hAnsi="Wingdings" w:hint="default"/>
      </w:rPr>
    </w:lvl>
    <w:lvl w:ilvl="1" w:tplc="3808D8E6">
      <w:start w:val="1"/>
      <w:numFmt w:val="bullet"/>
      <w:lvlText w:val=""/>
      <w:lvlJc w:val="left"/>
      <w:pPr>
        <w:tabs>
          <w:tab w:val="num" w:pos="1440"/>
        </w:tabs>
        <w:ind w:left="1440" w:hanging="360"/>
      </w:pPr>
      <w:rPr>
        <w:rFonts w:ascii="Wingdings" w:hAnsi="Wingdings" w:hint="default"/>
      </w:rPr>
    </w:lvl>
    <w:lvl w:ilvl="2" w:tplc="A84CFE2C" w:tentative="1">
      <w:start w:val="1"/>
      <w:numFmt w:val="bullet"/>
      <w:lvlText w:val=""/>
      <w:lvlJc w:val="left"/>
      <w:pPr>
        <w:tabs>
          <w:tab w:val="num" w:pos="2160"/>
        </w:tabs>
        <w:ind w:left="2160" w:hanging="360"/>
      </w:pPr>
      <w:rPr>
        <w:rFonts w:ascii="Wingdings" w:hAnsi="Wingdings" w:hint="default"/>
      </w:rPr>
    </w:lvl>
    <w:lvl w:ilvl="3" w:tplc="6F569EA2" w:tentative="1">
      <w:start w:val="1"/>
      <w:numFmt w:val="bullet"/>
      <w:lvlText w:val=""/>
      <w:lvlJc w:val="left"/>
      <w:pPr>
        <w:tabs>
          <w:tab w:val="num" w:pos="2880"/>
        </w:tabs>
        <w:ind w:left="2880" w:hanging="360"/>
      </w:pPr>
      <w:rPr>
        <w:rFonts w:ascii="Wingdings" w:hAnsi="Wingdings" w:hint="default"/>
      </w:rPr>
    </w:lvl>
    <w:lvl w:ilvl="4" w:tplc="1B0E2750" w:tentative="1">
      <w:start w:val="1"/>
      <w:numFmt w:val="bullet"/>
      <w:lvlText w:val=""/>
      <w:lvlJc w:val="left"/>
      <w:pPr>
        <w:tabs>
          <w:tab w:val="num" w:pos="3600"/>
        </w:tabs>
        <w:ind w:left="3600" w:hanging="360"/>
      </w:pPr>
      <w:rPr>
        <w:rFonts w:ascii="Wingdings" w:hAnsi="Wingdings" w:hint="default"/>
      </w:rPr>
    </w:lvl>
    <w:lvl w:ilvl="5" w:tplc="90CEC5AE" w:tentative="1">
      <w:start w:val="1"/>
      <w:numFmt w:val="bullet"/>
      <w:lvlText w:val=""/>
      <w:lvlJc w:val="left"/>
      <w:pPr>
        <w:tabs>
          <w:tab w:val="num" w:pos="4320"/>
        </w:tabs>
        <w:ind w:left="4320" w:hanging="360"/>
      </w:pPr>
      <w:rPr>
        <w:rFonts w:ascii="Wingdings" w:hAnsi="Wingdings" w:hint="default"/>
      </w:rPr>
    </w:lvl>
    <w:lvl w:ilvl="6" w:tplc="201E7E9E" w:tentative="1">
      <w:start w:val="1"/>
      <w:numFmt w:val="bullet"/>
      <w:lvlText w:val=""/>
      <w:lvlJc w:val="left"/>
      <w:pPr>
        <w:tabs>
          <w:tab w:val="num" w:pos="5040"/>
        </w:tabs>
        <w:ind w:left="5040" w:hanging="360"/>
      </w:pPr>
      <w:rPr>
        <w:rFonts w:ascii="Wingdings" w:hAnsi="Wingdings" w:hint="default"/>
      </w:rPr>
    </w:lvl>
    <w:lvl w:ilvl="7" w:tplc="F8C67CA2" w:tentative="1">
      <w:start w:val="1"/>
      <w:numFmt w:val="bullet"/>
      <w:lvlText w:val=""/>
      <w:lvlJc w:val="left"/>
      <w:pPr>
        <w:tabs>
          <w:tab w:val="num" w:pos="5760"/>
        </w:tabs>
        <w:ind w:left="5760" w:hanging="360"/>
      </w:pPr>
      <w:rPr>
        <w:rFonts w:ascii="Wingdings" w:hAnsi="Wingdings" w:hint="default"/>
      </w:rPr>
    </w:lvl>
    <w:lvl w:ilvl="8" w:tplc="CC1AB544" w:tentative="1">
      <w:start w:val="1"/>
      <w:numFmt w:val="bullet"/>
      <w:lvlText w:val=""/>
      <w:lvlJc w:val="left"/>
      <w:pPr>
        <w:tabs>
          <w:tab w:val="num" w:pos="6480"/>
        </w:tabs>
        <w:ind w:left="6480" w:hanging="360"/>
      </w:pPr>
      <w:rPr>
        <w:rFonts w:ascii="Wingdings" w:hAnsi="Wingdings" w:hint="default"/>
      </w:rPr>
    </w:lvl>
  </w:abstractNum>
  <w:abstractNum w:abstractNumId="4">
    <w:nsid w:val="4468010C"/>
    <w:multiLevelType w:val="hybridMultilevel"/>
    <w:tmpl w:val="BA8ACCEE"/>
    <w:lvl w:ilvl="0" w:tplc="73BA1E6A">
      <w:start w:val="1"/>
      <w:numFmt w:val="bullet"/>
      <w:lvlText w:val=""/>
      <w:lvlJc w:val="left"/>
      <w:pPr>
        <w:tabs>
          <w:tab w:val="num" w:pos="720"/>
        </w:tabs>
        <w:ind w:left="720" w:hanging="360"/>
      </w:pPr>
      <w:rPr>
        <w:rFonts w:ascii="Wingdings" w:hAnsi="Wingdings" w:hint="default"/>
      </w:rPr>
    </w:lvl>
    <w:lvl w:ilvl="1" w:tplc="13E45BC2">
      <w:start w:val="1"/>
      <w:numFmt w:val="bullet"/>
      <w:lvlText w:val=""/>
      <w:lvlJc w:val="left"/>
      <w:pPr>
        <w:tabs>
          <w:tab w:val="num" w:pos="1440"/>
        </w:tabs>
        <w:ind w:left="1440" w:hanging="360"/>
      </w:pPr>
      <w:rPr>
        <w:rFonts w:ascii="Wingdings" w:hAnsi="Wingdings" w:hint="default"/>
      </w:rPr>
    </w:lvl>
    <w:lvl w:ilvl="2" w:tplc="A88C9FC6" w:tentative="1">
      <w:start w:val="1"/>
      <w:numFmt w:val="bullet"/>
      <w:lvlText w:val=""/>
      <w:lvlJc w:val="left"/>
      <w:pPr>
        <w:tabs>
          <w:tab w:val="num" w:pos="2160"/>
        </w:tabs>
        <w:ind w:left="2160" w:hanging="360"/>
      </w:pPr>
      <w:rPr>
        <w:rFonts w:ascii="Wingdings" w:hAnsi="Wingdings" w:hint="default"/>
      </w:rPr>
    </w:lvl>
    <w:lvl w:ilvl="3" w:tplc="0B6A1E3C" w:tentative="1">
      <w:start w:val="1"/>
      <w:numFmt w:val="bullet"/>
      <w:lvlText w:val=""/>
      <w:lvlJc w:val="left"/>
      <w:pPr>
        <w:tabs>
          <w:tab w:val="num" w:pos="2880"/>
        </w:tabs>
        <w:ind w:left="2880" w:hanging="360"/>
      </w:pPr>
      <w:rPr>
        <w:rFonts w:ascii="Wingdings" w:hAnsi="Wingdings" w:hint="default"/>
      </w:rPr>
    </w:lvl>
    <w:lvl w:ilvl="4" w:tplc="308AA76C" w:tentative="1">
      <w:start w:val="1"/>
      <w:numFmt w:val="bullet"/>
      <w:lvlText w:val=""/>
      <w:lvlJc w:val="left"/>
      <w:pPr>
        <w:tabs>
          <w:tab w:val="num" w:pos="3600"/>
        </w:tabs>
        <w:ind w:left="3600" w:hanging="360"/>
      </w:pPr>
      <w:rPr>
        <w:rFonts w:ascii="Wingdings" w:hAnsi="Wingdings" w:hint="default"/>
      </w:rPr>
    </w:lvl>
    <w:lvl w:ilvl="5" w:tplc="87C87F02" w:tentative="1">
      <w:start w:val="1"/>
      <w:numFmt w:val="bullet"/>
      <w:lvlText w:val=""/>
      <w:lvlJc w:val="left"/>
      <w:pPr>
        <w:tabs>
          <w:tab w:val="num" w:pos="4320"/>
        </w:tabs>
        <w:ind w:left="4320" w:hanging="360"/>
      </w:pPr>
      <w:rPr>
        <w:rFonts w:ascii="Wingdings" w:hAnsi="Wingdings" w:hint="default"/>
      </w:rPr>
    </w:lvl>
    <w:lvl w:ilvl="6" w:tplc="E42AAABE" w:tentative="1">
      <w:start w:val="1"/>
      <w:numFmt w:val="bullet"/>
      <w:lvlText w:val=""/>
      <w:lvlJc w:val="left"/>
      <w:pPr>
        <w:tabs>
          <w:tab w:val="num" w:pos="5040"/>
        </w:tabs>
        <w:ind w:left="5040" w:hanging="360"/>
      </w:pPr>
      <w:rPr>
        <w:rFonts w:ascii="Wingdings" w:hAnsi="Wingdings" w:hint="default"/>
      </w:rPr>
    </w:lvl>
    <w:lvl w:ilvl="7" w:tplc="CF22CBE2" w:tentative="1">
      <w:start w:val="1"/>
      <w:numFmt w:val="bullet"/>
      <w:lvlText w:val=""/>
      <w:lvlJc w:val="left"/>
      <w:pPr>
        <w:tabs>
          <w:tab w:val="num" w:pos="5760"/>
        </w:tabs>
        <w:ind w:left="5760" w:hanging="360"/>
      </w:pPr>
      <w:rPr>
        <w:rFonts w:ascii="Wingdings" w:hAnsi="Wingdings" w:hint="default"/>
      </w:rPr>
    </w:lvl>
    <w:lvl w:ilvl="8" w:tplc="22BE4D7E" w:tentative="1">
      <w:start w:val="1"/>
      <w:numFmt w:val="bullet"/>
      <w:lvlText w:val=""/>
      <w:lvlJc w:val="left"/>
      <w:pPr>
        <w:tabs>
          <w:tab w:val="num" w:pos="6480"/>
        </w:tabs>
        <w:ind w:left="6480" w:hanging="360"/>
      </w:pPr>
      <w:rPr>
        <w:rFonts w:ascii="Wingdings" w:hAnsi="Wingdings" w:hint="default"/>
      </w:rPr>
    </w:lvl>
  </w:abstractNum>
  <w:abstractNum w:abstractNumId="5">
    <w:nsid w:val="50A45D8A"/>
    <w:multiLevelType w:val="hybridMultilevel"/>
    <w:tmpl w:val="D15A0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8FB2FE9"/>
    <w:multiLevelType w:val="hybridMultilevel"/>
    <w:tmpl w:val="79FACE9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0D"/>
    <w:rsid w:val="00000E9D"/>
    <w:rsid w:val="00020D78"/>
    <w:rsid w:val="000562E3"/>
    <w:rsid w:val="0006215A"/>
    <w:rsid w:val="00065F1B"/>
    <w:rsid w:val="00080920"/>
    <w:rsid w:val="0009005C"/>
    <w:rsid w:val="00092A22"/>
    <w:rsid w:val="000B703B"/>
    <w:rsid w:val="000C5610"/>
    <w:rsid w:val="000E5C4B"/>
    <w:rsid w:val="000F135F"/>
    <w:rsid w:val="000F61E2"/>
    <w:rsid w:val="0011377E"/>
    <w:rsid w:val="001260FD"/>
    <w:rsid w:val="00137134"/>
    <w:rsid w:val="00166FFB"/>
    <w:rsid w:val="00174234"/>
    <w:rsid w:val="00196F1D"/>
    <w:rsid w:val="001A7713"/>
    <w:rsid w:val="001C1DE0"/>
    <w:rsid w:val="001D2452"/>
    <w:rsid w:val="001D4907"/>
    <w:rsid w:val="001F013C"/>
    <w:rsid w:val="00217932"/>
    <w:rsid w:val="002613C9"/>
    <w:rsid w:val="002C3A6C"/>
    <w:rsid w:val="00302609"/>
    <w:rsid w:val="003045F3"/>
    <w:rsid w:val="00316DFD"/>
    <w:rsid w:val="00326996"/>
    <w:rsid w:val="00354024"/>
    <w:rsid w:val="0037545A"/>
    <w:rsid w:val="00390377"/>
    <w:rsid w:val="00394A93"/>
    <w:rsid w:val="003A2798"/>
    <w:rsid w:val="003A55C0"/>
    <w:rsid w:val="003D17F9"/>
    <w:rsid w:val="003E36DF"/>
    <w:rsid w:val="00455A4C"/>
    <w:rsid w:val="0045687E"/>
    <w:rsid w:val="00467D0B"/>
    <w:rsid w:val="00472AB9"/>
    <w:rsid w:val="00511ECE"/>
    <w:rsid w:val="00523770"/>
    <w:rsid w:val="00527A2F"/>
    <w:rsid w:val="00533EE1"/>
    <w:rsid w:val="0054013B"/>
    <w:rsid w:val="00540826"/>
    <w:rsid w:val="005617F9"/>
    <w:rsid w:val="00564043"/>
    <w:rsid w:val="005B2131"/>
    <w:rsid w:val="005E10FB"/>
    <w:rsid w:val="005E18E6"/>
    <w:rsid w:val="005F3E4E"/>
    <w:rsid w:val="006305F9"/>
    <w:rsid w:val="00655D9A"/>
    <w:rsid w:val="00666E12"/>
    <w:rsid w:val="006745A5"/>
    <w:rsid w:val="00681FCD"/>
    <w:rsid w:val="00684269"/>
    <w:rsid w:val="006C5012"/>
    <w:rsid w:val="006D64E8"/>
    <w:rsid w:val="006F1775"/>
    <w:rsid w:val="006F1E46"/>
    <w:rsid w:val="006F4DB4"/>
    <w:rsid w:val="00750482"/>
    <w:rsid w:val="007509BF"/>
    <w:rsid w:val="00774C4B"/>
    <w:rsid w:val="00785B8A"/>
    <w:rsid w:val="007A5DD6"/>
    <w:rsid w:val="007A61C5"/>
    <w:rsid w:val="007B52CE"/>
    <w:rsid w:val="007D3B15"/>
    <w:rsid w:val="00813B2E"/>
    <w:rsid w:val="00820EAF"/>
    <w:rsid w:val="00836EF2"/>
    <w:rsid w:val="0084602E"/>
    <w:rsid w:val="00852199"/>
    <w:rsid w:val="00880731"/>
    <w:rsid w:val="00886213"/>
    <w:rsid w:val="0091418F"/>
    <w:rsid w:val="009243F5"/>
    <w:rsid w:val="009300C2"/>
    <w:rsid w:val="00933A36"/>
    <w:rsid w:val="00935B77"/>
    <w:rsid w:val="0096623F"/>
    <w:rsid w:val="00992F63"/>
    <w:rsid w:val="009A69AB"/>
    <w:rsid w:val="009B3821"/>
    <w:rsid w:val="009C7812"/>
    <w:rsid w:val="009D6C90"/>
    <w:rsid w:val="00A37A56"/>
    <w:rsid w:val="00A744A8"/>
    <w:rsid w:val="00A97793"/>
    <w:rsid w:val="00AB06FD"/>
    <w:rsid w:val="00AE322F"/>
    <w:rsid w:val="00AE6814"/>
    <w:rsid w:val="00AF4644"/>
    <w:rsid w:val="00B00B73"/>
    <w:rsid w:val="00B0793A"/>
    <w:rsid w:val="00B22C01"/>
    <w:rsid w:val="00B24759"/>
    <w:rsid w:val="00B406E0"/>
    <w:rsid w:val="00B614B2"/>
    <w:rsid w:val="00BA6EDE"/>
    <w:rsid w:val="00BD54E2"/>
    <w:rsid w:val="00BE2F52"/>
    <w:rsid w:val="00C34EC7"/>
    <w:rsid w:val="00C93486"/>
    <w:rsid w:val="00CD3FFF"/>
    <w:rsid w:val="00CF023C"/>
    <w:rsid w:val="00D32680"/>
    <w:rsid w:val="00D42E0D"/>
    <w:rsid w:val="00D53B0E"/>
    <w:rsid w:val="00D70F50"/>
    <w:rsid w:val="00D77595"/>
    <w:rsid w:val="00D94B15"/>
    <w:rsid w:val="00DB2940"/>
    <w:rsid w:val="00DD3E16"/>
    <w:rsid w:val="00E10491"/>
    <w:rsid w:val="00E83A92"/>
    <w:rsid w:val="00EB2C05"/>
    <w:rsid w:val="00EB6BA6"/>
    <w:rsid w:val="00ED4D66"/>
    <w:rsid w:val="00F055DC"/>
    <w:rsid w:val="00F451BA"/>
    <w:rsid w:val="00F4554E"/>
    <w:rsid w:val="00F577D9"/>
    <w:rsid w:val="00F6140A"/>
    <w:rsid w:val="00F94099"/>
    <w:rsid w:val="00FA0D60"/>
    <w:rsid w:val="00FB03C1"/>
    <w:rsid w:val="00FE780E"/>
    <w:rsid w:val="00FF12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E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E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E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E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E0D"/>
    <w:rPr>
      <w:rFonts w:eastAsiaTheme="majorEastAsia" w:cstheme="majorBidi"/>
      <w:color w:val="272727" w:themeColor="text1" w:themeTint="D8"/>
    </w:rPr>
  </w:style>
  <w:style w:type="paragraph" w:styleId="Title">
    <w:name w:val="Title"/>
    <w:basedOn w:val="Normal"/>
    <w:next w:val="Normal"/>
    <w:link w:val="TitleChar"/>
    <w:uiPriority w:val="10"/>
    <w:qFormat/>
    <w:rsid w:val="00D42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E0D"/>
    <w:pPr>
      <w:spacing w:before="160"/>
      <w:jc w:val="center"/>
    </w:pPr>
    <w:rPr>
      <w:i/>
      <w:iCs/>
      <w:color w:val="404040" w:themeColor="text1" w:themeTint="BF"/>
    </w:rPr>
  </w:style>
  <w:style w:type="character" w:customStyle="1" w:styleId="QuoteChar">
    <w:name w:val="Quote Char"/>
    <w:basedOn w:val="DefaultParagraphFont"/>
    <w:link w:val="Quote"/>
    <w:uiPriority w:val="29"/>
    <w:rsid w:val="00D42E0D"/>
    <w:rPr>
      <w:i/>
      <w:iCs/>
      <w:color w:val="404040" w:themeColor="text1" w:themeTint="BF"/>
    </w:rPr>
  </w:style>
  <w:style w:type="paragraph" w:styleId="ListParagraph">
    <w:name w:val="List Paragraph"/>
    <w:basedOn w:val="Normal"/>
    <w:uiPriority w:val="34"/>
    <w:qFormat/>
    <w:rsid w:val="00D42E0D"/>
    <w:pPr>
      <w:ind w:left="720"/>
      <w:contextualSpacing/>
    </w:pPr>
  </w:style>
  <w:style w:type="character" w:styleId="IntenseEmphasis">
    <w:name w:val="Intense Emphasis"/>
    <w:basedOn w:val="DefaultParagraphFont"/>
    <w:uiPriority w:val="21"/>
    <w:qFormat/>
    <w:rsid w:val="00D42E0D"/>
    <w:rPr>
      <w:i/>
      <w:iCs/>
      <w:color w:val="0F4761" w:themeColor="accent1" w:themeShade="BF"/>
    </w:rPr>
  </w:style>
  <w:style w:type="paragraph" w:styleId="IntenseQuote">
    <w:name w:val="Intense Quote"/>
    <w:basedOn w:val="Normal"/>
    <w:next w:val="Normal"/>
    <w:link w:val="IntenseQuoteChar"/>
    <w:uiPriority w:val="30"/>
    <w:qFormat/>
    <w:rsid w:val="00D42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E0D"/>
    <w:rPr>
      <w:i/>
      <w:iCs/>
      <w:color w:val="0F4761" w:themeColor="accent1" w:themeShade="BF"/>
    </w:rPr>
  </w:style>
  <w:style w:type="character" w:styleId="IntenseReference">
    <w:name w:val="Intense Reference"/>
    <w:basedOn w:val="DefaultParagraphFont"/>
    <w:uiPriority w:val="32"/>
    <w:qFormat/>
    <w:rsid w:val="00D42E0D"/>
    <w:rPr>
      <w:b/>
      <w:bCs/>
      <w:smallCaps/>
      <w:color w:val="0F4761" w:themeColor="accent1" w:themeShade="BF"/>
      <w:spacing w:val="5"/>
    </w:rPr>
  </w:style>
  <w:style w:type="paragraph" w:styleId="Header">
    <w:name w:val="header"/>
    <w:basedOn w:val="Normal"/>
    <w:link w:val="HeaderChar"/>
    <w:uiPriority w:val="99"/>
    <w:unhideWhenUsed/>
    <w:rsid w:val="00674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5A5"/>
  </w:style>
  <w:style w:type="paragraph" w:styleId="Footer">
    <w:name w:val="footer"/>
    <w:basedOn w:val="Normal"/>
    <w:link w:val="FooterChar"/>
    <w:uiPriority w:val="99"/>
    <w:unhideWhenUsed/>
    <w:rsid w:val="00674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5A5"/>
  </w:style>
  <w:style w:type="paragraph" w:styleId="Revision">
    <w:name w:val="Revision"/>
    <w:hidden/>
    <w:uiPriority w:val="99"/>
    <w:semiHidden/>
    <w:rsid w:val="00E83A92"/>
    <w:pPr>
      <w:spacing w:after="0" w:line="240" w:lineRule="auto"/>
    </w:pPr>
  </w:style>
  <w:style w:type="character" w:styleId="Hyperlink">
    <w:name w:val="Hyperlink"/>
    <w:basedOn w:val="DefaultParagraphFont"/>
    <w:uiPriority w:val="99"/>
    <w:unhideWhenUsed/>
    <w:rsid w:val="006C5012"/>
    <w:rPr>
      <w:color w:val="467886" w:themeColor="hyperlink"/>
      <w:u w:val="single"/>
    </w:rPr>
  </w:style>
  <w:style w:type="character" w:customStyle="1" w:styleId="UnresolvedMention">
    <w:name w:val="Unresolved Mention"/>
    <w:basedOn w:val="DefaultParagraphFont"/>
    <w:uiPriority w:val="99"/>
    <w:semiHidden/>
    <w:unhideWhenUsed/>
    <w:rsid w:val="006C5012"/>
    <w:rPr>
      <w:color w:val="605E5C"/>
      <w:shd w:val="clear" w:color="auto" w:fill="E1DFDD"/>
    </w:rPr>
  </w:style>
  <w:style w:type="paragraph" w:styleId="BalloonText">
    <w:name w:val="Balloon Text"/>
    <w:basedOn w:val="Normal"/>
    <w:link w:val="BalloonTextChar"/>
    <w:uiPriority w:val="99"/>
    <w:semiHidden/>
    <w:unhideWhenUsed/>
    <w:rsid w:val="00914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E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E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E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E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E0D"/>
    <w:rPr>
      <w:rFonts w:eastAsiaTheme="majorEastAsia" w:cstheme="majorBidi"/>
      <w:color w:val="272727" w:themeColor="text1" w:themeTint="D8"/>
    </w:rPr>
  </w:style>
  <w:style w:type="paragraph" w:styleId="Title">
    <w:name w:val="Title"/>
    <w:basedOn w:val="Normal"/>
    <w:next w:val="Normal"/>
    <w:link w:val="TitleChar"/>
    <w:uiPriority w:val="10"/>
    <w:qFormat/>
    <w:rsid w:val="00D42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E0D"/>
    <w:pPr>
      <w:spacing w:before="160"/>
      <w:jc w:val="center"/>
    </w:pPr>
    <w:rPr>
      <w:i/>
      <w:iCs/>
      <w:color w:val="404040" w:themeColor="text1" w:themeTint="BF"/>
    </w:rPr>
  </w:style>
  <w:style w:type="character" w:customStyle="1" w:styleId="QuoteChar">
    <w:name w:val="Quote Char"/>
    <w:basedOn w:val="DefaultParagraphFont"/>
    <w:link w:val="Quote"/>
    <w:uiPriority w:val="29"/>
    <w:rsid w:val="00D42E0D"/>
    <w:rPr>
      <w:i/>
      <w:iCs/>
      <w:color w:val="404040" w:themeColor="text1" w:themeTint="BF"/>
    </w:rPr>
  </w:style>
  <w:style w:type="paragraph" w:styleId="ListParagraph">
    <w:name w:val="List Paragraph"/>
    <w:basedOn w:val="Normal"/>
    <w:uiPriority w:val="34"/>
    <w:qFormat/>
    <w:rsid w:val="00D42E0D"/>
    <w:pPr>
      <w:ind w:left="720"/>
      <w:contextualSpacing/>
    </w:pPr>
  </w:style>
  <w:style w:type="character" w:styleId="IntenseEmphasis">
    <w:name w:val="Intense Emphasis"/>
    <w:basedOn w:val="DefaultParagraphFont"/>
    <w:uiPriority w:val="21"/>
    <w:qFormat/>
    <w:rsid w:val="00D42E0D"/>
    <w:rPr>
      <w:i/>
      <w:iCs/>
      <w:color w:val="0F4761" w:themeColor="accent1" w:themeShade="BF"/>
    </w:rPr>
  </w:style>
  <w:style w:type="paragraph" w:styleId="IntenseQuote">
    <w:name w:val="Intense Quote"/>
    <w:basedOn w:val="Normal"/>
    <w:next w:val="Normal"/>
    <w:link w:val="IntenseQuoteChar"/>
    <w:uiPriority w:val="30"/>
    <w:qFormat/>
    <w:rsid w:val="00D42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E0D"/>
    <w:rPr>
      <w:i/>
      <w:iCs/>
      <w:color w:val="0F4761" w:themeColor="accent1" w:themeShade="BF"/>
    </w:rPr>
  </w:style>
  <w:style w:type="character" w:styleId="IntenseReference">
    <w:name w:val="Intense Reference"/>
    <w:basedOn w:val="DefaultParagraphFont"/>
    <w:uiPriority w:val="32"/>
    <w:qFormat/>
    <w:rsid w:val="00D42E0D"/>
    <w:rPr>
      <w:b/>
      <w:bCs/>
      <w:smallCaps/>
      <w:color w:val="0F4761" w:themeColor="accent1" w:themeShade="BF"/>
      <w:spacing w:val="5"/>
    </w:rPr>
  </w:style>
  <w:style w:type="paragraph" w:styleId="Header">
    <w:name w:val="header"/>
    <w:basedOn w:val="Normal"/>
    <w:link w:val="HeaderChar"/>
    <w:uiPriority w:val="99"/>
    <w:unhideWhenUsed/>
    <w:rsid w:val="00674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5A5"/>
  </w:style>
  <w:style w:type="paragraph" w:styleId="Footer">
    <w:name w:val="footer"/>
    <w:basedOn w:val="Normal"/>
    <w:link w:val="FooterChar"/>
    <w:uiPriority w:val="99"/>
    <w:unhideWhenUsed/>
    <w:rsid w:val="00674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5A5"/>
  </w:style>
  <w:style w:type="paragraph" w:styleId="Revision">
    <w:name w:val="Revision"/>
    <w:hidden/>
    <w:uiPriority w:val="99"/>
    <w:semiHidden/>
    <w:rsid w:val="00E83A92"/>
    <w:pPr>
      <w:spacing w:after="0" w:line="240" w:lineRule="auto"/>
    </w:pPr>
  </w:style>
  <w:style w:type="character" w:styleId="Hyperlink">
    <w:name w:val="Hyperlink"/>
    <w:basedOn w:val="DefaultParagraphFont"/>
    <w:uiPriority w:val="99"/>
    <w:unhideWhenUsed/>
    <w:rsid w:val="006C5012"/>
    <w:rPr>
      <w:color w:val="467886" w:themeColor="hyperlink"/>
      <w:u w:val="single"/>
    </w:rPr>
  </w:style>
  <w:style w:type="character" w:customStyle="1" w:styleId="UnresolvedMention">
    <w:name w:val="Unresolved Mention"/>
    <w:basedOn w:val="DefaultParagraphFont"/>
    <w:uiPriority w:val="99"/>
    <w:semiHidden/>
    <w:unhideWhenUsed/>
    <w:rsid w:val="006C5012"/>
    <w:rPr>
      <w:color w:val="605E5C"/>
      <w:shd w:val="clear" w:color="auto" w:fill="E1DFDD"/>
    </w:rPr>
  </w:style>
  <w:style w:type="paragraph" w:styleId="BalloonText">
    <w:name w:val="Balloon Text"/>
    <w:basedOn w:val="Normal"/>
    <w:link w:val="BalloonTextChar"/>
    <w:uiPriority w:val="99"/>
    <w:semiHidden/>
    <w:unhideWhenUsed/>
    <w:rsid w:val="00914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11981">
      <w:bodyDiv w:val="1"/>
      <w:marLeft w:val="0"/>
      <w:marRight w:val="0"/>
      <w:marTop w:val="0"/>
      <w:marBottom w:val="0"/>
      <w:divBdr>
        <w:top w:val="none" w:sz="0" w:space="0" w:color="auto"/>
        <w:left w:val="none" w:sz="0" w:space="0" w:color="auto"/>
        <w:bottom w:val="none" w:sz="0" w:space="0" w:color="auto"/>
        <w:right w:val="none" w:sz="0" w:space="0" w:color="auto"/>
      </w:divBdr>
    </w:div>
    <w:div w:id="444814666">
      <w:bodyDiv w:val="1"/>
      <w:marLeft w:val="0"/>
      <w:marRight w:val="0"/>
      <w:marTop w:val="0"/>
      <w:marBottom w:val="0"/>
      <w:divBdr>
        <w:top w:val="none" w:sz="0" w:space="0" w:color="auto"/>
        <w:left w:val="none" w:sz="0" w:space="0" w:color="auto"/>
        <w:bottom w:val="none" w:sz="0" w:space="0" w:color="auto"/>
        <w:right w:val="none" w:sz="0" w:space="0" w:color="auto"/>
      </w:divBdr>
    </w:div>
    <w:div w:id="722338299">
      <w:bodyDiv w:val="1"/>
      <w:marLeft w:val="0"/>
      <w:marRight w:val="0"/>
      <w:marTop w:val="0"/>
      <w:marBottom w:val="0"/>
      <w:divBdr>
        <w:top w:val="none" w:sz="0" w:space="0" w:color="auto"/>
        <w:left w:val="none" w:sz="0" w:space="0" w:color="auto"/>
        <w:bottom w:val="none" w:sz="0" w:space="0" w:color="auto"/>
        <w:right w:val="none" w:sz="0" w:space="0" w:color="auto"/>
      </w:divBdr>
      <w:divsChild>
        <w:div w:id="21328681">
          <w:marLeft w:val="274"/>
          <w:marRight w:val="0"/>
          <w:marTop w:val="60"/>
          <w:marBottom w:val="0"/>
          <w:divBdr>
            <w:top w:val="none" w:sz="0" w:space="0" w:color="auto"/>
            <w:left w:val="none" w:sz="0" w:space="0" w:color="auto"/>
            <w:bottom w:val="none" w:sz="0" w:space="0" w:color="auto"/>
            <w:right w:val="none" w:sz="0" w:space="0" w:color="auto"/>
          </w:divBdr>
        </w:div>
        <w:div w:id="1596862967">
          <w:marLeft w:val="274"/>
          <w:marRight w:val="0"/>
          <w:marTop w:val="60"/>
          <w:marBottom w:val="0"/>
          <w:divBdr>
            <w:top w:val="none" w:sz="0" w:space="0" w:color="auto"/>
            <w:left w:val="none" w:sz="0" w:space="0" w:color="auto"/>
            <w:bottom w:val="none" w:sz="0" w:space="0" w:color="auto"/>
            <w:right w:val="none" w:sz="0" w:space="0" w:color="auto"/>
          </w:divBdr>
        </w:div>
        <w:div w:id="1584415002">
          <w:marLeft w:val="274"/>
          <w:marRight w:val="0"/>
          <w:marTop w:val="60"/>
          <w:marBottom w:val="0"/>
          <w:divBdr>
            <w:top w:val="none" w:sz="0" w:space="0" w:color="auto"/>
            <w:left w:val="none" w:sz="0" w:space="0" w:color="auto"/>
            <w:bottom w:val="none" w:sz="0" w:space="0" w:color="auto"/>
            <w:right w:val="none" w:sz="0" w:space="0" w:color="auto"/>
          </w:divBdr>
        </w:div>
      </w:divsChild>
    </w:div>
    <w:div w:id="781147261">
      <w:bodyDiv w:val="1"/>
      <w:marLeft w:val="0"/>
      <w:marRight w:val="0"/>
      <w:marTop w:val="0"/>
      <w:marBottom w:val="0"/>
      <w:divBdr>
        <w:top w:val="none" w:sz="0" w:space="0" w:color="auto"/>
        <w:left w:val="none" w:sz="0" w:space="0" w:color="auto"/>
        <w:bottom w:val="none" w:sz="0" w:space="0" w:color="auto"/>
        <w:right w:val="none" w:sz="0" w:space="0" w:color="auto"/>
      </w:divBdr>
    </w:div>
    <w:div w:id="1089885454">
      <w:bodyDiv w:val="1"/>
      <w:marLeft w:val="0"/>
      <w:marRight w:val="0"/>
      <w:marTop w:val="0"/>
      <w:marBottom w:val="0"/>
      <w:divBdr>
        <w:top w:val="none" w:sz="0" w:space="0" w:color="auto"/>
        <w:left w:val="none" w:sz="0" w:space="0" w:color="auto"/>
        <w:bottom w:val="none" w:sz="0" w:space="0" w:color="auto"/>
        <w:right w:val="none" w:sz="0" w:space="0" w:color="auto"/>
      </w:divBdr>
    </w:div>
    <w:div w:id="1179001838">
      <w:bodyDiv w:val="1"/>
      <w:marLeft w:val="0"/>
      <w:marRight w:val="0"/>
      <w:marTop w:val="0"/>
      <w:marBottom w:val="0"/>
      <w:divBdr>
        <w:top w:val="none" w:sz="0" w:space="0" w:color="auto"/>
        <w:left w:val="none" w:sz="0" w:space="0" w:color="auto"/>
        <w:bottom w:val="none" w:sz="0" w:space="0" w:color="auto"/>
        <w:right w:val="none" w:sz="0" w:space="0" w:color="auto"/>
      </w:divBdr>
    </w:div>
    <w:div w:id="1660840995">
      <w:bodyDiv w:val="1"/>
      <w:marLeft w:val="0"/>
      <w:marRight w:val="0"/>
      <w:marTop w:val="0"/>
      <w:marBottom w:val="0"/>
      <w:divBdr>
        <w:top w:val="none" w:sz="0" w:space="0" w:color="auto"/>
        <w:left w:val="none" w:sz="0" w:space="0" w:color="auto"/>
        <w:bottom w:val="none" w:sz="0" w:space="0" w:color="auto"/>
        <w:right w:val="none" w:sz="0" w:space="0" w:color="auto"/>
      </w:divBdr>
      <w:divsChild>
        <w:div w:id="1608001428">
          <w:marLeft w:val="562"/>
          <w:marRight w:val="0"/>
          <w:marTop w:val="60"/>
          <w:marBottom w:val="0"/>
          <w:divBdr>
            <w:top w:val="none" w:sz="0" w:space="0" w:color="auto"/>
            <w:left w:val="none" w:sz="0" w:space="0" w:color="auto"/>
            <w:bottom w:val="none" w:sz="0" w:space="0" w:color="auto"/>
            <w:right w:val="none" w:sz="0" w:space="0" w:color="auto"/>
          </w:divBdr>
        </w:div>
        <w:div w:id="384987587">
          <w:marLeft w:val="562"/>
          <w:marRight w:val="0"/>
          <w:marTop w:val="60"/>
          <w:marBottom w:val="0"/>
          <w:divBdr>
            <w:top w:val="none" w:sz="0" w:space="0" w:color="auto"/>
            <w:left w:val="none" w:sz="0" w:space="0" w:color="auto"/>
            <w:bottom w:val="none" w:sz="0" w:space="0" w:color="auto"/>
            <w:right w:val="none" w:sz="0" w:space="0" w:color="auto"/>
          </w:divBdr>
        </w:div>
        <w:div w:id="1945380465">
          <w:marLeft w:val="562"/>
          <w:marRight w:val="0"/>
          <w:marTop w:val="60"/>
          <w:marBottom w:val="0"/>
          <w:divBdr>
            <w:top w:val="none" w:sz="0" w:space="0" w:color="auto"/>
            <w:left w:val="none" w:sz="0" w:space="0" w:color="auto"/>
            <w:bottom w:val="none" w:sz="0" w:space="0" w:color="auto"/>
            <w:right w:val="none" w:sz="0" w:space="0" w:color="auto"/>
          </w:divBdr>
        </w:div>
      </w:divsChild>
    </w:div>
    <w:div w:id="17527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2AAA3-D2D7-4099-AA75-18E44959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 India</dc:creator>
  <cp:lastModifiedBy>R Ganesh</cp:lastModifiedBy>
  <cp:revision>2</cp:revision>
  <dcterms:created xsi:type="dcterms:W3CDTF">2024-12-19T11:29:00Z</dcterms:created>
  <dcterms:modified xsi:type="dcterms:W3CDTF">2024-12-19T11:29:00Z</dcterms:modified>
</cp:coreProperties>
</file>