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BB" w:rsidRPr="005F6C0D" w:rsidRDefault="008E1086" w:rsidP="00C61E8D">
      <w:pPr>
        <w:spacing w:before="120" w:after="240" w:line="240" w:lineRule="auto"/>
        <w:jc w:val="both"/>
        <w:rPr>
          <w:b/>
          <w:bCs/>
          <w:u w:val="single"/>
        </w:rPr>
      </w:pPr>
      <w:r w:rsidRPr="005F6C0D">
        <w:rPr>
          <w:b/>
          <w:bCs/>
          <w:u w:val="single"/>
        </w:rPr>
        <w:t xml:space="preserve">Representations </w:t>
      </w:r>
      <w:r w:rsidR="005B6A56">
        <w:rPr>
          <w:b/>
          <w:bCs/>
          <w:u w:val="single"/>
        </w:rPr>
        <w:t>for relaxing</w:t>
      </w:r>
      <w:r w:rsidRPr="005F6C0D">
        <w:rPr>
          <w:b/>
          <w:bCs/>
          <w:u w:val="single"/>
        </w:rPr>
        <w:t xml:space="preserve"> mandatory e-filing of Form 10F</w:t>
      </w:r>
      <w:r w:rsidR="00ED12BB" w:rsidRPr="005F6C0D">
        <w:rPr>
          <w:b/>
          <w:bCs/>
          <w:u w:val="single"/>
        </w:rPr>
        <w:t xml:space="preserve"> for non-residents </w:t>
      </w:r>
      <w:r w:rsidR="00B3612A">
        <w:rPr>
          <w:b/>
          <w:bCs/>
          <w:u w:val="single"/>
        </w:rPr>
        <w:t xml:space="preserve">(NRs) </w:t>
      </w:r>
      <w:r w:rsidR="005B6A56">
        <w:rPr>
          <w:b/>
          <w:bCs/>
          <w:u w:val="single"/>
        </w:rPr>
        <w:t xml:space="preserve">whether or </w:t>
      </w:r>
      <w:r w:rsidR="00ED12BB" w:rsidRPr="005F6C0D">
        <w:rPr>
          <w:b/>
          <w:bCs/>
          <w:u w:val="single"/>
        </w:rPr>
        <w:t>not having PAN/e-filing account</w:t>
      </w:r>
    </w:p>
    <w:p w:rsidR="00F02B88" w:rsidRDefault="005F6C0D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>This has reference to Notification No. 03/2022 dated 16</w:t>
      </w:r>
      <w:r w:rsidRPr="005F6C0D">
        <w:rPr>
          <w:vertAlign w:val="superscript"/>
        </w:rPr>
        <w:t>th</w:t>
      </w:r>
      <w:r>
        <w:t xml:space="preserve"> July 2022 </w:t>
      </w:r>
      <w:r w:rsidR="00B045BC">
        <w:t xml:space="preserve">issued by Directorate of Income Tax (Systems) New Delhi in exercise of powers </w:t>
      </w:r>
      <w:r w:rsidR="00081FB7">
        <w:t>conferred under Rule 131(1)</w:t>
      </w:r>
      <w:proofErr w:type="gramStart"/>
      <w:r w:rsidR="00081FB7">
        <w:t>/(</w:t>
      </w:r>
      <w:proofErr w:type="gramEnd"/>
      <w:r w:rsidR="00081FB7">
        <w:t xml:space="preserve">2) </w:t>
      </w:r>
      <w:r w:rsidR="00B3612A">
        <w:t xml:space="preserve">of the Income-tax Rules </w:t>
      </w:r>
      <w:r w:rsidR="00081FB7">
        <w:t xml:space="preserve">mandating, inter alia, furnishing of Form 10F </w:t>
      </w:r>
      <w:r w:rsidR="004031BC">
        <w:t xml:space="preserve">electronically </w:t>
      </w:r>
      <w:r w:rsidR="006E79AF">
        <w:t>and verification through electronic verification code</w:t>
      </w:r>
      <w:r w:rsidR="00EB0CAF">
        <w:t xml:space="preserve"> (EVC)</w:t>
      </w:r>
      <w:r w:rsidR="006E79AF">
        <w:t>.</w:t>
      </w:r>
      <w:r w:rsidR="00AF75FA">
        <w:t xml:space="preserve"> </w:t>
      </w:r>
      <w:r w:rsidR="00F02B88">
        <w:t xml:space="preserve">This also has reference to </w:t>
      </w:r>
      <w:r w:rsidR="00E26080">
        <w:t xml:space="preserve">CBDT notification No 2022/ 9227 dated 12 December 2022 which provided relaxation exempting </w:t>
      </w:r>
      <w:r w:rsidR="00990B15">
        <w:t>non-resident (</w:t>
      </w:r>
      <w:r w:rsidR="00E26080">
        <w:t>NR</w:t>
      </w:r>
      <w:r w:rsidR="00990B15">
        <w:t>)</w:t>
      </w:r>
      <w:r w:rsidR="00E26080">
        <w:t xml:space="preserve"> taxpayers from e-filing Form 10F if such NR does not have PAN and is not required to have PAN under provisions of </w:t>
      </w:r>
      <w:r w:rsidR="008422C8">
        <w:t>Income tax Act</w:t>
      </w:r>
      <w:r w:rsidR="00E26080">
        <w:t>. However, such relaxation is applicable only up</w:t>
      </w:r>
      <w:r w:rsidR="008422C8">
        <w:t xml:space="preserve"> </w:t>
      </w:r>
      <w:r w:rsidR="00E26080">
        <w:t>to 31 March 2023</w:t>
      </w:r>
    </w:p>
    <w:p w:rsidR="00B465FA" w:rsidRDefault="00AF75FA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>This representation seeks to highlight practical challenge</w:t>
      </w:r>
      <w:r w:rsidR="000C754F">
        <w:t>s</w:t>
      </w:r>
      <w:r>
        <w:t xml:space="preserve"> faced by </w:t>
      </w:r>
      <w:r w:rsidR="00B3612A">
        <w:t xml:space="preserve">NR </w:t>
      </w:r>
      <w:r>
        <w:t>taxpayers</w:t>
      </w:r>
      <w:r w:rsidR="006C227E">
        <w:t>,</w:t>
      </w:r>
      <w:r>
        <w:t xml:space="preserve"> </w:t>
      </w:r>
      <w:r w:rsidR="00990B15">
        <w:t xml:space="preserve">whether or </w:t>
      </w:r>
      <w:r w:rsidR="00BD3F33">
        <w:t>not having PAN</w:t>
      </w:r>
      <w:r w:rsidR="006C227E">
        <w:t>,</w:t>
      </w:r>
      <w:r w:rsidR="00BD3F33">
        <w:t xml:space="preserve"> in making compliance </w:t>
      </w:r>
      <w:r w:rsidR="000C754F">
        <w:t xml:space="preserve">of e-filing Form 10F and </w:t>
      </w:r>
      <w:r w:rsidR="00080B63">
        <w:t>request</w:t>
      </w:r>
      <w:r w:rsidR="006C227E">
        <w:t>s</w:t>
      </w:r>
      <w:r w:rsidR="00080B63">
        <w:t xml:space="preserve"> for </w:t>
      </w:r>
      <w:r w:rsidR="0091117C">
        <w:t>(a) permanently exempting NR taxpayers not having PAN and not required to obtain PAN from e-filing Form</w:t>
      </w:r>
      <w:r w:rsidR="00275F24">
        <w:t xml:space="preserve"> </w:t>
      </w:r>
      <w:r w:rsidR="0091117C">
        <w:t xml:space="preserve">10F and (b) </w:t>
      </w:r>
      <w:r w:rsidR="00080B63">
        <w:t xml:space="preserve">making e-filing of Form 10F optional for </w:t>
      </w:r>
      <w:r w:rsidR="00F35484">
        <w:t>NR taxpayers</w:t>
      </w:r>
      <w:r w:rsidR="00275F24">
        <w:t xml:space="preserve"> having PAN</w:t>
      </w:r>
      <w:r w:rsidR="00B465FA">
        <w:t>.</w:t>
      </w:r>
    </w:p>
    <w:p w:rsidR="008C347E" w:rsidRPr="00F9747C" w:rsidRDefault="00F9747C" w:rsidP="008C347E">
      <w:pPr>
        <w:spacing w:before="120" w:after="240" w:line="240" w:lineRule="auto"/>
        <w:jc w:val="both"/>
        <w:rPr>
          <w:b/>
          <w:bCs/>
        </w:rPr>
      </w:pPr>
      <w:r w:rsidRPr="00F9747C">
        <w:rPr>
          <w:b/>
          <w:bCs/>
        </w:rPr>
        <w:t xml:space="preserve">Relevance of Form 10F for </w:t>
      </w:r>
      <w:r>
        <w:rPr>
          <w:b/>
          <w:bCs/>
        </w:rPr>
        <w:t xml:space="preserve">claiming treaty benefit for </w:t>
      </w:r>
      <w:r w:rsidRPr="00F9747C">
        <w:rPr>
          <w:b/>
          <w:bCs/>
        </w:rPr>
        <w:t xml:space="preserve">TDS </w:t>
      </w:r>
      <w:r>
        <w:rPr>
          <w:b/>
          <w:bCs/>
        </w:rPr>
        <w:t>purposes</w:t>
      </w:r>
    </w:p>
    <w:p w:rsidR="00760320" w:rsidRDefault="00EC24B4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Form 10F is required to be furnished by </w:t>
      </w:r>
      <w:r w:rsidR="00B3612A">
        <w:t>NR</w:t>
      </w:r>
      <w:r>
        <w:t xml:space="preserve"> taxpayer along with Tax Residency Certificate </w:t>
      </w:r>
      <w:r w:rsidR="00B3612A">
        <w:t xml:space="preserve">(TRC) </w:t>
      </w:r>
      <w:r>
        <w:t xml:space="preserve">in terms of </w:t>
      </w:r>
      <w:r w:rsidR="008F6E3B">
        <w:t xml:space="preserve">s.90(4)/(5) of the Income-tax Act </w:t>
      </w:r>
      <w:r w:rsidR="00970CEB">
        <w:t xml:space="preserve">(ITA) read with Rule </w:t>
      </w:r>
      <w:r w:rsidR="00257C91">
        <w:t>21AB</w:t>
      </w:r>
      <w:r w:rsidR="00563F4F">
        <w:t xml:space="preserve">  </w:t>
      </w:r>
      <w:r w:rsidR="008F6E3B">
        <w:t xml:space="preserve">in order to claim treaty benefit. </w:t>
      </w:r>
      <w:r w:rsidR="004A1774">
        <w:t>This is relevant more particularly for the purposes of tax deduction at source u/s. 195</w:t>
      </w:r>
      <w:r w:rsidR="00563F4F">
        <w:t xml:space="preserve"> </w:t>
      </w:r>
      <w:r w:rsidR="004A1774">
        <w:t xml:space="preserve">by the payers </w:t>
      </w:r>
      <w:r w:rsidR="00B3612A">
        <w:t xml:space="preserve">while making payment to such NR taxpayers. </w:t>
      </w:r>
      <w:r w:rsidR="00934609">
        <w:t>In absence of TRC and Form 10F</w:t>
      </w:r>
      <w:r w:rsidR="00563F4F">
        <w:t xml:space="preserve"> (in cases where TRC does not contain details required in Form 10F)</w:t>
      </w:r>
      <w:r w:rsidR="00934609">
        <w:t xml:space="preserve">, payers do not </w:t>
      </w:r>
      <w:r w:rsidR="00970CEB">
        <w:t>grant treaty benefit to the NR payees since it is a mandatory requirement</w:t>
      </w:r>
      <w:r w:rsidR="000E6F8C">
        <w:t xml:space="preserve"> as per </w:t>
      </w:r>
      <w:proofErr w:type="gramStart"/>
      <w:r w:rsidR="000E6F8C">
        <w:t>s.90(</w:t>
      </w:r>
      <w:proofErr w:type="gramEnd"/>
      <w:r w:rsidR="000E6F8C">
        <w:t xml:space="preserve">4)/(5) </w:t>
      </w:r>
      <w:proofErr w:type="spellStart"/>
      <w:r w:rsidR="000E6F8C">
        <w:t>r.w</w:t>
      </w:r>
      <w:proofErr w:type="spellEnd"/>
      <w:r w:rsidR="000E6F8C">
        <w:t>. Rule 21AB.</w:t>
      </w:r>
    </w:p>
    <w:p w:rsidR="006E79AF" w:rsidRDefault="000E6F8C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The practice </w:t>
      </w:r>
      <w:r w:rsidR="009E011F">
        <w:t xml:space="preserve">adopted by the payers </w:t>
      </w:r>
      <w:r w:rsidR="00383BCF">
        <w:t>prior to mandatory e-filing was</w:t>
      </w:r>
      <w:r w:rsidR="009E011F">
        <w:t xml:space="preserve"> to obtain such TRC and Form 10F in hard copy or soft copy from NR payee </w:t>
      </w:r>
      <w:r w:rsidR="007C427E">
        <w:t xml:space="preserve">and keep on its record to be furnished to the Tax Department as and when called upon </w:t>
      </w:r>
      <w:r w:rsidR="001E2206">
        <w:t xml:space="preserve">either in s.201(1) proceedings or assessment proceedings. It is also shared with </w:t>
      </w:r>
      <w:r w:rsidR="006407AD">
        <w:t xml:space="preserve">Chartered Accountant issuing certificate in Form 15CB </w:t>
      </w:r>
      <w:r w:rsidR="008318B9">
        <w:t xml:space="preserve">u/s. 195(6) </w:t>
      </w:r>
      <w:proofErr w:type="spellStart"/>
      <w:r w:rsidR="008318B9">
        <w:t>r.w</w:t>
      </w:r>
      <w:proofErr w:type="spellEnd"/>
      <w:r w:rsidR="008318B9">
        <w:t xml:space="preserve">. Rule </w:t>
      </w:r>
      <w:r w:rsidR="00620CDE">
        <w:t xml:space="preserve">37BB </w:t>
      </w:r>
      <w:r w:rsidR="006407AD">
        <w:t xml:space="preserve">for </w:t>
      </w:r>
      <w:r w:rsidR="008318B9">
        <w:t xml:space="preserve">the purposes of remittance outside India </w:t>
      </w:r>
      <w:r w:rsidR="00620CDE">
        <w:t xml:space="preserve">and/or Tax Auditor verifying TDS compliance for the purposes of reporting </w:t>
      </w:r>
      <w:r w:rsidR="00CE3F43">
        <w:t xml:space="preserve">in Form 3CD. </w:t>
      </w:r>
    </w:p>
    <w:p w:rsidR="004349FF" w:rsidRPr="00473B91" w:rsidRDefault="00473B91" w:rsidP="004349FF">
      <w:pPr>
        <w:spacing w:before="120" w:after="240" w:line="240" w:lineRule="auto"/>
        <w:jc w:val="both"/>
        <w:rPr>
          <w:b/>
          <w:bCs/>
        </w:rPr>
      </w:pPr>
      <w:r w:rsidRPr="00473B91">
        <w:rPr>
          <w:b/>
          <w:bCs/>
        </w:rPr>
        <w:t xml:space="preserve">No linkage of Form 10F with obtaining PAN </w:t>
      </w:r>
      <w:r w:rsidR="005938D2">
        <w:rPr>
          <w:b/>
          <w:bCs/>
        </w:rPr>
        <w:t xml:space="preserve">under </w:t>
      </w:r>
      <w:r w:rsidR="00A90159">
        <w:rPr>
          <w:b/>
          <w:bCs/>
        </w:rPr>
        <w:t>current procedure in line with international practice</w:t>
      </w:r>
    </w:p>
    <w:p w:rsidR="00CE3F43" w:rsidRDefault="002E465A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Currently, </w:t>
      </w:r>
      <w:r w:rsidR="00CE3F43">
        <w:t xml:space="preserve">NR taxpayers </w:t>
      </w:r>
      <w:r>
        <w:t xml:space="preserve">who obtain PAN and file returns are not required to </w:t>
      </w:r>
      <w:r w:rsidR="008F2BF9">
        <w:t xml:space="preserve">upload or furnish Form 10F separately as part of return filing compliance. </w:t>
      </w:r>
    </w:p>
    <w:p w:rsidR="00237B57" w:rsidRDefault="00367BD0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It may be noted that </w:t>
      </w:r>
      <w:r w:rsidR="00A140AA">
        <w:t>NRs are not required to mandatorily obtain PAN for seeking treaty benefit</w:t>
      </w:r>
      <w:r w:rsidR="00330B8B">
        <w:t xml:space="preserve"> for TDS purposes. Reference, in this regard, is invited to s.206AA(7) </w:t>
      </w:r>
      <w:r w:rsidR="008A116C">
        <w:t>where NR is exempted from applicability of higher TDS in absence of PAN in case of (</w:t>
      </w:r>
      <w:r w:rsidR="000C4EC9">
        <w:t>i</w:t>
      </w:r>
      <w:r w:rsidR="008A116C">
        <w:t xml:space="preserve">) </w:t>
      </w:r>
      <w:r w:rsidR="000C4EC9">
        <w:t xml:space="preserve">payment of interest on long-term bonds as referred to in s.194LC and (ii) </w:t>
      </w:r>
      <w:r w:rsidR="00F07496">
        <w:t xml:space="preserve">any other payment subject to compliance of conditions prescribed in Rule </w:t>
      </w:r>
      <w:r w:rsidR="000B0BA0">
        <w:t>37BC</w:t>
      </w:r>
      <w:r w:rsidR="00AC4326">
        <w:t xml:space="preserve">. The conditions prescribed in Rule 37BC are </w:t>
      </w:r>
      <w:r w:rsidR="00CF1B36">
        <w:t>substantially</w:t>
      </w:r>
      <w:r w:rsidR="00D93CE6">
        <w:t xml:space="preserve"> </w:t>
      </w:r>
      <w:r w:rsidR="00AC4326">
        <w:t xml:space="preserve">similar to those in Rule </w:t>
      </w:r>
      <w:r w:rsidR="00B372AC">
        <w:t>21AB like furnishing TRC, Tax Identification Number, etc</w:t>
      </w:r>
      <w:r w:rsidR="00CE26ED">
        <w:t xml:space="preserve">. </w:t>
      </w:r>
      <w:r w:rsidR="007C7100">
        <w:t xml:space="preserve">The payments covered by Rule 37BC are </w:t>
      </w:r>
      <w:r w:rsidR="00F40EF3">
        <w:t xml:space="preserve">interest, royalty, fees for technical services, dividend and capital gains. </w:t>
      </w:r>
    </w:p>
    <w:p w:rsidR="00237B57" w:rsidRDefault="00D46C38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>Even where</w:t>
      </w:r>
      <w:r w:rsidR="00237B57">
        <w:t xml:space="preserve"> tax is not required to be deducted </w:t>
      </w:r>
      <w:r w:rsidR="00DF710A">
        <w:t>(</w:t>
      </w:r>
      <w:proofErr w:type="spellStart"/>
      <w:r w:rsidR="00DF710A">
        <w:t>eg</w:t>
      </w:r>
      <w:proofErr w:type="spellEnd"/>
      <w:r w:rsidR="00DF710A">
        <w:t>.</w:t>
      </w:r>
      <w:r w:rsidR="00853F17">
        <w:t xml:space="preserve"> business </w:t>
      </w:r>
      <w:r w:rsidR="00DF710A">
        <w:t>income</w:t>
      </w:r>
      <w:r w:rsidR="00853F17">
        <w:t xml:space="preserve"> in absence of PE in India</w:t>
      </w:r>
      <w:r w:rsidR="00DF710A">
        <w:t>)</w:t>
      </w:r>
      <w:r w:rsidR="00853F17">
        <w:t xml:space="preserve">, NR </w:t>
      </w:r>
      <w:r w:rsidR="002D6F91">
        <w:t xml:space="preserve">payees furnish TRC, Form 10F and no-PE declaration to the payers and they are not required to obtain PAN. </w:t>
      </w:r>
    </w:p>
    <w:p w:rsidR="00367BD0" w:rsidRDefault="00CE26ED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lastRenderedPageBreak/>
        <w:t xml:space="preserve">Hence, in majority of cases involving </w:t>
      </w:r>
      <w:r w:rsidR="00DA095C">
        <w:t xml:space="preserve">payments to NRs with treaty benefit, the NRs are not </w:t>
      </w:r>
      <w:r w:rsidR="00653EB1">
        <w:t xml:space="preserve">required to obtain PAN. This </w:t>
      </w:r>
      <w:r w:rsidR="00436AA2">
        <w:t xml:space="preserve">aligns with “ease of doing business” with India where NRs are not burdened with </w:t>
      </w:r>
      <w:r w:rsidR="000152BD">
        <w:t xml:space="preserve">procedural requirement of obtaining PAN for claiming treaty benefit. It </w:t>
      </w:r>
      <w:r w:rsidR="008257FD">
        <w:t xml:space="preserve">is also consistent with international practice followed in other countries. Indian taxpayers are not required to obtain Tax Identification Number </w:t>
      </w:r>
      <w:r w:rsidR="00F92ED7">
        <w:t>in other jurisdictions like US, UK, Singapore, etc to</w:t>
      </w:r>
      <w:r w:rsidR="00F75B2D">
        <w:t xml:space="preserve"> </w:t>
      </w:r>
      <w:r w:rsidR="0028634C">
        <w:t>avail the treaty benefit for incomes earned from those jurisdictions.</w:t>
      </w:r>
      <w:r w:rsidR="00F75B2D">
        <w:t xml:space="preserve"> </w:t>
      </w:r>
      <w:r w:rsidR="005C10E0">
        <w:t>For instan</w:t>
      </w:r>
      <w:r w:rsidR="00E26B90">
        <w:t>ce, it is sufficient to furnish W8-BEN</w:t>
      </w:r>
      <w:r w:rsidR="00D10E8D">
        <w:t xml:space="preserve"> in hard/soft copy format in US to claim </w:t>
      </w:r>
      <w:r w:rsidR="00667964">
        <w:t xml:space="preserve">India-US treaty benefit and there is no requirement to obtain US Tax identification </w:t>
      </w:r>
      <w:r w:rsidR="00D42FAB">
        <w:t>number</w:t>
      </w:r>
      <w:r w:rsidR="00667964">
        <w:t xml:space="preserve">. </w:t>
      </w:r>
    </w:p>
    <w:p w:rsidR="0028634C" w:rsidRDefault="0028634C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The above procedure has been working well </w:t>
      </w:r>
      <w:r w:rsidR="00ED0CEE">
        <w:t>and it is well accepted by industry and Tax Department since many years.</w:t>
      </w:r>
      <w:r w:rsidR="00E26BFD">
        <w:t xml:space="preserve"> It is also important to note that the Tax Department gets </w:t>
      </w:r>
      <w:r w:rsidR="00BB758F">
        <w:t xml:space="preserve">most of </w:t>
      </w:r>
      <w:r w:rsidR="00E26BFD">
        <w:t>the information</w:t>
      </w:r>
      <w:r w:rsidR="00BB758F">
        <w:t xml:space="preserve"> contained in Form 10F as part of reporting by the payer/</w:t>
      </w:r>
      <w:proofErr w:type="spellStart"/>
      <w:r w:rsidR="00BB758F">
        <w:t>deductor</w:t>
      </w:r>
      <w:proofErr w:type="spellEnd"/>
      <w:r w:rsidR="00BB758F">
        <w:t xml:space="preserve"> in quarterly TDS statements in Form 27Q.</w:t>
      </w:r>
    </w:p>
    <w:p w:rsidR="00363450" w:rsidRPr="005938D2" w:rsidRDefault="00363450" w:rsidP="00363450">
      <w:pPr>
        <w:spacing w:before="120" w:after="240" w:line="240" w:lineRule="auto"/>
        <w:jc w:val="both"/>
        <w:rPr>
          <w:b/>
          <w:bCs/>
        </w:rPr>
      </w:pPr>
      <w:r w:rsidRPr="005938D2">
        <w:rPr>
          <w:b/>
          <w:bCs/>
        </w:rPr>
        <w:t xml:space="preserve">Practical challenge caused by Notification No. 3/2022 – </w:t>
      </w:r>
      <w:r w:rsidR="00846208" w:rsidRPr="005938D2">
        <w:rPr>
          <w:b/>
          <w:bCs/>
        </w:rPr>
        <w:t xml:space="preserve">Indirect insistence </w:t>
      </w:r>
      <w:r w:rsidR="005938D2" w:rsidRPr="005938D2">
        <w:rPr>
          <w:b/>
          <w:bCs/>
        </w:rPr>
        <w:t>on PAN for furnishing Form 10F</w:t>
      </w:r>
    </w:p>
    <w:p w:rsidR="00ED0CEE" w:rsidRDefault="00ED0CEE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However, with Notification No.03/2022, </w:t>
      </w:r>
      <w:r w:rsidR="00FE0948">
        <w:t xml:space="preserve">NR taxpayers not having PAN are facing practical challenge in complying with requirement of mandatory e-filing of Form 10F given the current </w:t>
      </w:r>
      <w:r w:rsidR="00203ABE">
        <w:t>system of e-filing on incometax.gov.in portal.</w:t>
      </w:r>
    </w:p>
    <w:p w:rsidR="00CF08C2" w:rsidRDefault="00765ECD" w:rsidP="000852A7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The Notification can be complied with by only those NR taxpayers who have PAN and hence can log in to their e-filing account </w:t>
      </w:r>
      <w:r w:rsidR="004620BB">
        <w:t xml:space="preserve">on the above referred portal </w:t>
      </w:r>
      <w:r>
        <w:t xml:space="preserve">and furnish Form 10F electronically </w:t>
      </w:r>
      <w:r w:rsidR="00EB0CAF">
        <w:t xml:space="preserve">with EVC </w:t>
      </w:r>
      <w:r w:rsidR="002255A9">
        <w:t>as required by the Notification.</w:t>
      </w:r>
    </w:p>
    <w:p w:rsidR="00FE6F49" w:rsidRDefault="002255A9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NR taxpayers who do not have PAN cannot log in to the e-filing portal to </w:t>
      </w:r>
      <w:r w:rsidR="00027560">
        <w:t xml:space="preserve">e-file Form 10F since e-filing </w:t>
      </w:r>
      <w:r w:rsidR="00067891">
        <w:t xml:space="preserve">account is available only for those taxpayers who have PAN. This resulted in practical challenge and ambiguity </w:t>
      </w:r>
      <w:r w:rsidR="00266603">
        <w:t>for both NR payees and payers for complying with TDS u/s. 195.</w:t>
      </w:r>
    </w:p>
    <w:p w:rsidR="00345348" w:rsidRDefault="0017034F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The payers who have onerous TDS obligation are concerned whether </w:t>
      </w:r>
      <w:r w:rsidR="00234326">
        <w:t xml:space="preserve">hard/soft copy of Form 10F which was hitherto </w:t>
      </w:r>
      <w:r w:rsidR="00AC56B7">
        <w:t>acceptable has become non-acceptable from 16 July 2022</w:t>
      </w:r>
      <w:r w:rsidR="002E3B42">
        <w:t xml:space="preserve"> for NR payees not having PAN</w:t>
      </w:r>
      <w:r w:rsidR="00AC56B7">
        <w:t xml:space="preserve">. </w:t>
      </w:r>
      <w:r w:rsidR="002E3B42">
        <w:t xml:space="preserve">Even if they insist on e-filing compliance, </w:t>
      </w:r>
      <w:r w:rsidR="00345348">
        <w:t>it is not possible for the NR payees to make such compliance in absence of such PAN.</w:t>
      </w:r>
      <w:r w:rsidR="001D282F">
        <w:t xml:space="preserve"> If </w:t>
      </w:r>
      <w:r w:rsidR="009F3D0D">
        <w:t>the payers</w:t>
      </w:r>
      <w:r w:rsidR="001D282F">
        <w:t xml:space="preserve"> deny treaty benefit on such </w:t>
      </w:r>
      <w:proofErr w:type="gramStart"/>
      <w:r w:rsidR="004D4026">
        <w:t xml:space="preserve">procedural </w:t>
      </w:r>
      <w:r w:rsidR="001D282F">
        <w:t xml:space="preserve"> ground</w:t>
      </w:r>
      <w:proofErr w:type="gramEnd"/>
      <w:r w:rsidR="001D282F">
        <w:t xml:space="preserve">, it will result in </w:t>
      </w:r>
      <w:r w:rsidR="009678A9">
        <w:t xml:space="preserve">significant difficulty </w:t>
      </w:r>
      <w:r w:rsidR="00547979">
        <w:t xml:space="preserve">of higher TDS – more particularly, where payments are made on ‘net of tax’ basis. </w:t>
      </w:r>
      <w:r w:rsidR="000A0764">
        <w:t xml:space="preserve">The </w:t>
      </w:r>
      <w:r w:rsidR="004B2316">
        <w:t>higher TDS amounts will be stuck with Tax Department without any credit or grant of refund in absence of PAN</w:t>
      </w:r>
      <w:r w:rsidR="00471BF1">
        <w:t xml:space="preserve">. This will increase the cost of doing business </w:t>
      </w:r>
      <w:r w:rsidR="00BE53C1">
        <w:t xml:space="preserve">with NRs and </w:t>
      </w:r>
      <w:r w:rsidR="00A11E4E">
        <w:t xml:space="preserve">become a tax hurdle </w:t>
      </w:r>
      <w:r w:rsidR="007E71FB">
        <w:t xml:space="preserve">for import of goods and services. </w:t>
      </w:r>
    </w:p>
    <w:p w:rsidR="004532DF" w:rsidRPr="000852A7" w:rsidRDefault="004532DF" w:rsidP="00590382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 w:rsidRPr="000852A7">
        <w:t xml:space="preserve">Default in submission of electronic Form 10F </w:t>
      </w:r>
      <w:r>
        <w:t xml:space="preserve">is </w:t>
      </w:r>
      <w:r w:rsidR="0099753C">
        <w:t>merely</w:t>
      </w:r>
      <w:r>
        <w:t xml:space="preserve"> a</w:t>
      </w:r>
      <w:r w:rsidRPr="000852A7">
        <w:t xml:space="preserve"> procedural </w:t>
      </w:r>
      <w:r w:rsidR="0099753C">
        <w:t>deviation</w:t>
      </w:r>
      <w:r>
        <w:t xml:space="preserve"> and</w:t>
      </w:r>
      <w:r w:rsidRPr="000852A7">
        <w:t xml:space="preserve"> potential denial of </w:t>
      </w:r>
      <w:r>
        <w:t xml:space="preserve">treaty </w:t>
      </w:r>
      <w:r w:rsidRPr="000852A7">
        <w:t xml:space="preserve">benefit either by the </w:t>
      </w:r>
      <w:proofErr w:type="spellStart"/>
      <w:r w:rsidRPr="000852A7">
        <w:t>deductor</w:t>
      </w:r>
      <w:proofErr w:type="spellEnd"/>
      <w:r w:rsidRPr="000852A7">
        <w:t xml:space="preserve"> or by the Tax authorities would cause undue tax burden on NR taxpayers despite the fact that all the information is furnished to tax department in manual form</w:t>
      </w:r>
      <w:r>
        <w:t xml:space="preserve"> 10F</w:t>
      </w:r>
      <w:r w:rsidRPr="000852A7">
        <w:t>.</w:t>
      </w:r>
    </w:p>
    <w:p w:rsidR="00980723" w:rsidRPr="00A16CBB" w:rsidRDefault="00980723" w:rsidP="00980723">
      <w:pPr>
        <w:spacing w:before="120" w:after="240" w:line="240" w:lineRule="auto"/>
        <w:jc w:val="both"/>
        <w:rPr>
          <w:b/>
          <w:bCs/>
        </w:rPr>
      </w:pPr>
      <w:r w:rsidRPr="00A16CBB">
        <w:rPr>
          <w:b/>
          <w:bCs/>
        </w:rPr>
        <w:t xml:space="preserve">No </w:t>
      </w:r>
      <w:r w:rsidR="00674988" w:rsidRPr="00A16CBB">
        <w:rPr>
          <w:b/>
          <w:bCs/>
        </w:rPr>
        <w:t xml:space="preserve">additional </w:t>
      </w:r>
      <w:r w:rsidR="00A16CBB" w:rsidRPr="00A16CBB">
        <w:rPr>
          <w:b/>
          <w:bCs/>
        </w:rPr>
        <w:t>information</w:t>
      </w:r>
      <w:r w:rsidR="00674988" w:rsidRPr="00A16CBB">
        <w:rPr>
          <w:b/>
          <w:bCs/>
        </w:rPr>
        <w:t xml:space="preserve"> to Tax Department </w:t>
      </w:r>
      <w:r w:rsidR="00A16CBB" w:rsidRPr="00A16CBB">
        <w:rPr>
          <w:b/>
          <w:bCs/>
        </w:rPr>
        <w:t xml:space="preserve">by insisting on PAN for furnishing Form 10F </w:t>
      </w:r>
    </w:p>
    <w:p w:rsidR="00E31533" w:rsidRDefault="00E31533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It may also be reiterated that </w:t>
      </w:r>
      <w:r w:rsidR="00E735F4">
        <w:t>the Tax Department gets the information contained in Form 10F as part of reporting by payers/</w:t>
      </w:r>
      <w:proofErr w:type="spellStart"/>
      <w:r w:rsidR="00E735F4">
        <w:t>deductors</w:t>
      </w:r>
      <w:proofErr w:type="spellEnd"/>
      <w:r w:rsidR="00E735F4">
        <w:t xml:space="preserve"> in quarterly TDS statements in Form 27Q</w:t>
      </w:r>
      <w:r w:rsidR="0097701C">
        <w:t>. Hence, mandatory e-filing of Form 10F by the NR payees/</w:t>
      </w:r>
      <w:proofErr w:type="spellStart"/>
      <w:r w:rsidR="0097701C">
        <w:t>deductees</w:t>
      </w:r>
      <w:proofErr w:type="spellEnd"/>
      <w:r w:rsidR="001205DE">
        <w:t xml:space="preserve"> </w:t>
      </w:r>
      <w:r w:rsidR="00710F79">
        <w:t xml:space="preserve">is merely a duplicated requirement which does not provide any additional information to the Tax Department but </w:t>
      </w:r>
      <w:r w:rsidR="00710F79">
        <w:lastRenderedPageBreak/>
        <w:t xml:space="preserve">merely increases the compliance burden for the </w:t>
      </w:r>
      <w:r w:rsidR="008A0802">
        <w:t>NR taxpayers of obtaining PAN</w:t>
      </w:r>
      <w:r w:rsidR="00D6277F">
        <w:t xml:space="preserve"> for furnishing Form 10F</w:t>
      </w:r>
      <w:r w:rsidR="008A0802">
        <w:t xml:space="preserve">. </w:t>
      </w:r>
      <w:r w:rsidR="00446DBF">
        <w:t xml:space="preserve">It contradicts the exemption provided in s.206AA read with Rule </w:t>
      </w:r>
      <w:r w:rsidR="00DF071A">
        <w:t>37BC.</w:t>
      </w:r>
    </w:p>
    <w:p w:rsidR="00A570D8" w:rsidRDefault="007E71FB" w:rsidP="00C61E8D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The Government has </w:t>
      </w:r>
      <w:r w:rsidR="009D4B03">
        <w:t xml:space="preserve">so far </w:t>
      </w:r>
      <w:r>
        <w:t>been very conscious of not imposing unnecessary</w:t>
      </w:r>
      <w:r w:rsidR="009D4B03">
        <w:t xml:space="preserve"> procedural burden </w:t>
      </w:r>
      <w:r w:rsidR="008A0802">
        <w:t xml:space="preserve">of obtaining PAN </w:t>
      </w:r>
      <w:r w:rsidR="009D4B03">
        <w:t xml:space="preserve">on NR taxpayers </w:t>
      </w:r>
      <w:r w:rsidR="00C91412">
        <w:t xml:space="preserve">in the interests of projecting India as an attractive place to do business. </w:t>
      </w:r>
      <w:r w:rsidR="00485E4F">
        <w:t xml:space="preserve">The provisions like Rule </w:t>
      </w:r>
      <w:r w:rsidR="00495580">
        <w:t xml:space="preserve">21AB or 37BC were issued pursuant to industry representations </w:t>
      </w:r>
      <w:r w:rsidR="00A570D8">
        <w:t xml:space="preserve">for seeking exemption from obtaining PAN by non-residents. </w:t>
      </w:r>
      <w:r w:rsidR="008A0802">
        <w:t>NR investors (sovereign wealth funds) in specified funds eligible for exemption u/s. 10(4D) and NR investors selling securities listed in recognised stock exchange in IFSC are also exempted from obtaining PAN by s.139A read with Rule 114AAB</w:t>
      </w:r>
      <w:r w:rsidR="00BD24A1">
        <w:t xml:space="preserve"> to facilitate doing business in India without </w:t>
      </w:r>
      <w:r w:rsidR="0065478B">
        <w:t>significant tax hurdles</w:t>
      </w:r>
      <w:r w:rsidR="008A0802">
        <w:t>.</w:t>
      </w:r>
    </w:p>
    <w:p w:rsidR="00EC2011" w:rsidRPr="00F37670" w:rsidRDefault="00EC2011" w:rsidP="00EC2011">
      <w:pPr>
        <w:spacing w:before="120" w:after="240" w:line="240" w:lineRule="auto"/>
        <w:jc w:val="both"/>
        <w:rPr>
          <w:b/>
          <w:bCs/>
        </w:rPr>
      </w:pPr>
      <w:r w:rsidRPr="00F37670">
        <w:rPr>
          <w:b/>
          <w:bCs/>
        </w:rPr>
        <w:t>Notification No 2022/ 9227 dated 12 December 2022 merely provided temporary relief to NR taxpayers not having PAN</w:t>
      </w:r>
    </w:p>
    <w:p w:rsidR="00EC2011" w:rsidRDefault="00EC2011" w:rsidP="00F93B63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It is true that </w:t>
      </w:r>
      <w:r w:rsidR="00F37670">
        <w:t>N</w:t>
      </w:r>
      <w:r w:rsidR="004532DF">
        <w:t xml:space="preserve">otification No 2022/ 9227 provided relaxation exempting NR taxpayers </w:t>
      </w:r>
      <w:r w:rsidR="00F37670">
        <w:t>from</w:t>
      </w:r>
      <w:r w:rsidR="004532DF">
        <w:t xml:space="preserve"> e-fil</w:t>
      </w:r>
      <w:r w:rsidR="00F37670">
        <w:t>ing</w:t>
      </w:r>
      <w:r w:rsidR="004532DF">
        <w:t xml:space="preserve"> Form 10F if such NR does not have PAN and is not required to have PAN under provisions of </w:t>
      </w:r>
      <w:r w:rsidR="00F37670">
        <w:t>the Act</w:t>
      </w:r>
      <w:r w:rsidR="004532DF">
        <w:t>. However, such relaxation is applicable only up</w:t>
      </w:r>
      <w:r w:rsidR="00F37670">
        <w:t xml:space="preserve"> </w:t>
      </w:r>
      <w:r w:rsidR="004532DF">
        <w:t>to 31 March 2023.</w:t>
      </w:r>
      <w:r w:rsidR="00F37670">
        <w:t xml:space="preserve"> There is no clarity </w:t>
      </w:r>
      <w:r w:rsidR="00A31B16">
        <w:t xml:space="preserve">on </w:t>
      </w:r>
      <w:r w:rsidR="00F437F8">
        <w:t>mode of compliance after 31 March 2023</w:t>
      </w:r>
      <w:r w:rsidR="00FF13EA">
        <w:t xml:space="preserve"> for taxpayers not having PAN.</w:t>
      </w:r>
      <w:r w:rsidR="004532DF">
        <w:t xml:space="preserve"> </w:t>
      </w:r>
    </w:p>
    <w:p w:rsidR="00FF13EA" w:rsidRDefault="00FF13EA" w:rsidP="00F93B63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 xml:space="preserve">Even where </w:t>
      </w:r>
      <w:r w:rsidR="001640D7">
        <w:t xml:space="preserve">NR taxpayers do have PAN, many of them face practical challenges in e-filing compliance </w:t>
      </w:r>
      <w:r w:rsidR="009E3C0D">
        <w:t xml:space="preserve">due to </w:t>
      </w:r>
      <w:r w:rsidR="00675470">
        <w:t xml:space="preserve">requirement of </w:t>
      </w:r>
      <w:r w:rsidR="009E3C0D" w:rsidRPr="009E3C0D">
        <w:t>PAN encrypted DSC to electronically verify the Form 10F</w:t>
      </w:r>
      <w:r w:rsidR="00675470">
        <w:t>. NR taxpayers</w:t>
      </w:r>
      <w:r w:rsidR="00A21563">
        <w:t xml:space="preserve"> who do not file returns in India are not accustomed to </w:t>
      </w:r>
      <w:r w:rsidR="006F476D">
        <w:t xml:space="preserve">Indian income tax e-filing compliances </w:t>
      </w:r>
      <w:r w:rsidR="005819C2">
        <w:t xml:space="preserve">and it becomes difficult for the Indian payers to explain </w:t>
      </w:r>
      <w:r w:rsidR="00251B59">
        <w:t xml:space="preserve">the requirement when the NR taxpayers do not have any other </w:t>
      </w:r>
      <w:r w:rsidR="00CA41D2">
        <w:t xml:space="preserve">tax compliance obligation in India. </w:t>
      </w:r>
      <w:r w:rsidR="00692E3D">
        <w:t xml:space="preserve">Practically, </w:t>
      </w:r>
      <w:r w:rsidR="007714FD">
        <w:t>NR taxpayers</w:t>
      </w:r>
      <w:r w:rsidR="00692E3D">
        <w:t xml:space="preserve"> have more comfort in providing the necessary documents (TRC or Form 10F) </w:t>
      </w:r>
      <w:r w:rsidR="001E7D2B">
        <w:t>in hard copy or soft copy format to the Indian payers.</w:t>
      </w:r>
      <w:r w:rsidR="00675470">
        <w:t xml:space="preserve"> </w:t>
      </w:r>
    </w:p>
    <w:p w:rsidR="00EC2011" w:rsidRPr="007714FD" w:rsidRDefault="00EC2011" w:rsidP="007714FD">
      <w:pPr>
        <w:spacing w:before="120" w:after="240" w:line="240" w:lineRule="auto"/>
        <w:jc w:val="both"/>
        <w:rPr>
          <w:b/>
          <w:bCs/>
        </w:rPr>
      </w:pPr>
      <w:r w:rsidRPr="007714FD">
        <w:rPr>
          <w:b/>
          <w:bCs/>
        </w:rPr>
        <w:t>Representation to remove practical difficulty in mandatory e-filing of Form 10F</w:t>
      </w:r>
      <w:r w:rsidR="00686200" w:rsidRPr="007714FD">
        <w:rPr>
          <w:b/>
          <w:bCs/>
        </w:rPr>
        <w:t xml:space="preserve"> by making e-filing of Form 10F optional for NR taxpayers</w:t>
      </w:r>
    </w:p>
    <w:p w:rsidR="004D48FD" w:rsidRDefault="004532DF" w:rsidP="00B80C12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</w:pPr>
      <w:r>
        <w:t>Hence, it is represented  that the</w:t>
      </w:r>
      <w:r w:rsidR="007714FD">
        <w:t xml:space="preserve"> </w:t>
      </w:r>
      <w:r w:rsidR="0038218C">
        <w:t xml:space="preserve">practical difficulty faced by NR taxpayers </w:t>
      </w:r>
      <w:r w:rsidR="0065478B">
        <w:t xml:space="preserve">in mandatory e-filing of Form 10F </w:t>
      </w:r>
      <w:r w:rsidR="0038218C">
        <w:t xml:space="preserve">may be resolved by </w:t>
      </w:r>
      <w:r w:rsidR="004D48FD">
        <w:t xml:space="preserve">adopting </w:t>
      </w:r>
      <w:r w:rsidR="00B80C12">
        <w:t>the following measures</w:t>
      </w:r>
      <w:r w:rsidR="004D48FD">
        <w:t xml:space="preserve"> :-</w:t>
      </w:r>
    </w:p>
    <w:p w:rsidR="00777DE7" w:rsidRDefault="00777DE7" w:rsidP="004532DF">
      <w:pPr>
        <w:pStyle w:val="ListParagraph"/>
        <w:numPr>
          <w:ilvl w:val="1"/>
          <w:numId w:val="1"/>
        </w:numPr>
        <w:spacing w:before="120" w:after="240" w:line="240" w:lineRule="auto"/>
        <w:contextualSpacing w:val="0"/>
        <w:jc w:val="both"/>
      </w:pPr>
      <w:r>
        <w:t xml:space="preserve">Instead of temporary relief till 31 March 2023, NR taxpayers not having PAN and not required to obtain PAN </w:t>
      </w:r>
      <w:r w:rsidR="00EB17BF">
        <w:t xml:space="preserve">under the Act </w:t>
      </w:r>
      <w:r>
        <w:t>may be permanently exempted from e-filing Form 10F</w:t>
      </w:r>
    </w:p>
    <w:p w:rsidR="00E20E8D" w:rsidRDefault="004532DF" w:rsidP="006C10A7">
      <w:pPr>
        <w:pStyle w:val="ListParagraph"/>
        <w:numPr>
          <w:ilvl w:val="1"/>
          <w:numId w:val="1"/>
        </w:numPr>
        <w:spacing w:before="120" w:after="240" w:line="240" w:lineRule="auto"/>
        <w:contextualSpacing w:val="0"/>
        <w:jc w:val="both"/>
      </w:pPr>
      <w:r>
        <w:t xml:space="preserve">Option may be given to NR taxpayers </w:t>
      </w:r>
      <w:r w:rsidR="007F5132">
        <w:t xml:space="preserve">having PAN </w:t>
      </w:r>
      <w:r>
        <w:t xml:space="preserve">to </w:t>
      </w:r>
      <w:r w:rsidR="007F5132">
        <w:t>furnish</w:t>
      </w:r>
      <w:r>
        <w:t xml:space="preserve"> Form 10F electronically</w:t>
      </w:r>
      <w:r w:rsidR="007F5132">
        <w:t xml:space="preserve"> to Tax Department</w:t>
      </w:r>
      <w:r>
        <w:t xml:space="preserve"> or in hard/ soft copy </w:t>
      </w:r>
      <w:r w:rsidR="007F5132">
        <w:t xml:space="preserve">to </w:t>
      </w:r>
      <w:proofErr w:type="spellStart"/>
      <w:r w:rsidR="007F5132">
        <w:t>deductors</w:t>
      </w:r>
      <w:proofErr w:type="spellEnd"/>
      <w:r w:rsidR="007F5132">
        <w:t xml:space="preserve"> </w:t>
      </w:r>
      <w:r>
        <w:t xml:space="preserve">as was being furnished prior to e-filing mandate. </w:t>
      </w:r>
      <w:r w:rsidR="00497F4C">
        <w:t>This</w:t>
      </w:r>
      <w:r>
        <w:t xml:space="preserve"> </w:t>
      </w:r>
      <w:r w:rsidR="00497F4C">
        <w:t>will align</w:t>
      </w:r>
      <w:r>
        <w:t xml:space="preserve"> with international practice where e-filing </w:t>
      </w:r>
      <w:r w:rsidR="00777DE7">
        <w:t xml:space="preserve">of TRC </w:t>
      </w:r>
      <w:r>
        <w:t>is not mandated to claim treaty reliefs.</w:t>
      </w:r>
      <w:r w:rsidR="00EB17BF">
        <w:t xml:space="preserve"> </w:t>
      </w:r>
      <w:r w:rsidR="006C10A7">
        <w:t>Alternatively, e</w:t>
      </w:r>
      <w:r w:rsidR="000A362C">
        <w:t>nable the payer/</w:t>
      </w:r>
      <w:proofErr w:type="spellStart"/>
      <w:r w:rsidR="000A362C">
        <w:t>deductor</w:t>
      </w:r>
      <w:proofErr w:type="spellEnd"/>
      <w:r w:rsidR="000A362C">
        <w:t xml:space="preserve"> to </w:t>
      </w:r>
      <w:r w:rsidR="00BC348B">
        <w:t>e-file Form 10F of the NR payee/</w:t>
      </w:r>
      <w:proofErr w:type="spellStart"/>
      <w:r w:rsidR="00BC348B">
        <w:t>deductee</w:t>
      </w:r>
      <w:proofErr w:type="spellEnd"/>
      <w:r w:rsidR="00BC348B">
        <w:t xml:space="preserve"> as part of Form 15CA compliance</w:t>
      </w:r>
    </w:p>
    <w:p w:rsidR="0017034F" w:rsidRDefault="0005609C" w:rsidP="00C61E8D">
      <w:pPr>
        <w:spacing w:before="120" w:after="240" w:line="240" w:lineRule="auto"/>
        <w:jc w:val="both"/>
      </w:pPr>
      <w:r>
        <w:t xml:space="preserve">We request the CBDT to consider the above </w:t>
      </w:r>
      <w:r w:rsidR="004B10A1">
        <w:t xml:space="preserve">representations favourably and resolve the practical difficulty faced by NR taxpayers on </w:t>
      </w:r>
      <w:r w:rsidR="007E3E28">
        <w:t xml:space="preserve">an </w:t>
      </w:r>
      <w:r w:rsidR="004B10A1">
        <w:t>expeditious basis</w:t>
      </w:r>
      <w:r w:rsidR="001E7121">
        <w:t xml:space="preserve">. This is in view of the fact any hurdle on TDS compliance </w:t>
      </w:r>
      <w:r w:rsidR="00C61E8D">
        <w:t>u/s. 195 impacts the day to day regular business transactions of the industry.</w:t>
      </w:r>
      <w:r w:rsidR="004D4026">
        <w:t xml:space="preserve"> </w:t>
      </w:r>
    </w:p>
    <w:p w:rsidR="00904B34" w:rsidRDefault="00904B34" w:rsidP="00C61E8D">
      <w:pPr>
        <w:spacing w:before="120" w:after="240" w:line="240" w:lineRule="auto"/>
        <w:jc w:val="both"/>
      </w:pPr>
    </w:p>
    <w:sectPr w:rsidR="00904B34" w:rsidSect="00E644CC">
      <w:headerReference w:type="default" r:id="rId7"/>
      <w:footerReference w:type="default" r:id="rId8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42" w:rsidRDefault="004C6642" w:rsidP="0019114C">
      <w:pPr>
        <w:spacing w:after="0" w:line="240" w:lineRule="auto"/>
      </w:pPr>
      <w:r>
        <w:separator/>
      </w:r>
    </w:p>
  </w:endnote>
  <w:endnote w:type="continuationSeparator" w:id="0">
    <w:p w:rsidR="004C6642" w:rsidRDefault="004C6642" w:rsidP="0019114C">
      <w:pPr>
        <w:spacing w:after="0" w:line="240" w:lineRule="auto"/>
      </w:pPr>
      <w:r>
        <w:continuationSeparator/>
      </w:r>
    </w:p>
  </w:endnote>
  <w:endnote w:type="continuationNotice" w:id="1">
    <w:p w:rsidR="004C6642" w:rsidRDefault="004C664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55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E6B3B" w:rsidRDefault="00C60D99" w:rsidP="00C60D99">
            <w:pPr>
              <w:pStyle w:val="Footer"/>
              <w:jc w:val="both"/>
            </w:pPr>
            <w:r>
              <w:tab/>
            </w:r>
            <w:r>
              <w:tab/>
            </w:r>
            <w:r w:rsidR="00EE6B3B">
              <w:t xml:space="preserve">Page </w:t>
            </w:r>
            <w:r w:rsidR="00092C3A">
              <w:rPr>
                <w:b/>
                <w:bCs/>
                <w:sz w:val="24"/>
                <w:szCs w:val="24"/>
              </w:rPr>
              <w:fldChar w:fldCharType="begin"/>
            </w:r>
            <w:r w:rsidR="00EE6B3B">
              <w:rPr>
                <w:b/>
                <w:bCs/>
              </w:rPr>
              <w:instrText xml:space="preserve"> PAGE </w:instrText>
            </w:r>
            <w:r w:rsidR="00092C3A">
              <w:rPr>
                <w:b/>
                <w:bCs/>
                <w:sz w:val="24"/>
                <w:szCs w:val="24"/>
              </w:rPr>
              <w:fldChar w:fldCharType="separate"/>
            </w:r>
            <w:r w:rsidR="00E644CC">
              <w:rPr>
                <w:b/>
                <w:bCs/>
                <w:noProof/>
              </w:rPr>
              <w:t>3</w:t>
            </w:r>
            <w:r w:rsidR="00092C3A">
              <w:rPr>
                <w:b/>
                <w:bCs/>
                <w:sz w:val="24"/>
                <w:szCs w:val="24"/>
              </w:rPr>
              <w:fldChar w:fldCharType="end"/>
            </w:r>
            <w:r w:rsidR="00EE6B3B">
              <w:t xml:space="preserve"> of </w:t>
            </w:r>
            <w:r w:rsidR="00092C3A">
              <w:rPr>
                <w:b/>
                <w:bCs/>
                <w:sz w:val="24"/>
                <w:szCs w:val="24"/>
              </w:rPr>
              <w:fldChar w:fldCharType="begin"/>
            </w:r>
            <w:r w:rsidR="00EE6B3B">
              <w:rPr>
                <w:b/>
                <w:bCs/>
              </w:rPr>
              <w:instrText xml:space="preserve"> NUMPAGES  </w:instrText>
            </w:r>
            <w:r w:rsidR="00092C3A">
              <w:rPr>
                <w:b/>
                <w:bCs/>
                <w:sz w:val="24"/>
                <w:szCs w:val="24"/>
              </w:rPr>
              <w:fldChar w:fldCharType="separate"/>
            </w:r>
            <w:r w:rsidR="00E644CC">
              <w:rPr>
                <w:b/>
                <w:bCs/>
                <w:noProof/>
              </w:rPr>
              <w:t>3</w:t>
            </w:r>
            <w:r w:rsidR="00092C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B3B" w:rsidRDefault="00EE6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42" w:rsidRDefault="004C6642" w:rsidP="0019114C">
      <w:pPr>
        <w:spacing w:after="0" w:line="240" w:lineRule="auto"/>
      </w:pPr>
      <w:r>
        <w:separator/>
      </w:r>
    </w:p>
  </w:footnote>
  <w:footnote w:type="continuationSeparator" w:id="0">
    <w:p w:rsidR="004C6642" w:rsidRDefault="004C6642" w:rsidP="0019114C">
      <w:pPr>
        <w:spacing w:after="0" w:line="240" w:lineRule="auto"/>
      </w:pPr>
      <w:r>
        <w:continuationSeparator/>
      </w:r>
    </w:p>
  </w:footnote>
  <w:footnote w:type="continuationNotice" w:id="1">
    <w:p w:rsidR="004C6642" w:rsidRDefault="004C664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C" w:rsidRPr="00E644CC" w:rsidRDefault="00E644CC" w:rsidP="00E644CC">
    <w:pPr>
      <w:pStyle w:val="Header"/>
      <w:ind w:right="-718"/>
      <w:rPr>
        <w:rFonts w:cstheme="minorHAnsi"/>
        <w:sz w:val="18"/>
        <w:szCs w:val="18"/>
      </w:rPr>
    </w:pPr>
    <w:r w:rsidRPr="00B07335">
      <w:rPr>
        <w:b/>
        <w:noProof/>
        <w:lang w:bidi="ar-SA"/>
      </w:rPr>
      <w:drawing>
        <wp:inline distT="0" distB="0" distL="0" distR="0">
          <wp:extent cx="581025" cy="390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17648">
      <w:t xml:space="preserve"> </w:t>
    </w:r>
    <w:r>
      <w:t xml:space="preserve"> </w:t>
    </w:r>
    <w:r>
      <w:tab/>
      <w:t xml:space="preserve">                                                                                                       </w:t>
    </w:r>
    <w:r w:rsidRPr="00017648">
      <w:rPr>
        <w:rFonts w:cstheme="minorHAnsi"/>
        <w:sz w:val="18"/>
        <w:szCs w:val="18"/>
      </w:rPr>
      <w:t>Bombay Chamber of Commerce and Industry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472"/>
    <w:multiLevelType w:val="hybridMultilevel"/>
    <w:tmpl w:val="7DF830F0"/>
    <w:lvl w:ilvl="0" w:tplc="C0C0014A">
      <w:start w:val="1"/>
      <w:numFmt w:val="lowerRoman"/>
      <w:lvlText w:val="(%1)"/>
      <w:lvlJc w:val="left"/>
      <w:pPr>
        <w:ind w:left="14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0" w:hanging="360"/>
      </w:pPr>
    </w:lvl>
    <w:lvl w:ilvl="2" w:tplc="4009001B" w:tentative="1">
      <w:start w:val="1"/>
      <w:numFmt w:val="lowerRoman"/>
      <w:lvlText w:val="%3."/>
      <w:lvlJc w:val="right"/>
      <w:pPr>
        <w:ind w:left="2930" w:hanging="180"/>
      </w:pPr>
    </w:lvl>
    <w:lvl w:ilvl="3" w:tplc="4009000F" w:tentative="1">
      <w:start w:val="1"/>
      <w:numFmt w:val="decimal"/>
      <w:lvlText w:val="%4."/>
      <w:lvlJc w:val="left"/>
      <w:pPr>
        <w:ind w:left="3650" w:hanging="360"/>
      </w:pPr>
    </w:lvl>
    <w:lvl w:ilvl="4" w:tplc="40090019" w:tentative="1">
      <w:start w:val="1"/>
      <w:numFmt w:val="lowerLetter"/>
      <w:lvlText w:val="%5."/>
      <w:lvlJc w:val="left"/>
      <w:pPr>
        <w:ind w:left="4370" w:hanging="360"/>
      </w:pPr>
    </w:lvl>
    <w:lvl w:ilvl="5" w:tplc="4009001B" w:tentative="1">
      <w:start w:val="1"/>
      <w:numFmt w:val="lowerRoman"/>
      <w:lvlText w:val="%6."/>
      <w:lvlJc w:val="right"/>
      <w:pPr>
        <w:ind w:left="5090" w:hanging="180"/>
      </w:pPr>
    </w:lvl>
    <w:lvl w:ilvl="6" w:tplc="4009000F" w:tentative="1">
      <w:start w:val="1"/>
      <w:numFmt w:val="decimal"/>
      <w:lvlText w:val="%7."/>
      <w:lvlJc w:val="left"/>
      <w:pPr>
        <w:ind w:left="5810" w:hanging="360"/>
      </w:pPr>
    </w:lvl>
    <w:lvl w:ilvl="7" w:tplc="40090019" w:tentative="1">
      <w:start w:val="1"/>
      <w:numFmt w:val="lowerLetter"/>
      <w:lvlText w:val="%8."/>
      <w:lvlJc w:val="left"/>
      <w:pPr>
        <w:ind w:left="6530" w:hanging="360"/>
      </w:pPr>
    </w:lvl>
    <w:lvl w:ilvl="8" w:tplc="40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C7766E5"/>
    <w:multiLevelType w:val="hybridMultilevel"/>
    <w:tmpl w:val="34F06DDE"/>
    <w:lvl w:ilvl="0" w:tplc="4009000F">
      <w:start w:val="1"/>
      <w:numFmt w:val="decimal"/>
      <w:lvlText w:val="%1."/>
      <w:lvlJc w:val="left"/>
      <w:pPr>
        <w:ind w:left="770" w:hanging="360"/>
      </w:pPr>
    </w:lvl>
    <w:lvl w:ilvl="1" w:tplc="40090019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3EA4196"/>
    <w:multiLevelType w:val="hybridMultilevel"/>
    <w:tmpl w:val="9F761CAC"/>
    <w:lvl w:ilvl="0" w:tplc="4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647D6C84"/>
    <w:multiLevelType w:val="hybridMultilevel"/>
    <w:tmpl w:val="9AA681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0025B"/>
    <w:multiLevelType w:val="multilevel"/>
    <w:tmpl w:val="1230F71A"/>
    <w:lvl w:ilvl="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941B1"/>
    <w:rsid w:val="000152BD"/>
    <w:rsid w:val="00025DC4"/>
    <w:rsid w:val="00027560"/>
    <w:rsid w:val="0005609C"/>
    <w:rsid w:val="00060C29"/>
    <w:rsid w:val="00066646"/>
    <w:rsid w:val="00067891"/>
    <w:rsid w:val="00080B63"/>
    <w:rsid w:val="00081FB7"/>
    <w:rsid w:val="000852A7"/>
    <w:rsid w:val="00092C3A"/>
    <w:rsid w:val="000A02CF"/>
    <w:rsid w:val="000A0764"/>
    <w:rsid w:val="000A362C"/>
    <w:rsid w:val="000B0BA0"/>
    <w:rsid w:val="000C4EC9"/>
    <w:rsid w:val="000C754F"/>
    <w:rsid w:val="000E6F8C"/>
    <w:rsid w:val="000F2A5F"/>
    <w:rsid w:val="000F688A"/>
    <w:rsid w:val="001205DE"/>
    <w:rsid w:val="00132CD5"/>
    <w:rsid w:val="00141D94"/>
    <w:rsid w:val="001640D7"/>
    <w:rsid w:val="0017034F"/>
    <w:rsid w:val="0018666F"/>
    <w:rsid w:val="0019114C"/>
    <w:rsid w:val="001941B1"/>
    <w:rsid w:val="00194D39"/>
    <w:rsid w:val="001D282F"/>
    <w:rsid w:val="001E2206"/>
    <w:rsid w:val="001E7121"/>
    <w:rsid w:val="001E7D2B"/>
    <w:rsid w:val="00203ABE"/>
    <w:rsid w:val="002255A9"/>
    <w:rsid w:val="002265EE"/>
    <w:rsid w:val="00233AD2"/>
    <w:rsid w:val="00234326"/>
    <w:rsid w:val="00237B57"/>
    <w:rsid w:val="00251B59"/>
    <w:rsid w:val="00257C91"/>
    <w:rsid w:val="00264E32"/>
    <w:rsid w:val="00266603"/>
    <w:rsid w:val="00271F1B"/>
    <w:rsid w:val="00275F24"/>
    <w:rsid w:val="002822E5"/>
    <w:rsid w:val="0028634C"/>
    <w:rsid w:val="002C381C"/>
    <w:rsid w:val="002D6F91"/>
    <w:rsid w:val="002D7A14"/>
    <w:rsid w:val="002E18FD"/>
    <w:rsid w:val="002E3B42"/>
    <w:rsid w:val="002E465A"/>
    <w:rsid w:val="002F47F1"/>
    <w:rsid w:val="002F7EFE"/>
    <w:rsid w:val="003144C7"/>
    <w:rsid w:val="00330B8B"/>
    <w:rsid w:val="003346D0"/>
    <w:rsid w:val="00345348"/>
    <w:rsid w:val="003547E2"/>
    <w:rsid w:val="00363450"/>
    <w:rsid w:val="00367BD0"/>
    <w:rsid w:val="00370A0C"/>
    <w:rsid w:val="00380EDF"/>
    <w:rsid w:val="0038218C"/>
    <w:rsid w:val="00383BCF"/>
    <w:rsid w:val="003C3E38"/>
    <w:rsid w:val="003D06E5"/>
    <w:rsid w:val="003D0B82"/>
    <w:rsid w:val="004031BC"/>
    <w:rsid w:val="00427B38"/>
    <w:rsid w:val="004349FF"/>
    <w:rsid w:val="00436AA2"/>
    <w:rsid w:val="0044124D"/>
    <w:rsid w:val="00446DBF"/>
    <w:rsid w:val="004532DF"/>
    <w:rsid w:val="004620BB"/>
    <w:rsid w:val="0046624C"/>
    <w:rsid w:val="00471BF1"/>
    <w:rsid w:val="004726BC"/>
    <w:rsid w:val="00473B91"/>
    <w:rsid w:val="00485E4F"/>
    <w:rsid w:val="00495580"/>
    <w:rsid w:val="00497F4C"/>
    <w:rsid w:val="004A1774"/>
    <w:rsid w:val="004A444D"/>
    <w:rsid w:val="004B10A1"/>
    <w:rsid w:val="004B2316"/>
    <w:rsid w:val="004C6642"/>
    <w:rsid w:val="004D4026"/>
    <w:rsid w:val="004D48FD"/>
    <w:rsid w:val="004E54E5"/>
    <w:rsid w:val="00547979"/>
    <w:rsid w:val="00563F4F"/>
    <w:rsid w:val="0058067C"/>
    <w:rsid w:val="005819C2"/>
    <w:rsid w:val="00590382"/>
    <w:rsid w:val="005938D2"/>
    <w:rsid w:val="005A11ED"/>
    <w:rsid w:val="005A40A7"/>
    <w:rsid w:val="005B6A56"/>
    <w:rsid w:val="005C10E0"/>
    <w:rsid w:val="005C7437"/>
    <w:rsid w:val="005D4C61"/>
    <w:rsid w:val="005F67B4"/>
    <w:rsid w:val="005F67F1"/>
    <w:rsid w:val="005F6C0D"/>
    <w:rsid w:val="00603C63"/>
    <w:rsid w:val="00613A65"/>
    <w:rsid w:val="00620CDE"/>
    <w:rsid w:val="006407AD"/>
    <w:rsid w:val="00643149"/>
    <w:rsid w:val="00653EB1"/>
    <w:rsid w:val="0065478B"/>
    <w:rsid w:val="006577ED"/>
    <w:rsid w:val="00667964"/>
    <w:rsid w:val="00673010"/>
    <w:rsid w:val="00674988"/>
    <w:rsid w:val="00675470"/>
    <w:rsid w:val="00686200"/>
    <w:rsid w:val="00691ABC"/>
    <w:rsid w:val="00692E3D"/>
    <w:rsid w:val="006A2E07"/>
    <w:rsid w:val="006C10A7"/>
    <w:rsid w:val="006C227E"/>
    <w:rsid w:val="006C4219"/>
    <w:rsid w:val="006D3CAD"/>
    <w:rsid w:val="006E79AF"/>
    <w:rsid w:val="006F476D"/>
    <w:rsid w:val="00710F79"/>
    <w:rsid w:val="00712730"/>
    <w:rsid w:val="00733D8A"/>
    <w:rsid w:val="00755B04"/>
    <w:rsid w:val="00760320"/>
    <w:rsid w:val="007641F4"/>
    <w:rsid w:val="00765ECD"/>
    <w:rsid w:val="007714FD"/>
    <w:rsid w:val="00777DE7"/>
    <w:rsid w:val="007807DD"/>
    <w:rsid w:val="007A193B"/>
    <w:rsid w:val="007A1F77"/>
    <w:rsid w:val="007C427E"/>
    <w:rsid w:val="007C7100"/>
    <w:rsid w:val="007E2CE9"/>
    <w:rsid w:val="007E3E28"/>
    <w:rsid w:val="007E71FB"/>
    <w:rsid w:val="007F0DE9"/>
    <w:rsid w:val="007F5132"/>
    <w:rsid w:val="0080065D"/>
    <w:rsid w:val="00802FA3"/>
    <w:rsid w:val="008257FD"/>
    <w:rsid w:val="00827663"/>
    <w:rsid w:val="008318B9"/>
    <w:rsid w:val="008422C8"/>
    <w:rsid w:val="00846208"/>
    <w:rsid w:val="00853F17"/>
    <w:rsid w:val="008616AA"/>
    <w:rsid w:val="00897D98"/>
    <w:rsid w:val="008A0802"/>
    <w:rsid w:val="008A116C"/>
    <w:rsid w:val="008B78D7"/>
    <w:rsid w:val="008C347E"/>
    <w:rsid w:val="008C51F1"/>
    <w:rsid w:val="008E1086"/>
    <w:rsid w:val="008E41F4"/>
    <w:rsid w:val="008F2BF9"/>
    <w:rsid w:val="008F6E3B"/>
    <w:rsid w:val="00904B34"/>
    <w:rsid w:val="0091117C"/>
    <w:rsid w:val="00934609"/>
    <w:rsid w:val="009678A9"/>
    <w:rsid w:val="00970CEB"/>
    <w:rsid w:val="0097701C"/>
    <w:rsid w:val="00980723"/>
    <w:rsid w:val="00990B15"/>
    <w:rsid w:val="0099753C"/>
    <w:rsid w:val="009A2109"/>
    <w:rsid w:val="009B75F6"/>
    <w:rsid w:val="009B7ED7"/>
    <w:rsid w:val="009C1B4A"/>
    <w:rsid w:val="009D4B03"/>
    <w:rsid w:val="009E011F"/>
    <w:rsid w:val="009E3C0D"/>
    <w:rsid w:val="009F3D0D"/>
    <w:rsid w:val="009F6E49"/>
    <w:rsid w:val="00A11E4E"/>
    <w:rsid w:val="00A140AA"/>
    <w:rsid w:val="00A16CBB"/>
    <w:rsid w:val="00A21563"/>
    <w:rsid w:val="00A31B16"/>
    <w:rsid w:val="00A570D8"/>
    <w:rsid w:val="00A80A37"/>
    <w:rsid w:val="00A90159"/>
    <w:rsid w:val="00AC4326"/>
    <w:rsid w:val="00AC56B7"/>
    <w:rsid w:val="00AD646D"/>
    <w:rsid w:val="00AF75FA"/>
    <w:rsid w:val="00B045BC"/>
    <w:rsid w:val="00B3612A"/>
    <w:rsid w:val="00B372AC"/>
    <w:rsid w:val="00B465FA"/>
    <w:rsid w:val="00B643FE"/>
    <w:rsid w:val="00B71ABA"/>
    <w:rsid w:val="00B80C12"/>
    <w:rsid w:val="00B923D8"/>
    <w:rsid w:val="00BB758F"/>
    <w:rsid w:val="00BC096F"/>
    <w:rsid w:val="00BC348B"/>
    <w:rsid w:val="00BD24A1"/>
    <w:rsid w:val="00BD2976"/>
    <w:rsid w:val="00BD3F33"/>
    <w:rsid w:val="00BE53C1"/>
    <w:rsid w:val="00C0581A"/>
    <w:rsid w:val="00C13352"/>
    <w:rsid w:val="00C32D10"/>
    <w:rsid w:val="00C344BA"/>
    <w:rsid w:val="00C477E5"/>
    <w:rsid w:val="00C57E2E"/>
    <w:rsid w:val="00C60D99"/>
    <w:rsid w:val="00C61E8D"/>
    <w:rsid w:val="00C73FDF"/>
    <w:rsid w:val="00C87797"/>
    <w:rsid w:val="00C91412"/>
    <w:rsid w:val="00C9485E"/>
    <w:rsid w:val="00CA41D2"/>
    <w:rsid w:val="00CA4462"/>
    <w:rsid w:val="00CE26ED"/>
    <w:rsid w:val="00CE3F43"/>
    <w:rsid w:val="00CF08C2"/>
    <w:rsid w:val="00CF1B36"/>
    <w:rsid w:val="00CF7407"/>
    <w:rsid w:val="00D10E8D"/>
    <w:rsid w:val="00D27255"/>
    <w:rsid w:val="00D34A81"/>
    <w:rsid w:val="00D42FAB"/>
    <w:rsid w:val="00D46C38"/>
    <w:rsid w:val="00D54B96"/>
    <w:rsid w:val="00D6277F"/>
    <w:rsid w:val="00D93CE6"/>
    <w:rsid w:val="00DA095C"/>
    <w:rsid w:val="00DB6845"/>
    <w:rsid w:val="00DE4D3B"/>
    <w:rsid w:val="00DF071A"/>
    <w:rsid w:val="00DF710A"/>
    <w:rsid w:val="00E20980"/>
    <w:rsid w:val="00E20E8D"/>
    <w:rsid w:val="00E26080"/>
    <w:rsid w:val="00E26496"/>
    <w:rsid w:val="00E26B90"/>
    <w:rsid w:val="00E26BFD"/>
    <w:rsid w:val="00E31533"/>
    <w:rsid w:val="00E644CC"/>
    <w:rsid w:val="00E735F4"/>
    <w:rsid w:val="00E81031"/>
    <w:rsid w:val="00E963C9"/>
    <w:rsid w:val="00EB0CAF"/>
    <w:rsid w:val="00EB17BF"/>
    <w:rsid w:val="00EB1AB9"/>
    <w:rsid w:val="00EC2011"/>
    <w:rsid w:val="00EC24B4"/>
    <w:rsid w:val="00ED0CEE"/>
    <w:rsid w:val="00ED12BB"/>
    <w:rsid w:val="00ED13DC"/>
    <w:rsid w:val="00ED1E30"/>
    <w:rsid w:val="00EE6B3B"/>
    <w:rsid w:val="00EF48BE"/>
    <w:rsid w:val="00F02B88"/>
    <w:rsid w:val="00F07496"/>
    <w:rsid w:val="00F327B8"/>
    <w:rsid w:val="00F35484"/>
    <w:rsid w:val="00F37670"/>
    <w:rsid w:val="00F40EF3"/>
    <w:rsid w:val="00F437F8"/>
    <w:rsid w:val="00F438E1"/>
    <w:rsid w:val="00F44380"/>
    <w:rsid w:val="00F67D64"/>
    <w:rsid w:val="00F75B2D"/>
    <w:rsid w:val="00F81500"/>
    <w:rsid w:val="00F92ED7"/>
    <w:rsid w:val="00F9747C"/>
    <w:rsid w:val="00FD5A29"/>
    <w:rsid w:val="00FE0948"/>
    <w:rsid w:val="00FE6F49"/>
    <w:rsid w:val="00FF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ell bullets,Noise heading,RUS List,Number abc,List Paragraph1,123 List Paragraph,Bullet Paragraph,FooterText,numbered,Paragraphe de liste1,列出段落,列出段落1,Bulletr List Paragraph,List Paragraph2,List Paragraph21,Parágrafo da Lista1"/>
    <w:basedOn w:val="Normal"/>
    <w:link w:val="ListParagraphChar"/>
    <w:uiPriority w:val="34"/>
    <w:qFormat/>
    <w:rsid w:val="005F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4C"/>
  </w:style>
  <w:style w:type="paragraph" w:styleId="Footer">
    <w:name w:val="footer"/>
    <w:basedOn w:val="Normal"/>
    <w:link w:val="FooterChar"/>
    <w:uiPriority w:val="99"/>
    <w:unhideWhenUsed/>
    <w:rsid w:val="0019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4C"/>
  </w:style>
  <w:style w:type="paragraph" w:styleId="Revision">
    <w:name w:val="Revision"/>
    <w:hidden/>
    <w:uiPriority w:val="99"/>
    <w:semiHidden/>
    <w:rsid w:val="00E963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3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F4F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F4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F4F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9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9"/>
    <w:rPr>
      <w:rFonts w:ascii="Tahoma" w:hAnsi="Tahoma" w:cs="Mangal"/>
      <w:sz w:val="16"/>
      <w:szCs w:val="14"/>
    </w:rPr>
  </w:style>
  <w:style w:type="paragraph" w:customStyle="1" w:styleId="ng-star-inserted">
    <w:name w:val="ng-star-inserted"/>
    <w:basedOn w:val="Normal"/>
    <w:rsid w:val="004D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ListParagraphChar">
    <w:name w:val="List Paragraph Char"/>
    <w:aliases w:val="Cell bullets Char,Noise heading Char,RUS List Char,Number abc Char,List Paragraph1 Char,123 List Paragraph Char,Bullet Paragraph Char,FooterText Char,numbered Char,Paragraphe de liste1 Char,列出段落 Char,列出段落1 Char,List Paragraph2 Char"/>
    <w:basedOn w:val="DefaultParagraphFont"/>
    <w:link w:val="ListParagraph"/>
    <w:uiPriority w:val="34"/>
    <w:locked/>
    <w:rsid w:val="0045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Ravikant P Kamath</dc:creator>
  <cp:lastModifiedBy>R Ganesh</cp:lastModifiedBy>
  <cp:revision>2</cp:revision>
  <dcterms:created xsi:type="dcterms:W3CDTF">2023-03-17T06:08:00Z</dcterms:created>
  <dcterms:modified xsi:type="dcterms:W3CDTF">2023-03-17T06:08:00Z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2022-08-02T03:30:45Z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6e75dca4-3960-4863-a0f9-8efcc7f72f85</vt:lpwstr>
  </property>
  <property fmtid="{D5CDD505-2E9C-101B-9397-08002B2CF9AE}" pid="8" name="MSIP_Label_ea60d57e-af5b-4752-ac57-3e4f28ca11dc_ContentBits">
    <vt:lpwstr>0</vt:lpwstr>
  </property>
</Properties>
</file>