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CC" w:rsidRPr="00CE3F04" w:rsidRDefault="00C54CF5" w:rsidP="00475852">
      <w:pPr>
        <w:spacing w:after="0"/>
        <w:jc w:val="center"/>
        <w:rPr>
          <w:rFonts w:ascii="Cambria" w:hAnsi="Cambria" w:cs="Arial"/>
          <w:b/>
          <w:color w:val="000000"/>
        </w:rPr>
      </w:pPr>
      <w:r w:rsidRPr="00CE3F04">
        <w:rPr>
          <w:rFonts w:ascii="Cambria" w:hAnsi="Cambria" w:cs="Arial"/>
          <w:b/>
          <w:color w:val="000000"/>
        </w:rPr>
        <w:t xml:space="preserve">THE </w:t>
      </w:r>
      <w:r w:rsidR="00BB65CC" w:rsidRPr="00CE3F04">
        <w:rPr>
          <w:rFonts w:ascii="Cambria" w:hAnsi="Cambria" w:cs="Arial"/>
          <w:b/>
          <w:color w:val="000000"/>
        </w:rPr>
        <w:t xml:space="preserve">BOMBAY </w:t>
      </w:r>
      <w:r w:rsidR="002E6A43" w:rsidRPr="00CE3F04">
        <w:rPr>
          <w:rFonts w:ascii="Cambria" w:hAnsi="Cambria" w:cs="Arial"/>
          <w:b/>
          <w:color w:val="000000"/>
        </w:rPr>
        <w:t>CHAMBER</w:t>
      </w:r>
      <w:r w:rsidR="00BB65CC" w:rsidRPr="00CE3F04">
        <w:rPr>
          <w:rFonts w:ascii="Cambria" w:hAnsi="Cambria" w:cs="Arial"/>
          <w:b/>
          <w:color w:val="000000"/>
        </w:rPr>
        <w:t xml:space="preserve"> OF COMMERCE &amp; INDUSTR</w:t>
      </w:r>
      <w:r w:rsidR="005D6F85" w:rsidRPr="00CE3F04">
        <w:rPr>
          <w:rFonts w:ascii="Cambria" w:hAnsi="Cambria" w:cs="Arial"/>
          <w:b/>
          <w:color w:val="000000"/>
        </w:rPr>
        <w:t>Y</w:t>
      </w:r>
    </w:p>
    <w:p w:rsidR="00BB65CC" w:rsidRPr="00CE3F04" w:rsidRDefault="00D114DA" w:rsidP="00475852">
      <w:pPr>
        <w:spacing w:after="0"/>
        <w:jc w:val="center"/>
        <w:rPr>
          <w:rFonts w:ascii="Cambria" w:hAnsi="Cambria" w:cs="Arial"/>
          <w:b/>
          <w:color w:val="000000"/>
        </w:rPr>
      </w:pPr>
      <w:r w:rsidRPr="00CE3F04">
        <w:rPr>
          <w:rFonts w:ascii="Cambria" w:hAnsi="Cambria" w:cs="Arial"/>
          <w:b/>
          <w:color w:val="000000"/>
        </w:rPr>
        <w:t xml:space="preserve">POST-BUDGET </w:t>
      </w:r>
      <w:r w:rsidR="00BB65CC" w:rsidRPr="00CE3F04">
        <w:rPr>
          <w:rFonts w:ascii="Cambria" w:hAnsi="Cambria" w:cs="Arial"/>
          <w:b/>
          <w:color w:val="000000"/>
        </w:rPr>
        <w:t>MEMORANDUM</w:t>
      </w:r>
      <w:r w:rsidR="004900B0" w:rsidRPr="00CE3F04">
        <w:rPr>
          <w:rFonts w:ascii="Cambria" w:hAnsi="Cambria" w:cs="Arial"/>
          <w:b/>
          <w:color w:val="000000"/>
        </w:rPr>
        <w:t xml:space="preserve"> 202</w:t>
      </w:r>
      <w:r w:rsidR="00726116" w:rsidRPr="00CE3F04">
        <w:rPr>
          <w:rFonts w:ascii="Cambria" w:hAnsi="Cambria" w:cs="Arial"/>
          <w:b/>
          <w:color w:val="000000"/>
        </w:rPr>
        <w:t>3</w:t>
      </w:r>
      <w:r w:rsidR="004900B0" w:rsidRPr="00CE3F04">
        <w:rPr>
          <w:rFonts w:ascii="Cambria" w:hAnsi="Cambria" w:cs="Arial"/>
          <w:b/>
          <w:color w:val="000000"/>
        </w:rPr>
        <w:t>-2</w:t>
      </w:r>
      <w:r w:rsidR="00726116" w:rsidRPr="00CE3F04">
        <w:rPr>
          <w:rFonts w:ascii="Cambria" w:hAnsi="Cambria" w:cs="Arial"/>
          <w:b/>
          <w:color w:val="000000"/>
        </w:rPr>
        <w:t>4</w:t>
      </w:r>
    </w:p>
    <w:p w:rsidR="004326DE" w:rsidRPr="00CE3F04" w:rsidRDefault="004900B0" w:rsidP="00475852">
      <w:pPr>
        <w:spacing w:after="0"/>
        <w:jc w:val="center"/>
        <w:rPr>
          <w:rFonts w:ascii="Cambria" w:hAnsi="Cambria" w:cs="Arial"/>
          <w:b/>
          <w:color w:val="000000"/>
        </w:rPr>
      </w:pPr>
      <w:r w:rsidRPr="00CE3F04">
        <w:rPr>
          <w:rFonts w:ascii="Cambria" w:hAnsi="Cambria" w:cs="Arial"/>
          <w:b/>
          <w:color w:val="000000"/>
        </w:rPr>
        <w:t>INDIRECT TAXES</w:t>
      </w:r>
      <w:r w:rsidR="00CE3F04">
        <w:rPr>
          <w:rFonts w:ascii="Cambria" w:hAnsi="Cambria" w:cs="Arial"/>
          <w:b/>
          <w:color w:val="000000"/>
        </w:rPr>
        <w:t xml:space="preserve"> - INDEX</w:t>
      </w:r>
    </w:p>
    <w:tbl>
      <w:tblPr>
        <w:tblStyle w:val="TableGrid"/>
        <w:tblW w:w="0" w:type="auto"/>
        <w:tblInd w:w="817" w:type="dxa"/>
        <w:tblLook w:val="04A0"/>
      </w:tblPr>
      <w:tblGrid>
        <w:gridCol w:w="837"/>
        <w:gridCol w:w="11921"/>
        <w:gridCol w:w="1275"/>
      </w:tblGrid>
      <w:tr w:rsidR="00950484" w:rsidRPr="00CE3F04" w:rsidTr="00CE3F04">
        <w:tc>
          <w:tcPr>
            <w:tcW w:w="837" w:type="dxa"/>
          </w:tcPr>
          <w:p w:rsidR="00950484" w:rsidRPr="00CE3F04" w:rsidRDefault="00950484" w:rsidP="00CE3F04">
            <w:pPr>
              <w:spacing w:line="276" w:lineRule="auto"/>
              <w:rPr>
                <w:rFonts w:ascii="Cambria" w:hAnsi="Cambria" w:cstheme="minorHAnsi"/>
                <w:b/>
                <w:color w:val="000000" w:themeColor="text1"/>
              </w:rPr>
            </w:pPr>
            <w:proofErr w:type="spellStart"/>
            <w:r w:rsidRPr="00CE3F04">
              <w:rPr>
                <w:rFonts w:ascii="Cambria" w:hAnsi="Cambria" w:cstheme="minorHAnsi"/>
                <w:b/>
                <w:color w:val="000000" w:themeColor="text1"/>
              </w:rPr>
              <w:t>Sr.No</w:t>
            </w:r>
            <w:proofErr w:type="spellEnd"/>
          </w:p>
        </w:tc>
        <w:tc>
          <w:tcPr>
            <w:tcW w:w="11921" w:type="dxa"/>
          </w:tcPr>
          <w:p w:rsidR="00950484" w:rsidRPr="00CE3F04" w:rsidRDefault="00950484" w:rsidP="004326DE">
            <w:pPr>
              <w:spacing w:line="276" w:lineRule="auto"/>
              <w:rPr>
                <w:rFonts w:ascii="Cambria" w:hAnsi="Cambria" w:cs="Arial"/>
                <w:b/>
              </w:rPr>
            </w:pPr>
            <w:r w:rsidRPr="00CE3F04">
              <w:rPr>
                <w:rFonts w:ascii="Cambria" w:hAnsi="Cambria" w:cs="Arial"/>
                <w:b/>
              </w:rPr>
              <w:t>Proposed provision</w:t>
            </w:r>
          </w:p>
        </w:tc>
        <w:tc>
          <w:tcPr>
            <w:tcW w:w="1275" w:type="dxa"/>
          </w:tcPr>
          <w:p w:rsidR="00950484" w:rsidRPr="00CE3F04" w:rsidRDefault="00950484" w:rsidP="008931D4">
            <w:pPr>
              <w:spacing w:line="276" w:lineRule="auto"/>
              <w:jc w:val="center"/>
              <w:rPr>
                <w:rFonts w:ascii="Cambria" w:hAnsi="Cambria" w:cstheme="minorHAnsi"/>
                <w:b/>
                <w:color w:val="000000" w:themeColor="text1"/>
              </w:rPr>
            </w:pPr>
            <w:r w:rsidRPr="00CE3F04">
              <w:rPr>
                <w:rFonts w:ascii="Cambria" w:hAnsi="Cambria" w:cstheme="minorHAnsi"/>
                <w:b/>
                <w:color w:val="000000" w:themeColor="text1"/>
              </w:rPr>
              <w:t>Page no.</w:t>
            </w:r>
          </w:p>
        </w:tc>
      </w:tr>
      <w:tr w:rsidR="00950484" w:rsidRPr="00CE3F04" w:rsidTr="00CE3F04">
        <w:tc>
          <w:tcPr>
            <w:tcW w:w="837" w:type="dxa"/>
          </w:tcPr>
          <w:p w:rsidR="00950484" w:rsidRPr="00CE3F04" w:rsidRDefault="00950484" w:rsidP="00CE3F04">
            <w:pPr>
              <w:spacing w:line="276" w:lineRule="auto"/>
              <w:rPr>
                <w:rFonts w:ascii="Cambria" w:hAnsi="Cambria" w:cstheme="minorHAnsi"/>
                <w:b/>
                <w:color w:val="000000" w:themeColor="text1"/>
              </w:rPr>
            </w:pPr>
            <w:r w:rsidRPr="00CE3F04">
              <w:rPr>
                <w:rFonts w:ascii="Cambria" w:hAnsi="Cambria" w:cstheme="minorHAnsi"/>
                <w:b/>
                <w:color w:val="000000" w:themeColor="text1"/>
              </w:rPr>
              <w:t>A.</w:t>
            </w:r>
          </w:p>
        </w:tc>
        <w:tc>
          <w:tcPr>
            <w:tcW w:w="11921" w:type="dxa"/>
          </w:tcPr>
          <w:p w:rsidR="00950484" w:rsidRPr="00CE3F04" w:rsidRDefault="00950484" w:rsidP="004326DE">
            <w:pPr>
              <w:spacing w:line="276" w:lineRule="auto"/>
              <w:rPr>
                <w:rFonts w:ascii="Cambria" w:hAnsi="Cambria" w:cs="Arial"/>
                <w:b/>
              </w:rPr>
            </w:pPr>
            <w:r w:rsidRPr="00CE3F04">
              <w:rPr>
                <w:rFonts w:ascii="Cambria" w:hAnsi="Cambria" w:cs="Arial"/>
                <w:b/>
              </w:rPr>
              <w:t xml:space="preserve">GST - </w:t>
            </w:r>
            <w:r w:rsidRPr="00CE3F04">
              <w:rPr>
                <w:rFonts w:ascii="Cambria" w:hAnsi="Cambria" w:cs="Arial"/>
                <w:b/>
                <w:color w:val="000000"/>
                <w:lang w:val="en-US"/>
              </w:rPr>
              <w:t>Issues arising out of Budget Proposals</w:t>
            </w:r>
          </w:p>
        </w:tc>
        <w:tc>
          <w:tcPr>
            <w:tcW w:w="1275" w:type="dxa"/>
          </w:tcPr>
          <w:p w:rsidR="00950484" w:rsidRPr="00CE3F04" w:rsidRDefault="00950484" w:rsidP="008931D4">
            <w:pPr>
              <w:spacing w:line="276" w:lineRule="auto"/>
              <w:jc w:val="center"/>
              <w:rPr>
                <w:rFonts w:ascii="Cambria" w:hAnsi="Cambria" w:cstheme="minorHAnsi"/>
                <w:b/>
                <w:color w:val="000000" w:themeColor="text1"/>
              </w:rPr>
            </w:pPr>
          </w:p>
        </w:tc>
      </w:tr>
      <w:tr w:rsidR="00950484" w:rsidRPr="00CE3F04" w:rsidTr="00CE3F04">
        <w:tc>
          <w:tcPr>
            <w:tcW w:w="837" w:type="dxa"/>
          </w:tcPr>
          <w:p w:rsidR="00950484" w:rsidRPr="00CE3F04" w:rsidRDefault="00950484" w:rsidP="00CE3F04">
            <w:pPr>
              <w:rPr>
                <w:rFonts w:ascii="Cambria" w:hAnsi="Cambria" w:cstheme="minorHAnsi"/>
                <w:color w:val="000000" w:themeColor="text1"/>
              </w:rPr>
            </w:pPr>
            <w:r w:rsidRPr="00CE3F04">
              <w:rPr>
                <w:rFonts w:ascii="Cambria" w:hAnsi="Cambria" w:cstheme="minorHAnsi"/>
                <w:color w:val="000000" w:themeColor="text1"/>
              </w:rPr>
              <w:t>1.</w:t>
            </w:r>
          </w:p>
        </w:tc>
        <w:tc>
          <w:tcPr>
            <w:tcW w:w="11921" w:type="dxa"/>
          </w:tcPr>
          <w:p w:rsidR="00950484" w:rsidRPr="00CE3F04" w:rsidRDefault="00950484" w:rsidP="00950484">
            <w:pPr>
              <w:pStyle w:val="xmsonormal"/>
              <w:spacing w:line="276" w:lineRule="auto"/>
              <w:rPr>
                <w:rFonts w:ascii="Cambria" w:hAnsi="Cambria"/>
                <w:bCs/>
                <w:color w:val="000000"/>
              </w:rPr>
            </w:pPr>
            <w:r w:rsidRPr="00CE3F04">
              <w:rPr>
                <w:rFonts w:ascii="Cambria" w:hAnsi="Cambria"/>
                <w:bCs/>
                <w:color w:val="000000"/>
              </w:rPr>
              <w:t>ITC restriction on CSR spend</w:t>
            </w:r>
          </w:p>
        </w:tc>
        <w:tc>
          <w:tcPr>
            <w:tcW w:w="1275" w:type="dxa"/>
          </w:tcPr>
          <w:p w:rsidR="00950484" w:rsidRPr="00CE3F04" w:rsidRDefault="008931D4" w:rsidP="008931D4">
            <w:pPr>
              <w:spacing w:line="276" w:lineRule="auto"/>
              <w:jc w:val="center"/>
              <w:rPr>
                <w:rFonts w:ascii="Cambria" w:hAnsi="Cambria" w:cstheme="minorHAnsi"/>
                <w:color w:val="000000" w:themeColor="text1"/>
              </w:rPr>
            </w:pPr>
            <w:r>
              <w:rPr>
                <w:rFonts w:ascii="Cambria" w:hAnsi="Cambria" w:cstheme="minorHAnsi"/>
                <w:color w:val="000000" w:themeColor="text1"/>
              </w:rPr>
              <w:t>3</w:t>
            </w:r>
          </w:p>
        </w:tc>
      </w:tr>
      <w:tr w:rsidR="00950484" w:rsidRPr="00CE3F04" w:rsidTr="00CE3F04">
        <w:tc>
          <w:tcPr>
            <w:tcW w:w="837" w:type="dxa"/>
          </w:tcPr>
          <w:p w:rsidR="00950484" w:rsidRPr="00CE3F04" w:rsidRDefault="00950484" w:rsidP="00CE3F04">
            <w:pPr>
              <w:rPr>
                <w:rFonts w:ascii="Cambria" w:hAnsi="Cambria" w:cstheme="minorHAnsi"/>
                <w:color w:val="000000" w:themeColor="text1"/>
              </w:rPr>
            </w:pPr>
            <w:r w:rsidRPr="00CE3F04">
              <w:rPr>
                <w:rFonts w:ascii="Cambria" w:hAnsi="Cambria" w:cstheme="minorHAnsi"/>
                <w:color w:val="000000" w:themeColor="text1"/>
              </w:rPr>
              <w:t>2.</w:t>
            </w:r>
          </w:p>
        </w:tc>
        <w:tc>
          <w:tcPr>
            <w:tcW w:w="11921" w:type="dxa"/>
          </w:tcPr>
          <w:p w:rsidR="00950484" w:rsidRPr="00CE3F04" w:rsidRDefault="00950484" w:rsidP="004326DE">
            <w:pPr>
              <w:rPr>
                <w:rFonts w:ascii="Cambria" w:hAnsi="Cambria" w:cs="Arial"/>
              </w:rPr>
            </w:pPr>
            <w:r w:rsidRPr="00CE3F04">
              <w:rPr>
                <w:rFonts w:ascii="Cambria" w:hAnsi="Cambria" w:cs="Arial"/>
                <w:bCs/>
              </w:rPr>
              <w:t>ITC reversal on sale of warehoused goods</w:t>
            </w:r>
          </w:p>
        </w:tc>
        <w:tc>
          <w:tcPr>
            <w:tcW w:w="1275" w:type="dxa"/>
          </w:tcPr>
          <w:p w:rsidR="00950484" w:rsidRPr="00CE3F04" w:rsidRDefault="008931D4" w:rsidP="008931D4">
            <w:pPr>
              <w:spacing w:line="276" w:lineRule="auto"/>
              <w:jc w:val="center"/>
              <w:rPr>
                <w:rFonts w:ascii="Cambria" w:hAnsi="Cambria" w:cstheme="minorHAnsi"/>
                <w:color w:val="000000" w:themeColor="text1"/>
              </w:rPr>
            </w:pPr>
            <w:r>
              <w:rPr>
                <w:rFonts w:ascii="Cambria" w:hAnsi="Cambria" w:cstheme="minorHAnsi"/>
                <w:color w:val="000000" w:themeColor="text1"/>
              </w:rPr>
              <w:t>4</w:t>
            </w:r>
          </w:p>
        </w:tc>
      </w:tr>
      <w:tr w:rsidR="00950484" w:rsidRPr="00CE3F04" w:rsidTr="00CE3F04">
        <w:tc>
          <w:tcPr>
            <w:tcW w:w="837" w:type="dxa"/>
          </w:tcPr>
          <w:p w:rsidR="00950484" w:rsidRPr="00CE3F04" w:rsidRDefault="00950484" w:rsidP="00CE3F04">
            <w:pPr>
              <w:rPr>
                <w:rFonts w:ascii="Cambria" w:hAnsi="Cambria" w:cstheme="minorHAnsi"/>
                <w:b/>
                <w:color w:val="000000" w:themeColor="text1"/>
              </w:rPr>
            </w:pPr>
            <w:r w:rsidRPr="00CE3F04">
              <w:rPr>
                <w:rFonts w:ascii="Cambria" w:hAnsi="Cambria" w:cstheme="minorHAnsi"/>
                <w:b/>
                <w:color w:val="000000" w:themeColor="text1"/>
              </w:rPr>
              <w:t>B.</w:t>
            </w:r>
          </w:p>
        </w:tc>
        <w:tc>
          <w:tcPr>
            <w:tcW w:w="11921" w:type="dxa"/>
          </w:tcPr>
          <w:p w:rsidR="00950484" w:rsidRPr="00CE3F04" w:rsidRDefault="00950484" w:rsidP="004326DE">
            <w:pPr>
              <w:contextualSpacing/>
              <w:jc w:val="both"/>
              <w:rPr>
                <w:rFonts w:ascii="Cambria" w:hAnsi="Cambria" w:cs="Arial"/>
                <w:b/>
              </w:rPr>
            </w:pPr>
            <w:r w:rsidRPr="00CE3F04">
              <w:rPr>
                <w:rFonts w:ascii="Cambria" w:hAnsi="Cambria" w:cs="Arial"/>
                <w:b/>
              </w:rPr>
              <w:t>GST – Other Issues</w:t>
            </w:r>
          </w:p>
        </w:tc>
        <w:tc>
          <w:tcPr>
            <w:tcW w:w="1275" w:type="dxa"/>
          </w:tcPr>
          <w:p w:rsidR="00950484" w:rsidRPr="00CE3F04" w:rsidRDefault="00950484" w:rsidP="008931D4">
            <w:pPr>
              <w:spacing w:line="276" w:lineRule="auto"/>
              <w:jc w:val="center"/>
              <w:rPr>
                <w:rFonts w:ascii="Cambria" w:hAnsi="Cambria" w:cstheme="minorHAnsi"/>
                <w:color w:val="000000" w:themeColor="text1"/>
              </w:rPr>
            </w:pPr>
          </w:p>
        </w:tc>
      </w:tr>
      <w:tr w:rsidR="00950484" w:rsidRPr="00CE3F04" w:rsidTr="00CE3F04">
        <w:tc>
          <w:tcPr>
            <w:tcW w:w="837" w:type="dxa"/>
          </w:tcPr>
          <w:p w:rsidR="00950484" w:rsidRPr="00CE3F04" w:rsidRDefault="00950484"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950484" w:rsidRPr="00CE3F04" w:rsidRDefault="000C71CE" w:rsidP="000C71CE">
            <w:pPr>
              <w:pStyle w:val="PlainText"/>
              <w:contextualSpacing/>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 xml:space="preserve">Reverse charge mechanism (RCM) on sponsorship services </w:t>
            </w:r>
          </w:p>
        </w:tc>
        <w:tc>
          <w:tcPr>
            <w:tcW w:w="1275" w:type="dxa"/>
          </w:tcPr>
          <w:p w:rsidR="00950484" w:rsidRPr="00CE3F04" w:rsidRDefault="008931D4" w:rsidP="008931D4">
            <w:pPr>
              <w:spacing w:line="276" w:lineRule="auto"/>
              <w:jc w:val="center"/>
              <w:rPr>
                <w:rFonts w:ascii="Cambria" w:hAnsi="Cambria" w:cstheme="minorHAnsi"/>
                <w:color w:val="000000" w:themeColor="text1"/>
              </w:rPr>
            </w:pPr>
            <w:r>
              <w:rPr>
                <w:rFonts w:ascii="Cambria" w:hAnsi="Cambria" w:cstheme="minorHAnsi"/>
                <w:color w:val="000000" w:themeColor="text1"/>
              </w:rPr>
              <w:t>5</w:t>
            </w:r>
          </w:p>
        </w:tc>
      </w:tr>
      <w:tr w:rsidR="00950484" w:rsidRPr="00CE3F04" w:rsidTr="00CE3F04">
        <w:tc>
          <w:tcPr>
            <w:tcW w:w="837" w:type="dxa"/>
          </w:tcPr>
          <w:p w:rsidR="00950484" w:rsidRPr="00CE3F04" w:rsidRDefault="00950484"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950484" w:rsidRPr="00CE3F04" w:rsidRDefault="000C71CE" w:rsidP="004326DE">
            <w:pPr>
              <w:pStyle w:val="NormalWeb"/>
              <w:spacing w:before="0" w:beforeAutospacing="0" w:after="0" w:afterAutospacing="0"/>
              <w:jc w:val="both"/>
              <w:rPr>
                <w:rFonts w:ascii="Cambria" w:eastAsiaTheme="minorEastAsia" w:hAnsi="Cambria" w:cstheme="minorBidi"/>
                <w:kern w:val="24"/>
                <w:sz w:val="22"/>
                <w:szCs w:val="22"/>
                <w:lang w:val="en-US"/>
              </w:rPr>
            </w:pPr>
            <w:r w:rsidRPr="00CE3F04">
              <w:rPr>
                <w:rFonts w:ascii="Cambria" w:eastAsia="SimSun" w:hAnsi="Cambria"/>
                <w:bCs/>
                <w:sz w:val="22"/>
                <w:szCs w:val="22"/>
                <w:lang w:eastAsia="zh-CN"/>
              </w:rPr>
              <w:t>Tax levy on secondment arrangements</w:t>
            </w:r>
          </w:p>
        </w:tc>
        <w:tc>
          <w:tcPr>
            <w:tcW w:w="1275" w:type="dxa"/>
          </w:tcPr>
          <w:p w:rsidR="00950484"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5</w:t>
            </w:r>
          </w:p>
        </w:tc>
      </w:tr>
      <w:tr w:rsidR="00950484" w:rsidRPr="00CE3F04" w:rsidTr="00CE3F04">
        <w:tc>
          <w:tcPr>
            <w:tcW w:w="837" w:type="dxa"/>
          </w:tcPr>
          <w:p w:rsidR="00950484" w:rsidRPr="00CE3F04" w:rsidRDefault="00950484"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950484" w:rsidRPr="00CE3F04" w:rsidRDefault="000C71CE" w:rsidP="004326DE">
            <w:pPr>
              <w:pStyle w:val="NormalWeb"/>
              <w:spacing w:before="0" w:beforeAutospacing="0" w:after="0" w:afterAutospacing="0"/>
              <w:rPr>
                <w:rFonts w:ascii="Cambria" w:eastAsiaTheme="minorEastAsia" w:hAnsi="Cambria" w:cstheme="minorBidi"/>
                <w:bCs/>
                <w:color w:val="000000" w:themeColor="text1"/>
                <w:kern w:val="24"/>
                <w:sz w:val="22"/>
                <w:szCs w:val="22"/>
                <w:lang w:val="en-US"/>
              </w:rPr>
            </w:pPr>
            <w:r w:rsidRPr="00CE3F04">
              <w:rPr>
                <w:rFonts w:ascii="Cambria" w:eastAsia="SimSun" w:hAnsi="Cambria"/>
                <w:bCs/>
                <w:sz w:val="22"/>
                <w:szCs w:val="22"/>
                <w:lang w:eastAsia="zh-CN"/>
              </w:rPr>
              <w:t>Rule 96(10) benefit allowed to importers of capital goods under the Export Promotion Capital Goods (EPCG) scheme should be extended to Export Oriented Unit (EOU)/ Electronic Hardware Technology Park (EHTP)/ Software Technology Park (STPI) scheme</w:t>
            </w:r>
          </w:p>
        </w:tc>
        <w:tc>
          <w:tcPr>
            <w:tcW w:w="1275" w:type="dxa"/>
          </w:tcPr>
          <w:p w:rsidR="00950484"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6</w:t>
            </w:r>
          </w:p>
        </w:tc>
      </w:tr>
      <w:tr w:rsidR="00950484" w:rsidRPr="00CE3F04" w:rsidTr="00CE3F04">
        <w:tc>
          <w:tcPr>
            <w:tcW w:w="837" w:type="dxa"/>
          </w:tcPr>
          <w:p w:rsidR="00950484" w:rsidRPr="00CE3F04" w:rsidRDefault="00950484"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950484" w:rsidRPr="00CE3F04" w:rsidRDefault="000C71CE" w:rsidP="004326DE">
            <w:pPr>
              <w:pStyle w:val="NormalWeb"/>
              <w:spacing w:before="0" w:beforeAutospacing="0" w:after="0" w:afterAutospacing="0"/>
              <w:jc w:val="both"/>
              <w:rPr>
                <w:rFonts w:ascii="Cambria" w:eastAsiaTheme="minorEastAsia" w:hAnsi="Cambria" w:cstheme="minorBidi"/>
                <w:bCs/>
                <w:color w:val="000000" w:themeColor="text1"/>
                <w:kern w:val="24"/>
                <w:sz w:val="22"/>
                <w:szCs w:val="22"/>
                <w:lang w:val="en-US"/>
              </w:rPr>
            </w:pPr>
            <w:r w:rsidRPr="00CE3F04">
              <w:rPr>
                <w:rFonts w:ascii="Cambria" w:eastAsia="SimSun" w:hAnsi="Cambria"/>
                <w:bCs/>
                <w:sz w:val="22"/>
                <w:szCs w:val="22"/>
                <w:lang w:eastAsia="zh-CN"/>
              </w:rPr>
              <w:t>Communication of details of inward supplies and ITC</w:t>
            </w:r>
          </w:p>
        </w:tc>
        <w:tc>
          <w:tcPr>
            <w:tcW w:w="1275" w:type="dxa"/>
          </w:tcPr>
          <w:p w:rsidR="00950484"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7</w:t>
            </w:r>
          </w:p>
        </w:tc>
      </w:tr>
      <w:tr w:rsidR="00950484" w:rsidRPr="00CE3F04" w:rsidTr="00CE3F04">
        <w:tc>
          <w:tcPr>
            <w:tcW w:w="837" w:type="dxa"/>
          </w:tcPr>
          <w:p w:rsidR="00950484" w:rsidRPr="00CE3F04" w:rsidRDefault="00950484"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950484" w:rsidRPr="00CE3F04" w:rsidRDefault="004326DE" w:rsidP="004326DE">
            <w:pPr>
              <w:pStyle w:val="PlainText"/>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ITC eligibility where Place of supply (POS) is in another state</w:t>
            </w:r>
          </w:p>
        </w:tc>
        <w:tc>
          <w:tcPr>
            <w:tcW w:w="1275" w:type="dxa"/>
          </w:tcPr>
          <w:p w:rsidR="00950484"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9</w:t>
            </w:r>
          </w:p>
        </w:tc>
      </w:tr>
      <w:tr w:rsidR="00950484" w:rsidRPr="00CE3F04" w:rsidTr="00CE3F04">
        <w:tc>
          <w:tcPr>
            <w:tcW w:w="837" w:type="dxa"/>
          </w:tcPr>
          <w:p w:rsidR="00950484" w:rsidRPr="00CE3F04" w:rsidRDefault="00950484"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950484" w:rsidRPr="00CE3F04" w:rsidRDefault="004326DE" w:rsidP="004326DE">
            <w:pPr>
              <w:rPr>
                <w:rFonts w:ascii="Cambria" w:hAnsi="Cambria" w:cs="Unilever DIN Offc Pro"/>
                <w:bCs/>
              </w:rPr>
            </w:pPr>
            <w:r w:rsidRPr="00CE3F04">
              <w:rPr>
                <w:rFonts w:ascii="Cambria" w:eastAsia="SimSun" w:hAnsi="Cambria" w:cs="Times New Roman"/>
                <w:bCs/>
                <w:lang w:eastAsia="zh-CN"/>
              </w:rPr>
              <w:t>Transfer of Integrated Goods and Services Tax (IGST)/ CGST/ cess credit balance between registration having same PAN</w:t>
            </w:r>
          </w:p>
        </w:tc>
        <w:tc>
          <w:tcPr>
            <w:tcW w:w="1275" w:type="dxa"/>
          </w:tcPr>
          <w:p w:rsidR="00950484"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9</w:t>
            </w:r>
          </w:p>
        </w:tc>
      </w:tr>
      <w:tr w:rsidR="004326DE" w:rsidRPr="00CE3F04" w:rsidTr="00CE3F04">
        <w:tc>
          <w:tcPr>
            <w:tcW w:w="837" w:type="dxa"/>
          </w:tcPr>
          <w:p w:rsidR="004326DE" w:rsidRPr="00CE3F04" w:rsidRDefault="004326DE"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326DE" w:rsidRPr="00CE3F04" w:rsidRDefault="004326DE" w:rsidP="004326DE">
            <w:pPr>
              <w:pStyle w:val="PlainText"/>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ITC reversal in case of Mergers and Acquisitions</w:t>
            </w:r>
          </w:p>
        </w:tc>
        <w:tc>
          <w:tcPr>
            <w:tcW w:w="1275" w:type="dxa"/>
          </w:tcPr>
          <w:p w:rsidR="004326DE"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10</w:t>
            </w:r>
          </w:p>
        </w:tc>
      </w:tr>
      <w:tr w:rsidR="004326DE" w:rsidRPr="00CE3F04" w:rsidTr="00CE3F04">
        <w:tc>
          <w:tcPr>
            <w:tcW w:w="837" w:type="dxa"/>
          </w:tcPr>
          <w:p w:rsidR="004326DE" w:rsidRPr="00CE3F04" w:rsidRDefault="004326DE"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326DE" w:rsidRPr="00CE3F04" w:rsidRDefault="004326DE" w:rsidP="004326DE">
            <w:pPr>
              <w:rPr>
                <w:rFonts w:ascii="Cambria" w:eastAsia="SimSun" w:hAnsi="Cambria" w:cs="Times New Roman"/>
                <w:bCs/>
                <w:lang w:eastAsia="zh-CN"/>
              </w:rPr>
            </w:pPr>
            <w:r w:rsidRPr="00CE3F04">
              <w:rPr>
                <w:rFonts w:ascii="Cambria" w:eastAsia="SimSun" w:hAnsi="Cambria" w:cs="Times New Roman"/>
                <w:bCs/>
                <w:lang w:eastAsia="zh-CN"/>
              </w:rPr>
              <w:t>Tax deduction at source (TDS)</w:t>
            </w:r>
          </w:p>
        </w:tc>
        <w:tc>
          <w:tcPr>
            <w:tcW w:w="1275" w:type="dxa"/>
          </w:tcPr>
          <w:p w:rsidR="004326DE"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10</w:t>
            </w:r>
          </w:p>
        </w:tc>
      </w:tr>
      <w:tr w:rsidR="004326DE" w:rsidRPr="00CE3F04" w:rsidTr="00CE3F04">
        <w:tc>
          <w:tcPr>
            <w:tcW w:w="837" w:type="dxa"/>
          </w:tcPr>
          <w:p w:rsidR="004326DE" w:rsidRPr="00CE3F04" w:rsidRDefault="004326DE"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326DE" w:rsidRPr="00CE3F04" w:rsidRDefault="004326DE" w:rsidP="004326DE">
            <w:pPr>
              <w:pStyle w:val="PlainText"/>
              <w:contextualSpacing/>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Tax Collection at Source</w:t>
            </w:r>
          </w:p>
        </w:tc>
        <w:tc>
          <w:tcPr>
            <w:tcW w:w="1275" w:type="dxa"/>
          </w:tcPr>
          <w:p w:rsidR="004326DE"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10</w:t>
            </w:r>
          </w:p>
        </w:tc>
      </w:tr>
      <w:tr w:rsidR="004326DE" w:rsidRPr="00CE3F04" w:rsidTr="00CE3F04">
        <w:tc>
          <w:tcPr>
            <w:tcW w:w="837" w:type="dxa"/>
          </w:tcPr>
          <w:p w:rsidR="004326DE" w:rsidRPr="00CE3F04" w:rsidRDefault="004326DE"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326DE" w:rsidRPr="00CE3F04" w:rsidRDefault="004326DE" w:rsidP="004326DE">
            <w:pPr>
              <w:pStyle w:val="PlainText"/>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Allow refund of GST claimed on capital goods to exporters supplying under Letter of Undertaking (LUT)</w:t>
            </w:r>
          </w:p>
        </w:tc>
        <w:tc>
          <w:tcPr>
            <w:tcW w:w="1275" w:type="dxa"/>
          </w:tcPr>
          <w:p w:rsidR="004326DE"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11</w:t>
            </w:r>
          </w:p>
        </w:tc>
      </w:tr>
      <w:tr w:rsidR="004326DE" w:rsidRPr="00CE3F04" w:rsidTr="00CE3F04">
        <w:tc>
          <w:tcPr>
            <w:tcW w:w="837" w:type="dxa"/>
          </w:tcPr>
          <w:p w:rsidR="004326DE" w:rsidRPr="00CE3F04" w:rsidRDefault="004326DE"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326DE" w:rsidRPr="00CE3F04" w:rsidRDefault="004326DE" w:rsidP="004326DE">
            <w:pPr>
              <w:pStyle w:val="PlainText"/>
              <w:rPr>
                <w:rFonts w:ascii="Cambria" w:eastAsia="SimSun" w:hAnsi="Cambria" w:cs="Times New Roman"/>
                <w:bCs/>
                <w:sz w:val="22"/>
                <w:szCs w:val="22"/>
                <w:lang w:val="en-GB" w:eastAsia="zh-CN"/>
              </w:rPr>
            </w:pPr>
            <w:r w:rsidRPr="00CE3F04">
              <w:rPr>
                <w:rFonts w:ascii="Cambria" w:hAnsi="Cambria"/>
                <w:sz w:val="22"/>
                <w:szCs w:val="22"/>
                <w:lang w:eastAsia="en-IN"/>
              </w:rPr>
              <w:t>Non-taxability of advances for infrastructure projects</w:t>
            </w:r>
          </w:p>
        </w:tc>
        <w:tc>
          <w:tcPr>
            <w:tcW w:w="1275" w:type="dxa"/>
          </w:tcPr>
          <w:p w:rsidR="004326DE"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12</w:t>
            </w:r>
          </w:p>
        </w:tc>
      </w:tr>
      <w:tr w:rsidR="004326DE" w:rsidRPr="00CE3F04" w:rsidTr="00CE3F04">
        <w:tc>
          <w:tcPr>
            <w:tcW w:w="837" w:type="dxa"/>
          </w:tcPr>
          <w:p w:rsidR="004326DE" w:rsidRPr="00CE3F04" w:rsidRDefault="004326DE"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326DE" w:rsidRPr="00CE3F04" w:rsidRDefault="004326DE" w:rsidP="004326DE">
            <w:pPr>
              <w:pStyle w:val="PlainText"/>
              <w:rPr>
                <w:rFonts w:ascii="Cambria" w:eastAsia="SimSun" w:hAnsi="Cambria" w:cs="Times New Roman"/>
                <w:bCs/>
                <w:sz w:val="22"/>
                <w:szCs w:val="22"/>
                <w:lang w:val="en-GB" w:eastAsia="zh-CN"/>
              </w:rPr>
            </w:pPr>
            <w:r w:rsidRPr="00CE3F04">
              <w:rPr>
                <w:rFonts w:ascii="Cambria" w:hAnsi="Cambria"/>
                <w:sz w:val="22"/>
                <w:szCs w:val="22"/>
                <w:lang w:eastAsia="en-IN"/>
              </w:rPr>
              <w:t xml:space="preserve"> </w:t>
            </w:r>
            <w:r w:rsidR="008B745B" w:rsidRPr="00CE3F04">
              <w:rPr>
                <w:rFonts w:ascii="Cambria" w:eastAsia="SimSun" w:hAnsi="Cambria" w:cs="Times New Roman"/>
                <w:bCs/>
                <w:sz w:val="22"/>
                <w:szCs w:val="22"/>
                <w:lang w:val="en-GB" w:eastAsia="zh-CN"/>
              </w:rPr>
              <w:t>Allow payment of tax for RCM through ITC</w:t>
            </w:r>
          </w:p>
        </w:tc>
        <w:tc>
          <w:tcPr>
            <w:tcW w:w="1275" w:type="dxa"/>
          </w:tcPr>
          <w:p w:rsidR="004326DE"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13</w:t>
            </w:r>
          </w:p>
        </w:tc>
      </w:tr>
      <w:tr w:rsidR="004326DE" w:rsidRPr="00CE3F04" w:rsidTr="00CE3F04">
        <w:tc>
          <w:tcPr>
            <w:tcW w:w="837" w:type="dxa"/>
          </w:tcPr>
          <w:p w:rsidR="004326DE" w:rsidRPr="00CE3F04" w:rsidRDefault="004326DE"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326DE" w:rsidRPr="00CE3F04" w:rsidRDefault="008B745B" w:rsidP="004326DE">
            <w:pPr>
              <w:pStyle w:val="PlainText"/>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Allowing refund of GST on input services in case of inverted tax structure</w:t>
            </w:r>
          </w:p>
        </w:tc>
        <w:tc>
          <w:tcPr>
            <w:tcW w:w="1275" w:type="dxa"/>
          </w:tcPr>
          <w:p w:rsidR="004326DE"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14</w:t>
            </w:r>
          </w:p>
        </w:tc>
      </w:tr>
      <w:tr w:rsidR="008B745B" w:rsidRPr="00CE3F04" w:rsidTr="00CE3F04">
        <w:tc>
          <w:tcPr>
            <w:tcW w:w="837" w:type="dxa"/>
          </w:tcPr>
          <w:p w:rsidR="008B745B" w:rsidRPr="00CE3F04" w:rsidRDefault="008B745B"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8B745B" w:rsidRPr="00CE3F04" w:rsidRDefault="008B745B" w:rsidP="008B745B">
            <w:pPr>
              <w:pStyle w:val="PlainText"/>
              <w:spacing w:line="276" w:lineRule="auto"/>
              <w:contextualSpacing/>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GST ITC eligibility on construction/renovation of immovable property which is used for business purposes</w:t>
            </w:r>
          </w:p>
        </w:tc>
        <w:tc>
          <w:tcPr>
            <w:tcW w:w="1275" w:type="dxa"/>
          </w:tcPr>
          <w:p w:rsidR="008B745B"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14</w:t>
            </w:r>
          </w:p>
        </w:tc>
      </w:tr>
      <w:tr w:rsidR="008B745B" w:rsidRPr="00CE3F04" w:rsidTr="00CE3F04">
        <w:tc>
          <w:tcPr>
            <w:tcW w:w="837" w:type="dxa"/>
          </w:tcPr>
          <w:p w:rsidR="008B745B" w:rsidRPr="00CE3F04" w:rsidRDefault="008B745B"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8B745B" w:rsidRPr="00CE3F04" w:rsidRDefault="008B745B" w:rsidP="008B745B">
            <w:pPr>
              <w:pStyle w:val="PlainText"/>
              <w:spacing w:line="276" w:lineRule="auto"/>
              <w:contextualSpacing/>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Relaxation in reversal of GST ITC for transactions in securities for life insurance, general insurance, and health insurance companies</w:t>
            </w:r>
          </w:p>
        </w:tc>
        <w:tc>
          <w:tcPr>
            <w:tcW w:w="1275" w:type="dxa"/>
          </w:tcPr>
          <w:p w:rsidR="008B745B"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16</w:t>
            </w:r>
          </w:p>
        </w:tc>
      </w:tr>
      <w:tr w:rsidR="008B745B" w:rsidRPr="00CE3F04" w:rsidTr="00CE3F04">
        <w:tc>
          <w:tcPr>
            <w:tcW w:w="837" w:type="dxa"/>
          </w:tcPr>
          <w:p w:rsidR="008B745B" w:rsidRPr="00CE3F04" w:rsidRDefault="008B745B"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8B745B" w:rsidRPr="00CE3F04" w:rsidRDefault="004B0DF9" w:rsidP="004B0DF9">
            <w:pPr>
              <w:pStyle w:val="PlainText"/>
              <w:contextualSpacing/>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 xml:space="preserve">Health insurance companies </w:t>
            </w:r>
            <w:proofErr w:type="gramStart"/>
            <w:r w:rsidRPr="00CE3F04">
              <w:rPr>
                <w:rFonts w:ascii="Cambria" w:eastAsia="SimSun" w:hAnsi="Cambria" w:cs="Times New Roman"/>
                <w:bCs/>
                <w:sz w:val="22"/>
                <w:szCs w:val="22"/>
                <w:lang w:val="en-GB" w:eastAsia="zh-CN"/>
              </w:rPr>
              <w:t>be</w:t>
            </w:r>
            <w:proofErr w:type="gramEnd"/>
            <w:r w:rsidRPr="00CE3F04">
              <w:rPr>
                <w:rFonts w:ascii="Cambria" w:eastAsia="SimSun" w:hAnsi="Cambria" w:cs="Times New Roman"/>
                <w:bCs/>
                <w:sz w:val="22"/>
                <w:szCs w:val="22"/>
                <w:lang w:val="en-GB" w:eastAsia="zh-CN"/>
              </w:rPr>
              <w:t xml:space="preserve"> allowed to avail ITC on the cost of medicine/room rent reimbursed to its policyholders.</w:t>
            </w:r>
          </w:p>
        </w:tc>
        <w:tc>
          <w:tcPr>
            <w:tcW w:w="1275" w:type="dxa"/>
          </w:tcPr>
          <w:p w:rsidR="008B745B"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16</w:t>
            </w:r>
          </w:p>
        </w:tc>
      </w:tr>
      <w:tr w:rsidR="008B745B" w:rsidRPr="00CE3F04" w:rsidTr="00CE3F04">
        <w:tc>
          <w:tcPr>
            <w:tcW w:w="837" w:type="dxa"/>
          </w:tcPr>
          <w:p w:rsidR="008B745B" w:rsidRPr="00CE3F04" w:rsidRDefault="008B745B"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8B745B" w:rsidRPr="00CE3F04" w:rsidRDefault="004B0DF9" w:rsidP="004B0DF9">
            <w:pPr>
              <w:pStyle w:val="PlainText"/>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Allowing ITC of GST paid on advances for services</w:t>
            </w:r>
          </w:p>
        </w:tc>
        <w:tc>
          <w:tcPr>
            <w:tcW w:w="1275" w:type="dxa"/>
          </w:tcPr>
          <w:p w:rsidR="008B745B"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17</w:t>
            </w:r>
          </w:p>
        </w:tc>
      </w:tr>
      <w:tr w:rsidR="004B0DF9" w:rsidRPr="00CE3F04" w:rsidTr="00CE3F04">
        <w:tc>
          <w:tcPr>
            <w:tcW w:w="837" w:type="dxa"/>
          </w:tcPr>
          <w:p w:rsidR="004B0DF9" w:rsidRPr="00CE3F04" w:rsidRDefault="004B0DF9"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B0DF9" w:rsidRPr="00CE3F04" w:rsidRDefault="004B0DF9" w:rsidP="004B0DF9">
            <w:pPr>
              <w:pStyle w:val="PlainText"/>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Onus on supplier to provide certificate in case of ITC mismatch</w:t>
            </w:r>
          </w:p>
        </w:tc>
        <w:tc>
          <w:tcPr>
            <w:tcW w:w="1275" w:type="dxa"/>
          </w:tcPr>
          <w:p w:rsidR="004B0DF9"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18</w:t>
            </w:r>
          </w:p>
        </w:tc>
      </w:tr>
      <w:tr w:rsidR="004B0DF9" w:rsidRPr="00CE3F04" w:rsidTr="00CE3F04">
        <w:tc>
          <w:tcPr>
            <w:tcW w:w="837" w:type="dxa"/>
          </w:tcPr>
          <w:p w:rsidR="004B0DF9" w:rsidRPr="00CE3F04" w:rsidRDefault="004B0DF9"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B0DF9" w:rsidRPr="00CE3F04" w:rsidRDefault="004B0DF9" w:rsidP="004B0DF9">
            <w:pPr>
              <w:pStyle w:val="PlainText"/>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Issuance of summons</w:t>
            </w:r>
          </w:p>
        </w:tc>
        <w:tc>
          <w:tcPr>
            <w:tcW w:w="1275" w:type="dxa"/>
          </w:tcPr>
          <w:p w:rsidR="004B0DF9"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19</w:t>
            </w:r>
          </w:p>
        </w:tc>
      </w:tr>
      <w:tr w:rsidR="004B0DF9" w:rsidRPr="00CE3F04" w:rsidTr="00CE3F04">
        <w:tc>
          <w:tcPr>
            <w:tcW w:w="837" w:type="dxa"/>
          </w:tcPr>
          <w:p w:rsidR="004B0DF9" w:rsidRPr="00CE3F04" w:rsidRDefault="004B0DF9" w:rsidP="00CE3F04">
            <w:pPr>
              <w:pStyle w:val="ListParagraph"/>
              <w:numPr>
                <w:ilvl w:val="0"/>
                <w:numId w:val="18"/>
              </w:numPr>
              <w:spacing w:after="0" w:line="240" w:lineRule="auto"/>
              <w:ind w:left="0" w:firstLine="0"/>
              <w:rPr>
                <w:rFonts w:ascii="Cambria" w:hAnsi="Cambria" w:cstheme="minorHAnsi"/>
                <w:color w:val="000000" w:themeColor="text1"/>
              </w:rPr>
            </w:pPr>
          </w:p>
        </w:tc>
        <w:tc>
          <w:tcPr>
            <w:tcW w:w="11921" w:type="dxa"/>
          </w:tcPr>
          <w:p w:rsidR="004B0DF9" w:rsidRPr="00CE3F04" w:rsidRDefault="00A90DB5" w:rsidP="004B0DF9">
            <w:pPr>
              <w:pStyle w:val="PlainText"/>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Revocation of a statement made during a summon proceedings</w:t>
            </w:r>
          </w:p>
        </w:tc>
        <w:tc>
          <w:tcPr>
            <w:tcW w:w="1275" w:type="dxa"/>
          </w:tcPr>
          <w:p w:rsidR="004B0DF9" w:rsidRPr="00CE3F04" w:rsidRDefault="008931D4" w:rsidP="008931D4">
            <w:pPr>
              <w:jc w:val="center"/>
              <w:rPr>
                <w:rFonts w:ascii="Cambria" w:hAnsi="Cambria" w:cstheme="minorHAnsi"/>
                <w:color w:val="000000" w:themeColor="text1"/>
              </w:rPr>
            </w:pPr>
            <w:r>
              <w:rPr>
                <w:rFonts w:ascii="Cambria" w:hAnsi="Cambria" w:cstheme="minorHAnsi"/>
                <w:color w:val="000000" w:themeColor="text1"/>
              </w:rPr>
              <w:t>20</w:t>
            </w:r>
          </w:p>
        </w:tc>
      </w:tr>
    </w:tbl>
    <w:p w:rsidR="00CE3F04" w:rsidRDefault="00CE3F04">
      <w:r>
        <w:br w:type="page"/>
      </w:r>
    </w:p>
    <w:tbl>
      <w:tblPr>
        <w:tblStyle w:val="TableGrid"/>
        <w:tblW w:w="0" w:type="auto"/>
        <w:tblInd w:w="817" w:type="dxa"/>
        <w:tblLook w:val="04A0"/>
      </w:tblPr>
      <w:tblGrid>
        <w:gridCol w:w="837"/>
        <w:gridCol w:w="11921"/>
        <w:gridCol w:w="1275"/>
      </w:tblGrid>
      <w:tr w:rsidR="00A90DB5" w:rsidRPr="00CE3F04" w:rsidTr="00CE3F04">
        <w:tc>
          <w:tcPr>
            <w:tcW w:w="837" w:type="dxa"/>
          </w:tcPr>
          <w:p w:rsidR="00A90DB5" w:rsidRPr="00CE3F04" w:rsidRDefault="00A90DB5" w:rsidP="00CE3F04">
            <w:pPr>
              <w:rPr>
                <w:rFonts w:ascii="Cambria" w:hAnsi="Cambria" w:cstheme="minorHAnsi"/>
                <w:b/>
                <w:color w:val="000000" w:themeColor="text1"/>
              </w:rPr>
            </w:pPr>
            <w:r w:rsidRPr="00CE3F04">
              <w:rPr>
                <w:rFonts w:ascii="Cambria" w:hAnsi="Cambria" w:cstheme="minorHAnsi"/>
                <w:b/>
                <w:color w:val="000000" w:themeColor="text1"/>
              </w:rPr>
              <w:lastRenderedPageBreak/>
              <w:t>C</w:t>
            </w:r>
          </w:p>
        </w:tc>
        <w:tc>
          <w:tcPr>
            <w:tcW w:w="11921" w:type="dxa"/>
          </w:tcPr>
          <w:p w:rsidR="00A90DB5" w:rsidRPr="00CE3F04" w:rsidRDefault="00A90DB5" w:rsidP="004B0DF9">
            <w:pPr>
              <w:pStyle w:val="PlainText"/>
              <w:rPr>
                <w:rFonts w:ascii="Cambria" w:eastAsia="SimSun" w:hAnsi="Cambria" w:cs="Times New Roman"/>
                <w:b/>
                <w:bCs/>
                <w:sz w:val="22"/>
                <w:szCs w:val="22"/>
                <w:lang w:val="en-GB" w:eastAsia="zh-CN"/>
              </w:rPr>
            </w:pPr>
            <w:r w:rsidRPr="00CE3F04">
              <w:rPr>
                <w:rFonts w:ascii="Cambria" w:eastAsia="SimSun" w:hAnsi="Cambria" w:cs="Times New Roman"/>
                <w:b/>
                <w:bCs/>
                <w:sz w:val="22"/>
                <w:szCs w:val="22"/>
                <w:lang w:val="en-GB" w:eastAsia="zh-CN"/>
              </w:rPr>
              <w:t>GST – Suggestions on Policy measures</w:t>
            </w:r>
          </w:p>
        </w:tc>
        <w:tc>
          <w:tcPr>
            <w:tcW w:w="1275" w:type="dxa"/>
          </w:tcPr>
          <w:p w:rsidR="00A90DB5" w:rsidRPr="00CE3F04" w:rsidRDefault="00A90DB5" w:rsidP="004326DE">
            <w:pPr>
              <w:jc w:val="center"/>
              <w:rPr>
                <w:rFonts w:ascii="Cambria" w:hAnsi="Cambria" w:cstheme="minorHAnsi"/>
                <w:color w:val="000000" w:themeColor="text1"/>
              </w:rPr>
            </w:pPr>
          </w:p>
        </w:tc>
      </w:tr>
      <w:tr w:rsidR="00A90DB5" w:rsidRPr="00CE3F04" w:rsidTr="00CE3F04">
        <w:tc>
          <w:tcPr>
            <w:tcW w:w="837" w:type="dxa"/>
          </w:tcPr>
          <w:p w:rsidR="00A90DB5" w:rsidRPr="00CE3F04" w:rsidRDefault="00A90DB5" w:rsidP="00CE3F04">
            <w:pPr>
              <w:rPr>
                <w:rFonts w:ascii="Cambria" w:hAnsi="Cambria" w:cstheme="minorHAnsi"/>
                <w:color w:val="000000" w:themeColor="text1"/>
              </w:rPr>
            </w:pPr>
            <w:r w:rsidRPr="00CE3F04">
              <w:rPr>
                <w:rFonts w:ascii="Cambria" w:hAnsi="Cambria" w:cstheme="minorHAnsi"/>
                <w:color w:val="000000" w:themeColor="text1"/>
              </w:rPr>
              <w:t>1.</w:t>
            </w:r>
          </w:p>
        </w:tc>
        <w:tc>
          <w:tcPr>
            <w:tcW w:w="11921" w:type="dxa"/>
          </w:tcPr>
          <w:p w:rsidR="00A90DB5" w:rsidRPr="00CE3F04" w:rsidRDefault="00A90DB5" w:rsidP="00A90DB5">
            <w:pPr>
              <w:pStyle w:val="PlainText"/>
              <w:spacing w:line="276" w:lineRule="auto"/>
              <w:contextualSpacing/>
              <w:rPr>
                <w:rFonts w:ascii="Cambria" w:eastAsia="SimSun" w:hAnsi="Cambria" w:cs="Times New Roman"/>
                <w:bCs/>
                <w:sz w:val="22"/>
                <w:szCs w:val="22"/>
                <w:lang w:val="en-GB" w:eastAsia="zh-CN"/>
              </w:rPr>
            </w:pPr>
            <w:r w:rsidRPr="00CE3F04">
              <w:rPr>
                <w:rFonts w:ascii="Cambria" w:eastAsia="SimSun" w:hAnsi="Cambria" w:cs="Times New Roman"/>
                <w:bCs/>
                <w:sz w:val="22"/>
                <w:szCs w:val="22"/>
                <w:lang w:val="en-GB" w:eastAsia="zh-CN"/>
              </w:rPr>
              <w:t>Rationalization of GST rates to reduce dispute on classification</w:t>
            </w:r>
          </w:p>
        </w:tc>
        <w:tc>
          <w:tcPr>
            <w:tcW w:w="1275" w:type="dxa"/>
          </w:tcPr>
          <w:p w:rsidR="00A90DB5" w:rsidRPr="00CE3F04" w:rsidRDefault="008931D4" w:rsidP="004326DE">
            <w:pPr>
              <w:jc w:val="center"/>
              <w:rPr>
                <w:rFonts w:ascii="Cambria" w:hAnsi="Cambria" w:cstheme="minorHAnsi"/>
                <w:color w:val="000000" w:themeColor="text1"/>
              </w:rPr>
            </w:pPr>
            <w:r>
              <w:rPr>
                <w:rFonts w:ascii="Cambria" w:hAnsi="Cambria" w:cstheme="minorHAnsi"/>
                <w:color w:val="000000" w:themeColor="text1"/>
              </w:rPr>
              <w:t>21</w:t>
            </w:r>
          </w:p>
        </w:tc>
      </w:tr>
      <w:tr w:rsidR="00A90DB5" w:rsidRPr="00CE3F04" w:rsidTr="00CE3F04">
        <w:tc>
          <w:tcPr>
            <w:tcW w:w="837" w:type="dxa"/>
          </w:tcPr>
          <w:p w:rsidR="00A90DB5" w:rsidRPr="00CE3F04" w:rsidRDefault="00A90DB5" w:rsidP="00CE3F04">
            <w:pPr>
              <w:rPr>
                <w:rFonts w:ascii="Cambria" w:hAnsi="Cambria" w:cstheme="minorHAnsi"/>
                <w:b/>
                <w:color w:val="000000" w:themeColor="text1"/>
              </w:rPr>
            </w:pPr>
            <w:r w:rsidRPr="00CE3F04">
              <w:rPr>
                <w:rFonts w:ascii="Cambria" w:hAnsi="Cambria" w:cstheme="minorHAnsi"/>
                <w:b/>
                <w:color w:val="000000" w:themeColor="text1"/>
              </w:rPr>
              <w:t>D</w:t>
            </w:r>
          </w:p>
        </w:tc>
        <w:tc>
          <w:tcPr>
            <w:tcW w:w="11921" w:type="dxa"/>
          </w:tcPr>
          <w:p w:rsidR="00A90DB5" w:rsidRPr="00CE3F04" w:rsidRDefault="00A90DB5" w:rsidP="00A90DB5">
            <w:pPr>
              <w:pStyle w:val="PlainText"/>
              <w:spacing w:line="276" w:lineRule="auto"/>
              <w:contextualSpacing/>
              <w:rPr>
                <w:rFonts w:ascii="Cambria" w:eastAsia="SimSun" w:hAnsi="Cambria" w:cs="Times New Roman"/>
                <w:b/>
                <w:bCs/>
                <w:sz w:val="22"/>
                <w:szCs w:val="22"/>
                <w:lang w:val="en-GB" w:eastAsia="zh-CN"/>
              </w:rPr>
            </w:pPr>
            <w:r w:rsidRPr="00CE3F04">
              <w:rPr>
                <w:rFonts w:ascii="Cambria" w:eastAsia="SimSun" w:hAnsi="Cambria" w:cs="Times New Roman"/>
                <w:b/>
                <w:bCs/>
                <w:sz w:val="22"/>
                <w:szCs w:val="22"/>
                <w:lang w:val="en-GB" w:eastAsia="zh-CN"/>
              </w:rPr>
              <w:t>Issues arising out of Budget proposals</w:t>
            </w:r>
          </w:p>
        </w:tc>
        <w:tc>
          <w:tcPr>
            <w:tcW w:w="1275" w:type="dxa"/>
          </w:tcPr>
          <w:p w:rsidR="00A90DB5" w:rsidRPr="00CE3F04" w:rsidRDefault="00A90DB5" w:rsidP="004326DE">
            <w:pPr>
              <w:jc w:val="center"/>
              <w:rPr>
                <w:rFonts w:ascii="Cambria" w:hAnsi="Cambria" w:cstheme="minorHAnsi"/>
                <w:color w:val="000000" w:themeColor="text1"/>
              </w:rPr>
            </w:pPr>
          </w:p>
        </w:tc>
      </w:tr>
      <w:tr w:rsidR="00A90DB5" w:rsidRPr="00CE3F04" w:rsidTr="00CE3F04">
        <w:tc>
          <w:tcPr>
            <w:tcW w:w="837" w:type="dxa"/>
          </w:tcPr>
          <w:p w:rsidR="00A90DB5" w:rsidRPr="00CE3F04" w:rsidRDefault="00A90DB5" w:rsidP="00CE3F04">
            <w:pPr>
              <w:rPr>
                <w:rFonts w:ascii="Cambria" w:hAnsi="Cambria" w:cstheme="minorHAnsi"/>
                <w:color w:val="000000" w:themeColor="text1"/>
              </w:rPr>
            </w:pPr>
          </w:p>
        </w:tc>
        <w:tc>
          <w:tcPr>
            <w:tcW w:w="11921" w:type="dxa"/>
          </w:tcPr>
          <w:p w:rsidR="00A90DB5" w:rsidRPr="00CE3F04" w:rsidRDefault="00A90DB5" w:rsidP="00A90DB5">
            <w:pPr>
              <w:pStyle w:val="PlainText"/>
              <w:spacing w:line="276" w:lineRule="auto"/>
              <w:contextualSpacing/>
              <w:rPr>
                <w:rFonts w:ascii="Cambria" w:eastAsia="SimSun" w:hAnsi="Cambria" w:cs="Times New Roman"/>
                <w:bCs/>
                <w:sz w:val="22"/>
                <w:szCs w:val="22"/>
                <w:lang w:val="en-GB" w:eastAsia="zh-CN"/>
              </w:rPr>
            </w:pPr>
            <w:r w:rsidRPr="00CE3F04">
              <w:rPr>
                <w:rFonts w:ascii="Cambria" w:hAnsi="Cambria" w:cs="Arial"/>
                <w:bCs/>
                <w:color w:val="000000"/>
                <w:sz w:val="22"/>
                <w:szCs w:val="22"/>
                <w:lang w:val="en-GB"/>
              </w:rPr>
              <w:t>Validity of conditional exemption</w:t>
            </w:r>
          </w:p>
        </w:tc>
        <w:tc>
          <w:tcPr>
            <w:tcW w:w="1275" w:type="dxa"/>
          </w:tcPr>
          <w:p w:rsidR="00A90DB5" w:rsidRPr="00CE3F04" w:rsidRDefault="008931D4" w:rsidP="004326DE">
            <w:pPr>
              <w:jc w:val="center"/>
              <w:rPr>
                <w:rFonts w:ascii="Cambria" w:hAnsi="Cambria" w:cstheme="minorHAnsi"/>
                <w:color w:val="000000" w:themeColor="text1"/>
              </w:rPr>
            </w:pPr>
            <w:r>
              <w:rPr>
                <w:rFonts w:ascii="Cambria" w:hAnsi="Cambria" w:cstheme="minorHAnsi"/>
                <w:color w:val="000000" w:themeColor="text1"/>
              </w:rPr>
              <w:t>22</w:t>
            </w:r>
          </w:p>
        </w:tc>
      </w:tr>
      <w:tr w:rsidR="00C16A1E" w:rsidRPr="00CE3F04" w:rsidTr="00CE3F04">
        <w:tc>
          <w:tcPr>
            <w:tcW w:w="837" w:type="dxa"/>
          </w:tcPr>
          <w:p w:rsidR="00C16A1E" w:rsidRPr="00CE3F04" w:rsidRDefault="00C16A1E" w:rsidP="00CE3F04">
            <w:pPr>
              <w:rPr>
                <w:rFonts w:ascii="Cambria" w:hAnsi="Cambria" w:cstheme="minorHAnsi"/>
                <w:b/>
                <w:color w:val="000000" w:themeColor="text1"/>
              </w:rPr>
            </w:pPr>
            <w:r w:rsidRPr="00CE3F04">
              <w:rPr>
                <w:rFonts w:ascii="Cambria" w:hAnsi="Cambria" w:cstheme="minorHAnsi"/>
                <w:b/>
                <w:color w:val="000000" w:themeColor="text1"/>
              </w:rPr>
              <w:t>E</w:t>
            </w:r>
          </w:p>
        </w:tc>
        <w:tc>
          <w:tcPr>
            <w:tcW w:w="11921" w:type="dxa"/>
          </w:tcPr>
          <w:p w:rsidR="00C16A1E" w:rsidRPr="00CE3F04" w:rsidRDefault="00C16A1E" w:rsidP="00A90DB5">
            <w:pPr>
              <w:pStyle w:val="PlainText"/>
              <w:spacing w:line="276" w:lineRule="auto"/>
              <w:contextualSpacing/>
              <w:rPr>
                <w:rFonts w:ascii="Cambria" w:hAnsi="Cambria" w:cs="Arial"/>
                <w:b/>
                <w:bCs/>
                <w:color w:val="000000"/>
                <w:sz w:val="22"/>
                <w:szCs w:val="22"/>
                <w:lang w:val="en-GB"/>
              </w:rPr>
            </w:pPr>
            <w:r w:rsidRPr="00CE3F04">
              <w:rPr>
                <w:rFonts w:ascii="Cambria" w:hAnsi="Cambria" w:cs="Arial"/>
                <w:b/>
                <w:bCs/>
                <w:color w:val="000000"/>
                <w:sz w:val="22"/>
                <w:szCs w:val="22"/>
                <w:lang w:val="en-GB"/>
              </w:rPr>
              <w:t>Customs – Other issues</w:t>
            </w:r>
          </w:p>
        </w:tc>
        <w:tc>
          <w:tcPr>
            <w:tcW w:w="1275" w:type="dxa"/>
          </w:tcPr>
          <w:p w:rsidR="00C16A1E" w:rsidRPr="00CE3F04" w:rsidRDefault="00C16A1E" w:rsidP="004326DE">
            <w:pPr>
              <w:jc w:val="center"/>
              <w:rPr>
                <w:rFonts w:ascii="Cambria" w:hAnsi="Cambria" w:cstheme="minorHAnsi"/>
                <w:color w:val="000000" w:themeColor="text1"/>
              </w:rPr>
            </w:pPr>
          </w:p>
        </w:tc>
      </w:tr>
      <w:tr w:rsidR="00A90DB5" w:rsidRPr="00CE3F04" w:rsidTr="00CE3F04">
        <w:tc>
          <w:tcPr>
            <w:tcW w:w="837" w:type="dxa"/>
          </w:tcPr>
          <w:p w:rsidR="00A90DB5" w:rsidRPr="00CE3F04" w:rsidRDefault="00A90DB5" w:rsidP="00CE3F04">
            <w:pPr>
              <w:pStyle w:val="ListParagraph"/>
              <w:numPr>
                <w:ilvl w:val="0"/>
                <w:numId w:val="19"/>
              </w:numPr>
              <w:spacing w:after="0" w:line="240" w:lineRule="auto"/>
              <w:ind w:left="0" w:firstLine="0"/>
              <w:jc w:val="both"/>
              <w:rPr>
                <w:rFonts w:ascii="Cambria" w:hAnsi="Cambria" w:cstheme="minorHAnsi"/>
                <w:color w:val="000000" w:themeColor="text1"/>
              </w:rPr>
            </w:pPr>
          </w:p>
        </w:tc>
        <w:tc>
          <w:tcPr>
            <w:tcW w:w="11921" w:type="dxa"/>
          </w:tcPr>
          <w:p w:rsidR="00A90DB5" w:rsidRPr="00CE3F04" w:rsidRDefault="00DC3B5F" w:rsidP="00A90DB5">
            <w:pPr>
              <w:pStyle w:val="PlainText"/>
              <w:spacing w:line="276" w:lineRule="auto"/>
              <w:contextualSpacing/>
              <w:rPr>
                <w:rFonts w:ascii="Cambria" w:hAnsi="Cambria" w:cs="Arial"/>
                <w:bCs/>
                <w:color w:val="000000"/>
                <w:sz w:val="22"/>
                <w:szCs w:val="22"/>
                <w:lang w:val="en-GB"/>
              </w:rPr>
            </w:pPr>
            <w:r w:rsidRPr="00CE3F04">
              <w:rPr>
                <w:rFonts w:ascii="Cambria" w:hAnsi="Cambria" w:cs="Calibri"/>
                <w:bCs/>
                <w:sz w:val="22"/>
                <w:szCs w:val="22"/>
              </w:rPr>
              <w:t>Utilization of Remission of Duties and Taxes on Export Products (</w:t>
            </w:r>
            <w:proofErr w:type="spellStart"/>
            <w:r w:rsidRPr="00CE3F04">
              <w:rPr>
                <w:rFonts w:ascii="Cambria" w:hAnsi="Cambria" w:cs="Calibri"/>
                <w:bCs/>
                <w:sz w:val="22"/>
                <w:szCs w:val="22"/>
              </w:rPr>
              <w:t>RoDTEP</w:t>
            </w:r>
            <w:proofErr w:type="spellEnd"/>
            <w:r w:rsidRPr="00CE3F04">
              <w:rPr>
                <w:rFonts w:ascii="Cambria" w:hAnsi="Cambria" w:cs="Calibri"/>
                <w:bCs/>
                <w:sz w:val="22"/>
                <w:szCs w:val="22"/>
              </w:rPr>
              <w:t>) and Rebate of State and Central Taxes and Levies (</w:t>
            </w:r>
            <w:proofErr w:type="spellStart"/>
            <w:r w:rsidRPr="00CE3F04">
              <w:rPr>
                <w:rFonts w:ascii="Cambria" w:hAnsi="Cambria" w:cs="Calibri"/>
                <w:bCs/>
                <w:sz w:val="22"/>
                <w:szCs w:val="22"/>
              </w:rPr>
              <w:t>RoSCTL</w:t>
            </w:r>
            <w:proofErr w:type="spellEnd"/>
            <w:r w:rsidRPr="00CE3F04">
              <w:rPr>
                <w:rFonts w:ascii="Cambria" w:hAnsi="Cambria" w:cs="Calibri"/>
                <w:bCs/>
                <w:sz w:val="22"/>
                <w:szCs w:val="22"/>
              </w:rPr>
              <w:t xml:space="preserve">) </w:t>
            </w:r>
            <w:proofErr w:type="spellStart"/>
            <w:r w:rsidRPr="00CE3F04">
              <w:rPr>
                <w:rFonts w:ascii="Cambria" w:hAnsi="Cambria" w:cs="Calibri"/>
                <w:bCs/>
                <w:sz w:val="22"/>
                <w:szCs w:val="22"/>
              </w:rPr>
              <w:t>scrips</w:t>
            </w:r>
            <w:proofErr w:type="spellEnd"/>
            <w:r w:rsidRPr="00CE3F04">
              <w:rPr>
                <w:rFonts w:ascii="Cambria" w:hAnsi="Cambria" w:cs="Calibri"/>
                <w:bCs/>
                <w:sz w:val="22"/>
                <w:szCs w:val="22"/>
              </w:rPr>
              <w:t xml:space="preserve"> for payment of GST</w:t>
            </w:r>
          </w:p>
        </w:tc>
        <w:tc>
          <w:tcPr>
            <w:tcW w:w="1275" w:type="dxa"/>
          </w:tcPr>
          <w:p w:rsidR="00A90DB5" w:rsidRPr="00CE3F04" w:rsidRDefault="008931D4" w:rsidP="004326DE">
            <w:pPr>
              <w:jc w:val="center"/>
              <w:rPr>
                <w:rFonts w:ascii="Cambria" w:hAnsi="Cambria" w:cstheme="minorHAnsi"/>
                <w:color w:val="000000" w:themeColor="text1"/>
              </w:rPr>
            </w:pPr>
            <w:r>
              <w:rPr>
                <w:rFonts w:ascii="Cambria" w:hAnsi="Cambria" w:cstheme="minorHAnsi"/>
                <w:color w:val="000000" w:themeColor="text1"/>
              </w:rPr>
              <w:t>23</w:t>
            </w:r>
          </w:p>
        </w:tc>
      </w:tr>
      <w:tr w:rsidR="00C16A1E" w:rsidRPr="00CE3F04" w:rsidTr="00CE3F04">
        <w:tc>
          <w:tcPr>
            <w:tcW w:w="837" w:type="dxa"/>
          </w:tcPr>
          <w:p w:rsidR="00C16A1E" w:rsidRPr="00CE3F04" w:rsidRDefault="00C16A1E" w:rsidP="00CE3F04">
            <w:pPr>
              <w:pStyle w:val="ListParagraph"/>
              <w:numPr>
                <w:ilvl w:val="0"/>
                <w:numId w:val="19"/>
              </w:numPr>
              <w:spacing w:after="0" w:line="240" w:lineRule="auto"/>
              <w:ind w:left="0" w:firstLine="0"/>
              <w:jc w:val="both"/>
              <w:rPr>
                <w:rFonts w:ascii="Cambria" w:hAnsi="Cambria" w:cstheme="minorHAnsi"/>
                <w:color w:val="000000" w:themeColor="text1"/>
              </w:rPr>
            </w:pPr>
          </w:p>
        </w:tc>
        <w:tc>
          <w:tcPr>
            <w:tcW w:w="11921" w:type="dxa"/>
          </w:tcPr>
          <w:p w:rsidR="00C16A1E" w:rsidRPr="00CE3F04" w:rsidRDefault="00CE3F04" w:rsidP="00A90DB5">
            <w:pPr>
              <w:pStyle w:val="PlainText"/>
              <w:spacing w:line="276" w:lineRule="auto"/>
              <w:contextualSpacing/>
              <w:rPr>
                <w:rFonts w:ascii="Cambria" w:hAnsi="Cambria" w:cs="Calibri"/>
                <w:bCs/>
                <w:sz w:val="22"/>
                <w:szCs w:val="22"/>
              </w:rPr>
            </w:pPr>
            <w:proofErr w:type="spellStart"/>
            <w:r w:rsidRPr="00CE3F04">
              <w:rPr>
                <w:rFonts w:ascii="Cambria" w:hAnsi="Cambria" w:cs="Calibri"/>
                <w:bCs/>
                <w:sz w:val="22"/>
                <w:szCs w:val="22"/>
              </w:rPr>
              <w:t>RoDTEP</w:t>
            </w:r>
            <w:proofErr w:type="spellEnd"/>
            <w:r w:rsidRPr="00CE3F04">
              <w:rPr>
                <w:rFonts w:ascii="Cambria" w:hAnsi="Cambria" w:cs="Calibri"/>
                <w:bCs/>
                <w:sz w:val="22"/>
                <w:szCs w:val="22"/>
              </w:rPr>
              <w:t xml:space="preserve"> Scheme to be extended to exports made by SEZ, EOU &amp; under Advance Authorization</w:t>
            </w:r>
          </w:p>
        </w:tc>
        <w:tc>
          <w:tcPr>
            <w:tcW w:w="1275" w:type="dxa"/>
          </w:tcPr>
          <w:p w:rsidR="00C16A1E" w:rsidRPr="00CE3F04" w:rsidRDefault="008931D4" w:rsidP="004326DE">
            <w:pPr>
              <w:jc w:val="center"/>
              <w:rPr>
                <w:rFonts w:ascii="Cambria" w:hAnsi="Cambria" w:cstheme="minorHAnsi"/>
                <w:color w:val="000000" w:themeColor="text1"/>
              </w:rPr>
            </w:pPr>
            <w:r>
              <w:rPr>
                <w:rFonts w:ascii="Cambria" w:hAnsi="Cambria" w:cstheme="minorHAnsi"/>
                <w:color w:val="000000" w:themeColor="text1"/>
              </w:rPr>
              <w:t>23</w:t>
            </w:r>
          </w:p>
        </w:tc>
      </w:tr>
      <w:tr w:rsidR="00C16A1E" w:rsidRPr="00CE3F04" w:rsidTr="00CE3F04">
        <w:tc>
          <w:tcPr>
            <w:tcW w:w="837" w:type="dxa"/>
          </w:tcPr>
          <w:p w:rsidR="00C16A1E" w:rsidRPr="00CE3F04" w:rsidRDefault="00C16A1E" w:rsidP="00CE3F04">
            <w:pPr>
              <w:pStyle w:val="ListParagraph"/>
              <w:numPr>
                <w:ilvl w:val="0"/>
                <w:numId w:val="19"/>
              </w:numPr>
              <w:spacing w:after="0" w:line="240" w:lineRule="auto"/>
              <w:ind w:left="0" w:firstLine="0"/>
              <w:jc w:val="both"/>
              <w:rPr>
                <w:rFonts w:ascii="Cambria" w:hAnsi="Cambria" w:cstheme="minorHAnsi"/>
                <w:color w:val="000000" w:themeColor="text1"/>
              </w:rPr>
            </w:pPr>
          </w:p>
        </w:tc>
        <w:tc>
          <w:tcPr>
            <w:tcW w:w="11921" w:type="dxa"/>
          </w:tcPr>
          <w:p w:rsidR="00C16A1E" w:rsidRPr="00CE3F04" w:rsidRDefault="00CE3F04" w:rsidP="00A90DB5">
            <w:pPr>
              <w:pStyle w:val="PlainText"/>
              <w:spacing w:line="276" w:lineRule="auto"/>
              <w:contextualSpacing/>
              <w:rPr>
                <w:rFonts w:ascii="Cambria" w:hAnsi="Cambria" w:cs="Calibri"/>
                <w:bCs/>
                <w:sz w:val="22"/>
                <w:szCs w:val="22"/>
              </w:rPr>
            </w:pPr>
            <w:r w:rsidRPr="00CE3F04">
              <w:rPr>
                <w:rFonts w:ascii="Cambria" w:hAnsi="Cambria" w:cs="Calibri"/>
                <w:bCs/>
                <w:color w:val="000000"/>
                <w:sz w:val="22"/>
                <w:szCs w:val="22"/>
              </w:rPr>
              <w:t>One-time amnesty-cum-dispute resolution scheme for disputes and litigations under Customs law</w:t>
            </w:r>
          </w:p>
        </w:tc>
        <w:tc>
          <w:tcPr>
            <w:tcW w:w="1275" w:type="dxa"/>
          </w:tcPr>
          <w:p w:rsidR="00C16A1E" w:rsidRPr="00CE3F04" w:rsidRDefault="008931D4" w:rsidP="004326DE">
            <w:pPr>
              <w:jc w:val="center"/>
              <w:rPr>
                <w:rFonts w:ascii="Cambria" w:hAnsi="Cambria" w:cstheme="minorHAnsi"/>
                <w:color w:val="000000" w:themeColor="text1"/>
              </w:rPr>
            </w:pPr>
            <w:r>
              <w:rPr>
                <w:rFonts w:ascii="Cambria" w:hAnsi="Cambria" w:cstheme="minorHAnsi"/>
                <w:color w:val="000000" w:themeColor="text1"/>
              </w:rPr>
              <w:t>23</w:t>
            </w:r>
          </w:p>
        </w:tc>
      </w:tr>
      <w:tr w:rsidR="00C16A1E" w:rsidRPr="00CE3F04" w:rsidTr="00CE3F04">
        <w:tc>
          <w:tcPr>
            <w:tcW w:w="837" w:type="dxa"/>
          </w:tcPr>
          <w:p w:rsidR="00C16A1E" w:rsidRPr="00CE3F04" w:rsidRDefault="00C16A1E" w:rsidP="00CE3F04">
            <w:pPr>
              <w:pStyle w:val="ListParagraph"/>
              <w:numPr>
                <w:ilvl w:val="0"/>
                <w:numId w:val="19"/>
              </w:numPr>
              <w:spacing w:after="0" w:line="240" w:lineRule="auto"/>
              <w:ind w:left="0" w:firstLine="0"/>
              <w:jc w:val="both"/>
              <w:rPr>
                <w:rFonts w:ascii="Cambria" w:hAnsi="Cambria" w:cstheme="minorHAnsi"/>
                <w:color w:val="000000" w:themeColor="text1"/>
              </w:rPr>
            </w:pPr>
          </w:p>
        </w:tc>
        <w:tc>
          <w:tcPr>
            <w:tcW w:w="11921" w:type="dxa"/>
          </w:tcPr>
          <w:p w:rsidR="00C16A1E" w:rsidRPr="00CE3F04" w:rsidRDefault="00CE3F04" w:rsidP="00CE3F04">
            <w:pPr>
              <w:spacing w:line="256" w:lineRule="auto"/>
              <w:outlineLvl w:val="0"/>
              <w:rPr>
                <w:rFonts w:ascii="Cambria" w:eastAsia="Times New Roman" w:hAnsi="Cambria" w:cs="Calibri"/>
                <w:bCs/>
              </w:rPr>
            </w:pPr>
            <w:r w:rsidRPr="00CE3F04">
              <w:rPr>
                <w:rFonts w:ascii="Cambria" w:eastAsia="Times New Roman" w:hAnsi="Cambria" w:cs="Calibri"/>
                <w:bCs/>
              </w:rPr>
              <w:t>Duty Drawback for Defence Goods</w:t>
            </w:r>
          </w:p>
        </w:tc>
        <w:tc>
          <w:tcPr>
            <w:tcW w:w="1275" w:type="dxa"/>
          </w:tcPr>
          <w:p w:rsidR="00C16A1E" w:rsidRPr="00CE3F04" w:rsidRDefault="008931D4" w:rsidP="004326DE">
            <w:pPr>
              <w:jc w:val="center"/>
              <w:rPr>
                <w:rFonts w:ascii="Cambria" w:hAnsi="Cambria" w:cstheme="minorHAnsi"/>
                <w:color w:val="000000" w:themeColor="text1"/>
              </w:rPr>
            </w:pPr>
            <w:r>
              <w:rPr>
                <w:rFonts w:ascii="Cambria" w:hAnsi="Cambria" w:cstheme="minorHAnsi"/>
                <w:color w:val="000000" w:themeColor="text1"/>
              </w:rPr>
              <w:t>24</w:t>
            </w:r>
          </w:p>
        </w:tc>
      </w:tr>
      <w:tr w:rsidR="00C16A1E" w:rsidRPr="00CE3F04" w:rsidTr="00CE3F04">
        <w:tc>
          <w:tcPr>
            <w:tcW w:w="837" w:type="dxa"/>
          </w:tcPr>
          <w:p w:rsidR="00C16A1E" w:rsidRPr="00CE3F04" w:rsidRDefault="00C16A1E" w:rsidP="00CE3F04">
            <w:pPr>
              <w:pStyle w:val="ListParagraph"/>
              <w:numPr>
                <w:ilvl w:val="0"/>
                <w:numId w:val="19"/>
              </w:numPr>
              <w:spacing w:after="0" w:line="240" w:lineRule="auto"/>
              <w:ind w:left="0" w:firstLine="0"/>
              <w:jc w:val="both"/>
              <w:rPr>
                <w:rFonts w:ascii="Cambria" w:hAnsi="Cambria" w:cstheme="minorHAnsi"/>
                <w:color w:val="000000" w:themeColor="text1"/>
              </w:rPr>
            </w:pPr>
          </w:p>
        </w:tc>
        <w:tc>
          <w:tcPr>
            <w:tcW w:w="11921" w:type="dxa"/>
          </w:tcPr>
          <w:p w:rsidR="00C16A1E" w:rsidRPr="00CE3F04" w:rsidRDefault="00CE3F04" w:rsidP="00A90DB5">
            <w:pPr>
              <w:pStyle w:val="PlainText"/>
              <w:spacing w:line="276" w:lineRule="auto"/>
              <w:contextualSpacing/>
              <w:rPr>
                <w:rFonts w:ascii="Cambria" w:hAnsi="Cambria" w:cs="Calibri"/>
                <w:bCs/>
                <w:sz w:val="22"/>
                <w:szCs w:val="22"/>
              </w:rPr>
            </w:pPr>
            <w:r w:rsidRPr="00CE3F04">
              <w:rPr>
                <w:rFonts w:ascii="Cambria" w:hAnsi="Cambria" w:cs="Calibri"/>
                <w:bCs/>
                <w:sz w:val="22"/>
                <w:szCs w:val="22"/>
              </w:rPr>
              <w:t>CAROTAR 2020</w:t>
            </w:r>
          </w:p>
        </w:tc>
        <w:tc>
          <w:tcPr>
            <w:tcW w:w="1275" w:type="dxa"/>
          </w:tcPr>
          <w:p w:rsidR="00C16A1E" w:rsidRPr="00CE3F04" w:rsidRDefault="008931D4" w:rsidP="004326DE">
            <w:pPr>
              <w:jc w:val="center"/>
              <w:rPr>
                <w:rFonts w:ascii="Cambria" w:hAnsi="Cambria" w:cstheme="minorHAnsi"/>
                <w:color w:val="000000" w:themeColor="text1"/>
              </w:rPr>
            </w:pPr>
            <w:r>
              <w:rPr>
                <w:rFonts w:ascii="Cambria" w:hAnsi="Cambria" w:cstheme="minorHAnsi"/>
                <w:color w:val="000000" w:themeColor="text1"/>
              </w:rPr>
              <w:t>24</w:t>
            </w:r>
          </w:p>
        </w:tc>
      </w:tr>
      <w:tr w:rsidR="00CE3F04" w:rsidRPr="00CE3F04" w:rsidTr="00CE3F04">
        <w:tc>
          <w:tcPr>
            <w:tcW w:w="837" w:type="dxa"/>
          </w:tcPr>
          <w:p w:rsidR="00CE3F04" w:rsidRPr="00CE3F04" w:rsidRDefault="00CE3F04" w:rsidP="00CE3F04">
            <w:pPr>
              <w:pStyle w:val="ListParagraph"/>
              <w:numPr>
                <w:ilvl w:val="0"/>
                <w:numId w:val="19"/>
              </w:numPr>
              <w:spacing w:after="0" w:line="240" w:lineRule="auto"/>
              <w:ind w:left="0" w:firstLine="0"/>
              <w:jc w:val="both"/>
              <w:rPr>
                <w:rFonts w:ascii="Cambria" w:hAnsi="Cambria" w:cstheme="minorHAnsi"/>
                <w:color w:val="000000" w:themeColor="text1"/>
              </w:rPr>
            </w:pPr>
          </w:p>
        </w:tc>
        <w:tc>
          <w:tcPr>
            <w:tcW w:w="11921" w:type="dxa"/>
          </w:tcPr>
          <w:p w:rsidR="00CE3F04" w:rsidRPr="00CE3F04" w:rsidRDefault="00CE3F04" w:rsidP="00A90DB5">
            <w:pPr>
              <w:pStyle w:val="PlainText"/>
              <w:spacing w:line="276" w:lineRule="auto"/>
              <w:contextualSpacing/>
              <w:rPr>
                <w:rFonts w:ascii="Cambria" w:hAnsi="Cambria" w:cs="Calibri"/>
                <w:bCs/>
                <w:sz w:val="22"/>
                <w:szCs w:val="22"/>
              </w:rPr>
            </w:pPr>
            <w:r w:rsidRPr="00CE3F04">
              <w:rPr>
                <w:rFonts w:ascii="Cambria" w:hAnsi="Cambria" w:cs="Calibri"/>
                <w:bCs/>
                <w:sz w:val="22"/>
                <w:szCs w:val="22"/>
              </w:rPr>
              <w:t>Digital filing of appeals</w:t>
            </w:r>
          </w:p>
        </w:tc>
        <w:tc>
          <w:tcPr>
            <w:tcW w:w="1275" w:type="dxa"/>
          </w:tcPr>
          <w:p w:rsidR="00CE3F04" w:rsidRPr="00CE3F04" w:rsidRDefault="008931D4" w:rsidP="004326DE">
            <w:pPr>
              <w:jc w:val="center"/>
              <w:rPr>
                <w:rFonts w:ascii="Cambria" w:hAnsi="Cambria" w:cstheme="minorHAnsi"/>
                <w:color w:val="000000" w:themeColor="text1"/>
              </w:rPr>
            </w:pPr>
            <w:r>
              <w:rPr>
                <w:rFonts w:ascii="Cambria" w:hAnsi="Cambria" w:cstheme="minorHAnsi"/>
                <w:color w:val="000000" w:themeColor="text1"/>
              </w:rPr>
              <w:t>26</w:t>
            </w:r>
          </w:p>
        </w:tc>
      </w:tr>
      <w:tr w:rsidR="00CE3F04" w:rsidRPr="00CE3F04" w:rsidTr="00CE3F04">
        <w:tc>
          <w:tcPr>
            <w:tcW w:w="837" w:type="dxa"/>
          </w:tcPr>
          <w:p w:rsidR="00CE3F04" w:rsidRPr="00CE3F04" w:rsidRDefault="00CE3F04" w:rsidP="00CE3F04">
            <w:pPr>
              <w:pStyle w:val="ListParagraph"/>
              <w:numPr>
                <w:ilvl w:val="0"/>
                <w:numId w:val="19"/>
              </w:numPr>
              <w:spacing w:after="0" w:line="240" w:lineRule="auto"/>
              <w:ind w:left="0" w:firstLine="0"/>
              <w:jc w:val="both"/>
              <w:rPr>
                <w:rFonts w:ascii="Cambria" w:hAnsi="Cambria" w:cstheme="minorHAnsi"/>
                <w:color w:val="000000" w:themeColor="text1"/>
              </w:rPr>
            </w:pPr>
          </w:p>
        </w:tc>
        <w:tc>
          <w:tcPr>
            <w:tcW w:w="11921" w:type="dxa"/>
          </w:tcPr>
          <w:p w:rsidR="00CE3F04" w:rsidRPr="00CE3F04" w:rsidRDefault="00CE3F04" w:rsidP="00A90DB5">
            <w:pPr>
              <w:pStyle w:val="PlainText"/>
              <w:spacing w:line="276" w:lineRule="auto"/>
              <w:contextualSpacing/>
              <w:rPr>
                <w:rFonts w:ascii="Cambria" w:hAnsi="Cambria" w:cs="Calibri"/>
                <w:bCs/>
                <w:sz w:val="22"/>
                <w:szCs w:val="22"/>
              </w:rPr>
            </w:pPr>
            <w:r w:rsidRPr="00CE3F04">
              <w:rPr>
                <w:rFonts w:ascii="Cambria" w:hAnsi="Cambria" w:cs="Calibri"/>
                <w:bCs/>
                <w:sz w:val="22"/>
                <w:szCs w:val="22"/>
              </w:rPr>
              <w:t>Complete waiver of BCD on import of cocoa beans</w:t>
            </w:r>
          </w:p>
        </w:tc>
        <w:tc>
          <w:tcPr>
            <w:tcW w:w="1275" w:type="dxa"/>
          </w:tcPr>
          <w:p w:rsidR="00CE3F04" w:rsidRPr="00CE3F04" w:rsidRDefault="008931D4" w:rsidP="004326DE">
            <w:pPr>
              <w:jc w:val="center"/>
              <w:rPr>
                <w:rFonts w:ascii="Cambria" w:hAnsi="Cambria" w:cstheme="minorHAnsi"/>
                <w:color w:val="000000" w:themeColor="text1"/>
              </w:rPr>
            </w:pPr>
            <w:r>
              <w:rPr>
                <w:rFonts w:ascii="Cambria" w:hAnsi="Cambria" w:cstheme="minorHAnsi"/>
                <w:color w:val="000000" w:themeColor="text1"/>
              </w:rPr>
              <w:t>27</w:t>
            </w:r>
          </w:p>
        </w:tc>
      </w:tr>
    </w:tbl>
    <w:p w:rsidR="00950484" w:rsidRPr="00C16A1E" w:rsidRDefault="00950484">
      <w:pPr>
        <w:rPr>
          <w:rFonts w:ascii="Cambria" w:hAnsi="Cambria" w:cs="Arial"/>
          <w:b/>
          <w:color w:val="000000"/>
          <w:u w:val="single"/>
        </w:rPr>
      </w:pPr>
    </w:p>
    <w:p w:rsidR="00A90DB5" w:rsidRDefault="00A90DB5">
      <w:pPr>
        <w:rPr>
          <w:rFonts w:ascii="Cambria" w:hAnsi="Cambria" w:cs="Arial"/>
          <w:b/>
          <w:color w:val="000000"/>
          <w:u w:val="single"/>
        </w:rPr>
      </w:pPr>
    </w:p>
    <w:p w:rsidR="00A90DB5" w:rsidRDefault="00A90DB5">
      <w:pPr>
        <w:rPr>
          <w:rFonts w:ascii="Cambria" w:hAnsi="Cambria" w:cs="Arial"/>
          <w:b/>
          <w:color w:val="000000"/>
          <w:u w:val="single"/>
        </w:rPr>
      </w:pPr>
    </w:p>
    <w:p w:rsidR="003817A9" w:rsidRDefault="003817A9">
      <w:pPr>
        <w:rPr>
          <w:rFonts w:ascii="Cambria" w:hAnsi="Cambria" w:cs="Arial"/>
          <w:b/>
          <w:color w:val="000000"/>
          <w:u w:val="single"/>
        </w:rPr>
      </w:pPr>
      <w:r>
        <w:rPr>
          <w:rFonts w:ascii="Cambria" w:hAnsi="Cambria" w:cs="Arial"/>
          <w:b/>
          <w:color w:val="000000"/>
          <w:u w:val="single"/>
        </w:rPr>
        <w:br w:type="page"/>
      </w:r>
    </w:p>
    <w:p w:rsidR="004900B0" w:rsidRPr="00475852" w:rsidRDefault="00351620" w:rsidP="007A15A7">
      <w:pPr>
        <w:pStyle w:val="ListParagraph"/>
        <w:numPr>
          <w:ilvl w:val="0"/>
          <w:numId w:val="2"/>
        </w:numPr>
        <w:pBdr>
          <w:bottom w:val="single" w:sz="4" w:space="1" w:color="auto"/>
        </w:pBdr>
        <w:shd w:val="clear" w:color="auto" w:fill="D9D9D9" w:themeFill="background1" w:themeFillShade="D9"/>
        <w:spacing w:afterLines="120" w:line="360" w:lineRule="auto"/>
        <w:ind w:left="426"/>
        <w:jc w:val="both"/>
        <w:rPr>
          <w:rFonts w:ascii="Cambria" w:hAnsi="Cambria" w:cs="Arial"/>
          <w:b/>
          <w:color w:val="000000"/>
          <w:lang w:val="en-US"/>
        </w:rPr>
      </w:pPr>
      <w:r>
        <w:rPr>
          <w:rFonts w:ascii="Cambria" w:hAnsi="Cambria" w:cs="Arial"/>
          <w:b/>
          <w:color w:val="000000"/>
          <w:lang w:val="en-US"/>
        </w:rPr>
        <w:lastRenderedPageBreak/>
        <w:t xml:space="preserve">GST - </w:t>
      </w:r>
      <w:r w:rsidR="009B6794">
        <w:rPr>
          <w:rFonts w:ascii="Cambria" w:hAnsi="Cambria" w:cs="Arial"/>
          <w:b/>
          <w:color w:val="000000"/>
          <w:lang w:val="en-US"/>
        </w:rPr>
        <w:t>ISSUES ARISING OUT OF BUDGET PROPOSALS</w:t>
      </w:r>
      <w:r w:rsidR="001F7214">
        <w:rPr>
          <w:rFonts w:ascii="Cambria" w:hAnsi="Cambria" w:cs="Arial"/>
          <w:b/>
          <w:color w:val="000000"/>
          <w:lang w:val="en-US"/>
        </w:rPr>
        <w:t xml:space="preserve"> </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286"/>
        <w:gridCol w:w="2121"/>
        <w:gridCol w:w="5245"/>
        <w:gridCol w:w="5665"/>
      </w:tblGrid>
      <w:tr w:rsidR="002A6711" w:rsidRPr="00475852" w:rsidTr="00CF3C71">
        <w:trPr>
          <w:trHeight w:val="247"/>
          <w:tblHeader/>
          <w:jc w:val="center"/>
        </w:trPr>
        <w:tc>
          <w:tcPr>
            <w:tcW w:w="562" w:type="dxa"/>
            <w:shd w:val="clear" w:color="auto" w:fill="D9D9D9"/>
            <w:vAlign w:val="center"/>
          </w:tcPr>
          <w:p w:rsidR="004900B0" w:rsidRPr="00475852" w:rsidRDefault="004900B0" w:rsidP="007A15A7">
            <w:pPr>
              <w:spacing w:afterLines="120" w:line="276" w:lineRule="auto"/>
              <w:contextualSpacing/>
              <w:jc w:val="center"/>
              <w:rPr>
                <w:rFonts w:ascii="Cambria" w:hAnsi="Cambria" w:cs="Arial"/>
                <w:b/>
                <w:color w:val="000000"/>
              </w:rPr>
            </w:pPr>
            <w:bookmarkStart w:id="0" w:name="_Hlk97904584"/>
            <w:r w:rsidRPr="00475852">
              <w:rPr>
                <w:rFonts w:ascii="Cambria" w:hAnsi="Cambria" w:cs="Arial"/>
                <w:b/>
                <w:color w:val="000000"/>
              </w:rPr>
              <w:t>Sl.</w:t>
            </w:r>
          </w:p>
        </w:tc>
        <w:tc>
          <w:tcPr>
            <w:tcW w:w="1286" w:type="dxa"/>
            <w:shd w:val="clear" w:color="auto" w:fill="D9D9D9"/>
            <w:vAlign w:val="center"/>
          </w:tcPr>
          <w:p w:rsidR="004900B0" w:rsidRPr="00475852" w:rsidRDefault="00D114DA" w:rsidP="007A15A7">
            <w:pPr>
              <w:spacing w:afterLines="120" w:line="276" w:lineRule="auto"/>
              <w:contextualSpacing/>
              <w:jc w:val="center"/>
              <w:rPr>
                <w:rFonts w:ascii="Cambria" w:hAnsi="Cambria" w:cs="Arial"/>
                <w:b/>
                <w:color w:val="000000"/>
              </w:rPr>
            </w:pPr>
            <w:r w:rsidRPr="00475852">
              <w:rPr>
                <w:rFonts w:ascii="Cambria" w:hAnsi="Cambria" w:cs="Arial"/>
                <w:b/>
                <w:color w:val="000000"/>
              </w:rPr>
              <w:t>Finance Bill Clause</w:t>
            </w:r>
          </w:p>
        </w:tc>
        <w:tc>
          <w:tcPr>
            <w:tcW w:w="2121" w:type="dxa"/>
            <w:shd w:val="clear" w:color="auto" w:fill="D9D9D9"/>
            <w:vAlign w:val="center"/>
          </w:tcPr>
          <w:p w:rsidR="004900B0" w:rsidRPr="00475852" w:rsidRDefault="00D114DA" w:rsidP="007A15A7">
            <w:pPr>
              <w:spacing w:afterLines="120" w:line="276" w:lineRule="auto"/>
              <w:contextualSpacing/>
              <w:jc w:val="center"/>
              <w:rPr>
                <w:rFonts w:ascii="Cambria" w:hAnsi="Cambria" w:cs="Arial"/>
                <w:b/>
                <w:color w:val="000000"/>
              </w:rPr>
            </w:pPr>
            <w:r w:rsidRPr="00475852">
              <w:rPr>
                <w:rFonts w:ascii="Cambria" w:hAnsi="Cambria" w:cs="Arial"/>
                <w:b/>
                <w:color w:val="000000"/>
              </w:rPr>
              <w:t>Budget Proposals</w:t>
            </w:r>
          </w:p>
        </w:tc>
        <w:tc>
          <w:tcPr>
            <w:tcW w:w="5245" w:type="dxa"/>
            <w:shd w:val="clear" w:color="auto" w:fill="D9D9D9"/>
            <w:vAlign w:val="center"/>
          </w:tcPr>
          <w:p w:rsidR="004900B0" w:rsidRPr="00475852" w:rsidRDefault="002C1D29" w:rsidP="007A15A7">
            <w:pPr>
              <w:spacing w:afterLines="120" w:line="276" w:lineRule="auto"/>
              <w:contextualSpacing/>
              <w:jc w:val="center"/>
              <w:rPr>
                <w:rFonts w:ascii="Cambria" w:hAnsi="Cambria" w:cs="Arial"/>
                <w:b/>
                <w:color w:val="000000"/>
              </w:rPr>
            </w:pPr>
            <w:r w:rsidRPr="00475852">
              <w:rPr>
                <w:rFonts w:ascii="Cambria" w:hAnsi="Cambria" w:cs="Arial"/>
                <w:b/>
                <w:color w:val="000000"/>
              </w:rPr>
              <w:t>Issues</w:t>
            </w:r>
            <w:r w:rsidR="00BB65CC" w:rsidRPr="00475852">
              <w:rPr>
                <w:rFonts w:ascii="Cambria" w:hAnsi="Cambria" w:cs="Arial"/>
                <w:b/>
                <w:color w:val="000000"/>
              </w:rPr>
              <w:t xml:space="preserve"> and Rationale</w:t>
            </w:r>
          </w:p>
        </w:tc>
        <w:tc>
          <w:tcPr>
            <w:tcW w:w="5665" w:type="dxa"/>
            <w:shd w:val="clear" w:color="auto" w:fill="D9D9D9"/>
            <w:vAlign w:val="center"/>
          </w:tcPr>
          <w:p w:rsidR="004900B0" w:rsidRPr="00475852" w:rsidRDefault="004900B0" w:rsidP="007A15A7">
            <w:pPr>
              <w:spacing w:afterLines="120" w:line="276" w:lineRule="auto"/>
              <w:contextualSpacing/>
              <w:jc w:val="center"/>
              <w:rPr>
                <w:rFonts w:ascii="Cambria" w:hAnsi="Cambria" w:cs="Arial"/>
                <w:b/>
                <w:color w:val="000000"/>
              </w:rPr>
            </w:pPr>
            <w:r w:rsidRPr="00475852">
              <w:rPr>
                <w:rFonts w:ascii="Cambria" w:hAnsi="Cambria" w:cs="Arial"/>
                <w:b/>
                <w:color w:val="000000"/>
              </w:rPr>
              <w:t>Recommendation</w:t>
            </w:r>
            <w:r w:rsidR="00D114DA" w:rsidRPr="00475852">
              <w:rPr>
                <w:rFonts w:ascii="Cambria" w:hAnsi="Cambria" w:cs="Arial"/>
                <w:b/>
                <w:color w:val="000000"/>
              </w:rPr>
              <w:t>s</w:t>
            </w:r>
          </w:p>
        </w:tc>
      </w:tr>
      <w:bookmarkEnd w:id="0"/>
      <w:tr w:rsidR="005F5641" w:rsidRPr="00475852" w:rsidTr="00CF3C71">
        <w:trPr>
          <w:trHeight w:val="965"/>
          <w:jc w:val="center"/>
        </w:trPr>
        <w:tc>
          <w:tcPr>
            <w:tcW w:w="562" w:type="dxa"/>
          </w:tcPr>
          <w:p w:rsidR="005F5641" w:rsidRPr="00475852" w:rsidRDefault="005F5641" w:rsidP="007A15A7">
            <w:pPr>
              <w:pStyle w:val="PlainText"/>
              <w:spacing w:afterLines="120" w:line="276" w:lineRule="auto"/>
              <w:contextualSpacing/>
              <w:jc w:val="both"/>
              <w:rPr>
                <w:rFonts w:ascii="Cambria" w:eastAsia="Calibri" w:hAnsi="Cambria" w:cs="Arial"/>
                <w:color w:val="000000"/>
                <w:sz w:val="22"/>
                <w:szCs w:val="22"/>
                <w:lang w:val="en-GB"/>
              </w:rPr>
            </w:pPr>
            <w:r w:rsidRPr="00475852">
              <w:rPr>
                <w:rFonts w:ascii="Cambria" w:eastAsia="Calibri" w:hAnsi="Cambria" w:cs="Arial"/>
                <w:color w:val="000000"/>
                <w:sz w:val="22"/>
                <w:szCs w:val="22"/>
                <w:lang w:val="en-GB"/>
              </w:rPr>
              <w:t>1.</w:t>
            </w:r>
          </w:p>
        </w:tc>
        <w:tc>
          <w:tcPr>
            <w:tcW w:w="1286" w:type="dxa"/>
          </w:tcPr>
          <w:p w:rsidR="005F5641" w:rsidRPr="00475852" w:rsidRDefault="00CB628E" w:rsidP="007A15A7">
            <w:pPr>
              <w:pStyle w:val="PlainText"/>
              <w:spacing w:afterLines="120" w:line="276" w:lineRule="auto"/>
              <w:contextualSpacing/>
              <w:jc w:val="both"/>
              <w:rPr>
                <w:rFonts w:ascii="Cambria" w:hAnsi="Cambria" w:cs="Arial"/>
                <w:bCs/>
                <w:color w:val="000000"/>
                <w:sz w:val="22"/>
                <w:szCs w:val="22"/>
              </w:rPr>
            </w:pPr>
            <w:r>
              <w:rPr>
                <w:rFonts w:ascii="Cambria" w:hAnsi="Cambria" w:cs="Arial"/>
                <w:bCs/>
                <w:color w:val="000000"/>
                <w:sz w:val="22"/>
                <w:szCs w:val="22"/>
              </w:rPr>
              <w:t>130</w:t>
            </w:r>
          </w:p>
        </w:tc>
        <w:tc>
          <w:tcPr>
            <w:tcW w:w="2121" w:type="dxa"/>
            <w:shd w:val="clear" w:color="auto" w:fill="auto"/>
          </w:tcPr>
          <w:p w:rsidR="005F5641" w:rsidRDefault="008D5CFE" w:rsidP="00E56451">
            <w:pPr>
              <w:pStyle w:val="xmsonormal"/>
              <w:spacing w:line="276" w:lineRule="auto"/>
              <w:rPr>
                <w:rFonts w:ascii="Cambria" w:hAnsi="Cambria"/>
                <w:b/>
                <w:bCs/>
                <w:color w:val="000000"/>
              </w:rPr>
            </w:pPr>
            <w:r>
              <w:rPr>
                <w:rFonts w:ascii="Cambria" w:hAnsi="Cambria"/>
                <w:b/>
                <w:bCs/>
                <w:color w:val="000000"/>
              </w:rPr>
              <w:t xml:space="preserve">ITC restriction on CSR </w:t>
            </w:r>
            <w:r w:rsidR="00050787">
              <w:rPr>
                <w:rFonts w:ascii="Cambria" w:hAnsi="Cambria"/>
                <w:b/>
                <w:bCs/>
                <w:color w:val="000000"/>
              </w:rPr>
              <w:t>spend</w:t>
            </w:r>
          </w:p>
          <w:p w:rsidR="005F5641" w:rsidRPr="00B93A19" w:rsidRDefault="005F5641" w:rsidP="00E56451">
            <w:pPr>
              <w:pStyle w:val="xmsonormal"/>
              <w:spacing w:line="276" w:lineRule="auto"/>
              <w:rPr>
                <w:b/>
                <w:bCs/>
              </w:rPr>
            </w:pPr>
          </w:p>
          <w:p w:rsidR="005F5641" w:rsidRPr="00475852" w:rsidRDefault="005F5641" w:rsidP="007A15A7">
            <w:pPr>
              <w:spacing w:afterLines="120" w:line="276" w:lineRule="auto"/>
              <w:contextualSpacing/>
              <w:rPr>
                <w:rFonts w:ascii="Cambria" w:hAnsi="Cambria" w:cs="Arial"/>
                <w:b/>
                <w:bCs/>
                <w:color w:val="000000"/>
              </w:rPr>
            </w:pPr>
          </w:p>
        </w:tc>
        <w:tc>
          <w:tcPr>
            <w:tcW w:w="5245" w:type="dxa"/>
          </w:tcPr>
          <w:p w:rsidR="005F5641" w:rsidRPr="00634467" w:rsidRDefault="005F5641" w:rsidP="00637C28">
            <w:pPr>
              <w:pStyle w:val="xmsonormal"/>
              <w:numPr>
                <w:ilvl w:val="0"/>
                <w:numId w:val="8"/>
              </w:numPr>
              <w:spacing w:after="288"/>
              <w:ind w:left="322"/>
              <w:jc w:val="both"/>
              <w:rPr>
                <w:rFonts w:ascii="Cambria" w:hAnsi="Cambria"/>
                <w:color w:val="000000"/>
              </w:rPr>
            </w:pPr>
            <w:r w:rsidRPr="00774497">
              <w:rPr>
                <w:rFonts w:ascii="Cambria" w:hAnsi="Cambria"/>
                <w:color w:val="000000"/>
              </w:rPr>
              <w:t xml:space="preserve">As per proposed </w:t>
            </w:r>
            <w:r w:rsidR="00435134">
              <w:rPr>
                <w:rFonts w:ascii="Cambria" w:hAnsi="Cambria"/>
                <w:color w:val="000000"/>
              </w:rPr>
              <w:t xml:space="preserve">clause </w:t>
            </w:r>
            <w:r w:rsidRPr="00774497">
              <w:rPr>
                <w:rFonts w:ascii="Cambria" w:hAnsi="Cambria"/>
                <w:color w:val="000000"/>
              </w:rPr>
              <w:t>(</w:t>
            </w:r>
            <w:r w:rsidR="004601EF">
              <w:rPr>
                <w:rFonts w:ascii="Cambria" w:hAnsi="Cambria"/>
                <w:color w:val="000000"/>
              </w:rPr>
              <w:t>fa</w:t>
            </w:r>
            <w:r w:rsidRPr="00774497">
              <w:rPr>
                <w:rFonts w:ascii="Cambria" w:hAnsi="Cambria"/>
                <w:color w:val="000000"/>
              </w:rPr>
              <w:t>) of section 1</w:t>
            </w:r>
            <w:r w:rsidR="004601EF">
              <w:rPr>
                <w:rFonts w:ascii="Cambria" w:hAnsi="Cambria"/>
                <w:color w:val="000000"/>
              </w:rPr>
              <w:t>7(5)</w:t>
            </w:r>
            <w:r w:rsidRPr="00111E61">
              <w:rPr>
                <w:rFonts w:ascii="Cambria" w:hAnsi="Cambria"/>
                <w:color w:val="FF0000"/>
              </w:rPr>
              <w:t xml:space="preserve"> </w:t>
            </w:r>
            <w:r w:rsidRPr="00774497">
              <w:rPr>
                <w:rFonts w:ascii="Cambria" w:hAnsi="Cambria"/>
                <w:color w:val="000000"/>
              </w:rPr>
              <w:t xml:space="preserve">of CGST Act, input tax credit cannot be claimed </w:t>
            </w:r>
            <w:r w:rsidR="00827FD8">
              <w:rPr>
                <w:rFonts w:ascii="Cambria" w:hAnsi="Cambria"/>
                <w:color w:val="000000"/>
              </w:rPr>
              <w:t>on goods or service</w:t>
            </w:r>
            <w:r w:rsidR="00FD7CE1">
              <w:rPr>
                <w:rFonts w:ascii="Cambria" w:hAnsi="Cambria"/>
                <w:color w:val="000000"/>
              </w:rPr>
              <w:t>s received by a taxable person, which are used or intended to be used for activities relating to his obligations under corporate social responsibility</w:t>
            </w:r>
            <w:r w:rsidR="004452DB">
              <w:rPr>
                <w:rFonts w:ascii="Cambria" w:hAnsi="Cambria"/>
                <w:color w:val="000000"/>
              </w:rPr>
              <w:t xml:space="preserve"> (CSR)</w:t>
            </w:r>
            <w:r w:rsidR="00FD7CE1">
              <w:rPr>
                <w:rFonts w:ascii="Cambria" w:hAnsi="Cambria"/>
                <w:color w:val="000000"/>
              </w:rPr>
              <w:t xml:space="preserve"> referred to in section 135 of Companies Act, 2013</w:t>
            </w:r>
            <w:r w:rsidRPr="00774497">
              <w:rPr>
                <w:rFonts w:ascii="Cambria" w:hAnsi="Cambria"/>
                <w:color w:val="000000"/>
              </w:rPr>
              <w:t>.</w:t>
            </w:r>
          </w:p>
          <w:p w:rsidR="004B3A0B" w:rsidRDefault="004B3A0B" w:rsidP="00637C28">
            <w:pPr>
              <w:pStyle w:val="xmsonormal"/>
              <w:numPr>
                <w:ilvl w:val="0"/>
                <w:numId w:val="8"/>
              </w:numPr>
              <w:spacing w:after="288"/>
              <w:ind w:left="322"/>
              <w:jc w:val="both"/>
              <w:rPr>
                <w:rFonts w:ascii="Cambria" w:hAnsi="Cambria"/>
                <w:color w:val="000000"/>
              </w:rPr>
            </w:pPr>
            <w:r w:rsidRPr="00782FB0">
              <w:rPr>
                <w:rFonts w:ascii="Cambria" w:hAnsi="Cambria"/>
                <w:color w:val="000000"/>
              </w:rPr>
              <w:t xml:space="preserve">Since CSR activity is a business activity and mandated by Companies Act, Input Tax Credit </w:t>
            </w:r>
            <w:r w:rsidR="004452DB">
              <w:rPr>
                <w:rFonts w:ascii="Cambria" w:hAnsi="Cambria"/>
                <w:color w:val="000000"/>
              </w:rPr>
              <w:t xml:space="preserve">(ITC) </w:t>
            </w:r>
            <w:r w:rsidRPr="00782FB0">
              <w:rPr>
                <w:rFonts w:ascii="Cambria" w:hAnsi="Cambria"/>
                <w:color w:val="000000"/>
              </w:rPr>
              <w:t xml:space="preserve">of GST paid on supplies procured in course of the said CSR activities should be allowed. </w:t>
            </w:r>
          </w:p>
          <w:p w:rsidR="007B328F" w:rsidRDefault="007B328F" w:rsidP="00637C28">
            <w:pPr>
              <w:pStyle w:val="xmsonormal"/>
              <w:numPr>
                <w:ilvl w:val="0"/>
                <w:numId w:val="8"/>
              </w:numPr>
              <w:spacing w:after="288"/>
              <w:ind w:left="322"/>
              <w:jc w:val="both"/>
              <w:rPr>
                <w:rFonts w:ascii="Cambria" w:hAnsi="Cambria"/>
                <w:color w:val="000000"/>
              </w:rPr>
            </w:pPr>
            <w:r>
              <w:rPr>
                <w:rFonts w:ascii="Cambria" w:hAnsi="Cambria"/>
                <w:color w:val="000000"/>
              </w:rPr>
              <w:t xml:space="preserve">Many large business entities </w:t>
            </w:r>
            <w:r w:rsidR="001356D1">
              <w:rPr>
                <w:rFonts w:ascii="Cambria" w:hAnsi="Cambria"/>
                <w:color w:val="000000"/>
              </w:rPr>
              <w:t>have a separate group entity registered under section 12A of Income Tax Act, 1961 and undertaking charitable activities.</w:t>
            </w:r>
            <w:r w:rsidR="00013EE6">
              <w:rPr>
                <w:rFonts w:ascii="Cambria" w:hAnsi="Cambria"/>
                <w:color w:val="000000"/>
              </w:rPr>
              <w:t xml:space="preserve"> Goods and services are often supplied to such charitable entities by the group companies </w:t>
            </w:r>
            <w:r w:rsidR="006E1F30">
              <w:rPr>
                <w:rFonts w:ascii="Cambria" w:hAnsi="Cambria"/>
                <w:color w:val="000000"/>
              </w:rPr>
              <w:t>with an objective of charity and the amount so spent is debited to CSR expenditure.</w:t>
            </w:r>
          </w:p>
          <w:p w:rsidR="00834896" w:rsidRDefault="00834896" w:rsidP="00637C28">
            <w:pPr>
              <w:pStyle w:val="xmsonormal"/>
              <w:numPr>
                <w:ilvl w:val="0"/>
                <w:numId w:val="8"/>
              </w:numPr>
              <w:spacing w:after="288"/>
              <w:ind w:left="322"/>
              <w:jc w:val="both"/>
              <w:rPr>
                <w:rFonts w:ascii="Cambria" w:hAnsi="Cambria"/>
                <w:color w:val="000000"/>
              </w:rPr>
            </w:pPr>
            <w:r>
              <w:rPr>
                <w:rFonts w:ascii="Cambria" w:hAnsi="Cambria"/>
                <w:color w:val="000000"/>
              </w:rPr>
              <w:t xml:space="preserve">Currently, such supplies by the group companies to charitable entity are treated as taxable supply </w:t>
            </w:r>
            <w:r w:rsidR="00DE4A2B">
              <w:rPr>
                <w:rFonts w:ascii="Cambria" w:hAnsi="Cambria"/>
                <w:color w:val="000000"/>
              </w:rPr>
              <w:t xml:space="preserve">due to the provisions of entry 2 of Schedule I of CGST Act </w:t>
            </w:r>
            <w:r>
              <w:rPr>
                <w:rFonts w:ascii="Cambria" w:hAnsi="Cambria"/>
                <w:color w:val="000000"/>
              </w:rPr>
              <w:t xml:space="preserve">and GST is charged accordingly. On the other hand, </w:t>
            </w:r>
            <w:r w:rsidR="00D83A9E">
              <w:rPr>
                <w:rFonts w:ascii="Cambria" w:hAnsi="Cambria"/>
                <w:color w:val="000000"/>
              </w:rPr>
              <w:t>companies claim the benefit of ITC on the procurements made in this regard.</w:t>
            </w:r>
          </w:p>
          <w:p w:rsidR="00D22821" w:rsidRDefault="00D83A9E" w:rsidP="00637C28">
            <w:pPr>
              <w:pStyle w:val="xmsonormal"/>
              <w:numPr>
                <w:ilvl w:val="0"/>
                <w:numId w:val="8"/>
              </w:numPr>
              <w:spacing w:after="288"/>
              <w:ind w:left="322"/>
              <w:jc w:val="both"/>
              <w:rPr>
                <w:rFonts w:ascii="Cambria" w:hAnsi="Cambria"/>
                <w:color w:val="000000"/>
              </w:rPr>
            </w:pPr>
            <w:r>
              <w:rPr>
                <w:rFonts w:ascii="Cambria" w:hAnsi="Cambria"/>
                <w:color w:val="000000"/>
              </w:rPr>
              <w:lastRenderedPageBreak/>
              <w:t xml:space="preserve">Considering the insertion of clause (fa) under section 17(5), </w:t>
            </w:r>
            <w:r w:rsidR="00DE4A2B">
              <w:rPr>
                <w:rFonts w:ascii="Cambria" w:hAnsi="Cambria"/>
                <w:color w:val="000000"/>
              </w:rPr>
              <w:t xml:space="preserve">the question may arise about the eligibility of such ITC even if the tax has been discharged on the </w:t>
            </w:r>
            <w:r w:rsidR="00D22821">
              <w:rPr>
                <w:rFonts w:ascii="Cambria" w:hAnsi="Cambria"/>
                <w:color w:val="000000"/>
              </w:rPr>
              <w:t xml:space="preserve">output side. </w:t>
            </w:r>
          </w:p>
          <w:p w:rsidR="00D83A9E" w:rsidRPr="00EE2137" w:rsidRDefault="00D22821" w:rsidP="00637C28">
            <w:pPr>
              <w:pStyle w:val="xmsonormal"/>
              <w:numPr>
                <w:ilvl w:val="0"/>
                <w:numId w:val="8"/>
              </w:numPr>
              <w:spacing w:after="288"/>
              <w:ind w:left="322"/>
              <w:jc w:val="both"/>
              <w:rPr>
                <w:rFonts w:ascii="Cambria" w:hAnsi="Cambria"/>
                <w:color w:val="000000"/>
              </w:rPr>
            </w:pPr>
            <w:r>
              <w:rPr>
                <w:rFonts w:ascii="Cambria" w:hAnsi="Cambria"/>
                <w:color w:val="000000"/>
              </w:rPr>
              <w:t>There is a Circular issued by the Government in the past clarifying on ITC eligibility with reference to gifts and free samples</w:t>
            </w:r>
            <w:r w:rsidR="006E755D">
              <w:rPr>
                <w:rFonts w:ascii="Cambria" w:hAnsi="Cambria"/>
                <w:color w:val="000000"/>
              </w:rPr>
              <w:t>.</w:t>
            </w:r>
          </w:p>
        </w:tc>
        <w:tc>
          <w:tcPr>
            <w:tcW w:w="5665" w:type="dxa"/>
            <w:shd w:val="clear" w:color="auto" w:fill="auto"/>
          </w:tcPr>
          <w:p w:rsidR="00F64810" w:rsidRDefault="002E6A43" w:rsidP="00E56451">
            <w:pPr>
              <w:pStyle w:val="xmsonormal"/>
              <w:spacing w:after="0"/>
              <w:jc w:val="both"/>
              <w:rPr>
                <w:rFonts w:ascii="Cambria" w:hAnsi="Cambria"/>
                <w:color w:val="000000"/>
              </w:rPr>
            </w:pPr>
            <w:r>
              <w:rPr>
                <w:rFonts w:ascii="Cambria" w:hAnsi="Cambria"/>
                <w:color w:val="000000"/>
              </w:rPr>
              <w:lastRenderedPageBreak/>
              <w:t>The Chamber</w:t>
            </w:r>
            <w:r w:rsidR="005F5641">
              <w:rPr>
                <w:rFonts w:ascii="Cambria" w:hAnsi="Cambria"/>
                <w:color w:val="000000"/>
              </w:rPr>
              <w:t xml:space="preserve"> recommends that </w:t>
            </w:r>
            <w:r w:rsidR="005011DE">
              <w:rPr>
                <w:rFonts w:ascii="Cambria" w:hAnsi="Cambria"/>
                <w:color w:val="000000"/>
              </w:rPr>
              <w:t xml:space="preserve">the amendment should </w:t>
            </w:r>
            <w:r w:rsidR="004B20FC">
              <w:rPr>
                <w:rFonts w:ascii="Cambria" w:hAnsi="Cambria"/>
                <w:color w:val="000000"/>
              </w:rPr>
              <w:t xml:space="preserve">not </w:t>
            </w:r>
            <w:r w:rsidR="005011DE">
              <w:rPr>
                <w:rFonts w:ascii="Cambria" w:hAnsi="Cambria"/>
                <w:color w:val="000000"/>
              </w:rPr>
              <w:t xml:space="preserve">be </w:t>
            </w:r>
            <w:r w:rsidR="004B20FC">
              <w:rPr>
                <w:rFonts w:ascii="Cambria" w:hAnsi="Cambria"/>
                <w:color w:val="000000"/>
              </w:rPr>
              <w:t>made effective</w:t>
            </w:r>
            <w:r w:rsidR="005011DE">
              <w:rPr>
                <w:rFonts w:ascii="Cambria" w:hAnsi="Cambria"/>
                <w:color w:val="000000"/>
              </w:rPr>
              <w:t xml:space="preserve">, and ITC should be allowed on goods and services procured for undertaking CSR activities. </w:t>
            </w:r>
          </w:p>
          <w:p w:rsidR="00F64810" w:rsidRDefault="00F64810" w:rsidP="00E56451">
            <w:pPr>
              <w:pStyle w:val="xmsonormal"/>
              <w:spacing w:after="0"/>
              <w:jc w:val="both"/>
              <w:rPr>
                <w:rFonts w:ascii="Cambria" w:hAnsi="Cambria"/>
                <w:color w:val="000000"/>
              </w:rPr>
            </w:pPr>
          </w:p>
          <w:p w:rsidR="00875A60" w:rsidRDefault="004B20FC" w:rsidP="00BC44E0">
            <w:pPr>
              <w:pStyle w:val="xmsonormal"/>
              <w:spacing w:after="0"/>
              <w:jc w:val="both"/>
              <w:rPr>
                <w:rFonts w:ascii="Cambria" w:hAnsi="Cambria"/>
                <w:color w:val="000000"/>
              </w:rPr>
            </w:pPr>
            <w:r>
              <w:rPr>
                <w:rFonts w:ascii="Cambria" w:hAnsi="Cambria"/>
                <w:color w:val="000000"/>
              </w:rPr>
              <w:t xml:space="preserve">In case the amendment is </w:t>
            </w:r>
            <w:r w:rsidR="007B16D9">
              <w:rPr>
                <w:rFonts w:ascii="Cambria" w:hAnsi="Cambria"/>
                <w:color w:val="000000"/>
              </w:rPr>
              <w:t>made effective</w:t>
            </w:r>
            <w:r>
              <w:rPr>
                <w:rFonts w:ascii="Cambria" w:hAnsi="Cambria"/>
                <w:color w:val="000000"/>
              </w:rPr>
              <w:t xml:space="preserve">, </w:t>
            </w:r>
            <w:r w:rsidR="008A2DD6">
              <w:rPr>
                <w:rFonts w:ascii="Cambria" w:hAnsi="Cambria"/>
                <w:color w:val="000000"/>
              </w:rPr>
              <w:t xml:space="preserve">the Chamber recommends </w:t>
            </w:r>
            <w:r w:rsidR="006E755D">
              <w:rPr>
                <w:rFonts w:ascii="Cambria" w:hAnsi="Cambria"/>
                <w:color w:val="000000"/>
              </w:rPr>
              <w:t>suitable amendment by way of proviso under section 17(5</w:t>
            </w:r>
            <w:proofErr w:type="gramStart"/>
            <w:r w:rsidR="006E755D">
              <w:rPr>
                <w:rFonts w:ascii="Cambria" w:hAnsi="Cambria"/>
                <w:color w:val="000000"/>
              </w:rPr>
              <w:t>)(</w:t>
            </w:r>
            <w:proofErr w:type="gramEnd"/>
            <w:r w:rsidR="006E755D">
              <w:rPr>
                <w:rFonts w:ascii="Cambria" w:hAnsi="Cambria"/>
                <w:color w:val="000000"/>
              </w:rPr>
              <w:t xml:space="preserve">fa) </w:t>
            </w:r>
            <w:r w:rsidR="00BC44E0">
              <w:rPr>
                <w:rFonts w:ascii="Cambria" w:hAnsi="Cambria"/>
                <w:color w:val="000000"/>
              </w:rPr>
              <w:t>to exclude the cases where g</w:t>
            </w:r>
            <w:r w:rsidR="002224B8">
              <w:rPr>
                <w:rFonts w:ascii="Cambria" w:hAnsi="Cambria"/>
                <w:color w:val="000000"/>
              </w:rPr>
              <w:t xml:space="preserve">oods </w:t>
            </w:r>
            <w:r w:rsidR="00BC44E0">
              <w:rPr>
                <w:rFonts w:ascii="Cambria" w:hAnsi="Cambria"/>
                <w:color w:val="000000"/>
              </w:rPr>
              <w:t xml:space="preserve">are </w:t>
            </w:r>
            <w:r w:rsidR="002224B8">
              <w:rPr>
                <w:rFonts w:ascii="Cambria" w:hAnsi="Cambria"/>
                <w:color w:val="000000"/>
              </w:rPr>
              <w:t xml:space="preserve">given to </w:t>
            </w:r>
            <w:r w:rsidR="007E649D">
              <w:rPr>
                <w:rFonts w:ascii="Cambria" w:hAnsi="Cambria"/>
                <w:color w:val="000000"/>
              </w:rPr>
              <w:t xml:space="preserve">the </w:t>
            </w:r>
            <w:r w:rsidR="00BC44E0">
              <w:rPr>
                <w:rFonts w:ascii="Cambria" w:hAnsi="Cambria"/>
                <w:color w:val="000000"/>
              </w:rPr>
              <w:t xml:space="preserve">charitable entity </w:t>
            </w:r>
            <w:r w:rsidR="002224B8">
              <w:rPr>
                <w:rFonts w:ascii="Cambria" w:hAnsi="Cambria"/>
                <w:color w:val="000000"/>
              </w:rPr>
              <w:t xml:space="preserve">(related </w:t>
            </w:r>
            <w:r w:rsidR="00BC44E0">
              <w:rPr>
                <w:rFonts w:ascii="Cambria" w:hAnsi="Cambria"/>
                <w:color w:val="000000"/>
              </w:rPr>
              <w:t>person</w:t>
            </w:r>
            <w:r w:rsidR="002224B8">
              <w:rPr>
                <w:rFonts w:ascii="Cambria" w:hAnsi="Cambria"/>
                <w:color w:val="000000"/>
              </w:rPr>
              <w:t xml:space="preserve">) and </w:t>
            </w:r>
            <w:r w:rsidR="007E649D">
              <w:rPr>
                <w:rFonts w:ascii="Cambria" w:hAnsi="Cambria"/>
                <w:color w:val="000000"/>
              </w:rPr>
              <w:t xml:space="preserve">the </w:t>
            </w:r>
            <w:r w:rsidR="00BC44E0">
              <w:rPr>
                <w:rFonts w:ascii="Cambria" w:hAnsi="Cambria"/>
                <w:color w:val="000000"/>
              </w:rPr>
              <w:t>same is debited as CSR expendit</w:t>
            </w:r>
            <w:r w:rsidR="00A13CDA">
              <w:rPr>
                <w:rFonts w:ascii="Cambria" w:hAnsi="Cambria"/>
                <w:color w:val="000000"/>
              </w:rPr>
              <w:t>u</w:t>
            </w:r>
            <w:r w:rsidR="00BC44E0">
              <w:rPr>
                <w:rFonts w:ascii="Cambria" w:hAnsi="Cambria"/>
                <w:color w:val="000000"/>
              </w:rPr>
              <w:t>re</w:t>
            </w:r>
            <w:r w:rsidR="00A13CDA">
              <w:rPr>
                <w:rFonts w:ascii="Cambria" w:hAnsi="Cambria"/>
                <w:color w:val="000000"/>
              </w:rPr>
              <w:t>.</w:t>
            </w:r>
            <w:r w:rsidR="001A3940">
              <w:rPr>
                <w:rFonts w:ascii="Cambria" w:hAnsi="Cambria"/>
                <w:color w:val="000000"/>
              </w:rPr>
              <w:t xml:space="preserve"> </w:t>
            </w:r>
            <w:r w:rsidR="00875A60">
              <w:rPr>
                <w:rFonts w:ascii="Cambria" w:hAnsi="Cambria"/>
                <w:color w:val="000000"/>
              </w:rPr>
              <w:t xml:space="preserve">Alternatively, such transactions should not be treated as </w:t>
            </w:r>
            <w:r w:rsidR="008F7D5E">
              <w:rPr>
                <w:rFonts w:ascii="Cambria" w:hAnsi="Cambria"/>
                <w:color w:val="000000"/>
              </w:rPr>
              <w:t xml:space="preserve">supply under Schedule I and </w:t>
            </w:r>
            <w:r w:rsidR="001948EF">
              <w:rPr>
                <w:rFonts w:ascii="Cambria" w:hAnsi="Cambria"/>
                <w:color w:val="000000"/>
              </w:rPr>
              <w:t>restriction under clause (fa) can apply</w:t>
            </w:r>
            <w:r w:rsidR="008F7D5E">
              <w:rPr>
                <w:rFonts w:ascii="Cambria" w:hAnsi="Cambria"/>
                <w:color w:val="000000"/>
              </w:rPr>
              <w:t>.</w:t>
            </w:r>
          </w:p>
          <w:p w:rsidR="003076D3" w:rsidRDefault="003076D3" w:rsidP="003076D3">
            <w:pPr>
              <w:pStyle w:val="xmsonormal"/>
              <w:spacing w:after="0"/>
              <w:ind w:left="-38"/>
              <w:jc w:val="both"/>
              <w:rPr>
                <w:rFonts w:ascii="Cambria" w:hAnsi="Cambria"/>
                <w:color w:val="000000"/>
              </w:rPr>
            </w:pPr>
          </w:p>
          <w:p w:rsidR="005F5641" w:rsidRPr="0051220A" w:rsidRDefault="003076D3" w:rsidP="0051220A">
            <w:pPr>
              <w:pStyle w:val="xmsonormal"/>
              <w:spacing w:after="0"/>
              <w:ind w:left="-38"/>
              <w:jc w:val="both"/>
              <w:rPr>
                <w:rFonts w:ascii="Cambria" w:hAnsi="Cambria"/>
                <w:color w:val="000000"/>
              </w:rPr>
            </w:pPr>
            <w:r>
              <w:rPr>
                <w:rFonts w:ascii="Cambria" w:hAnsi="Cambria"/>
                <w:color w:val="000000"/>
              </w:rPr>
              <w:t>Further, ITC f</w:t>
            </w:r>
            <w:r w:rsidR="0075550D" w:rsidRPr="0075550D">
              <w:rPr>
                <w:rFonts w:ascii="Cambria" w:hAnsi="Cambria"/>
                <w:color w:val="000000"/>
              </w:rPr>
              <w:t>or the period prior to amendment</w:t>
            </w:r>
            <w:r>
              <w:rPr>
                <w:rFonts w:ascii="Cambria" w:hAnsi="Cambria"/>
                <w:color w:val="000000"/>
              </w:rPr>
              <w:t xml:space="preserve"> should be </w:t>
            </w:r>
            <w:r w:rsidR="00F93CDC">
              <w:rPr>
                <w:rFonts w:ascii="Cambria" w:hAnsi="Cambria"/>
                <w:color w:val="000000"/>
              </w:rPr>
              <w:t>allowed</w:t>
            </w:r>
            <w:r>
              <w:rPr>
                <w:rFonts w:ascii="Cambria" w:hAnsi="Cambria"/>
                <w:color w:val="000000"/>
              </w:rPr>
              <w:t>.</w:t>
            </w:r>
          </w:p>
        </w:tc>
      </w:tr>
      <w:tr w:rsidR="007B6829" w:rsidRPr="00475852" w:rsidTr="00CF3C71">
        <w:trPr>
          <w:trHeight w:val="965"/>
          <w:jc w:val="center"/>
        </w:trPr>
        <w:tc>
          <w:tcPr>
            <w:tcW w:w="562" w:type="dxa"/>
          </w:tcPr>
          <w:p w:rsidR="007B6829" w:rsidRPr="00475852" w:rsidRDefault="007B6829"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2.</w:t>
            </w:r>
          </w:p>
        </w:tc>
        <w:tc>
          <w:tcPr>
            <w:tcW w:w="1286" w:type="dxa"/>
          </w:tcPr>
          <w:p w:rsidR="007B6829" w:rsidRDefault="007B6829" w:rsidP="007A15A7">
            <w:pPr>
              <w:pStyle w:val="PlainText"/>
              <w:spacing w:afterLines="120" w:line="276" w:lineRule="auto"/>
              <w:contextualSpacing/>
              <w:jc w:val="both"/>
              <w:rPr>
                <w:rFonts w:ascii="Cambria" w:hAnsi="Cambria" w:cs="Arial"/>
                <w:bCs/>
                <w:color w:val="000000"/>
                <w:sz w:val="22"/>
                <w:szCs w:val="22"/>
              </w:rPr>
            </w:pPr>
            <w:r>
              <w:rPr>
                <w:rFonts w:ascii="Cambria" w:hAnsi="Cambria" w:cs="Arial"/>
                <w:bCs/>
                <w:color w:val="000000"/>
                <w:sz w:val="22"/>
                <w:szCs w:val="22"/>
              </w:rPr>
              <w:t>130</w:t>
            </w:r>
          </w:p>
        </w:tc>
        <w:tc>
          <w:tcPr>
            <w:tcW w:w="2121" w:type="dxa"/>
            <w:shd w:val="clear" w:color="auto" w:fill="auto"/>
          </w:tcPr>
          <w:p w:rsidR="007B6829" w:rsidRDefault="007B6829" w:rsidP="007A15A7">
            <w:pPr>
              <w:spacing w:afterLines="120" w:line="276" w:lineRule="auto"/>
              <w:contextualSpacing/>
              <w:rPr>
                <w:rFonts w:ascii="Cambria" w:hAnsi="Cambria" w:cs="Arial"/>
                <w:b/>
                <w:bCs/>
                <w:color w:val="000000"/>
              </w:rPr>
            </w:pPr>
            <w:r>
              <w:rPr>
                <w:rFonts w:ascii="Cambria" w:hAnsi="Cambria" w:cs="Arial"/>
                <w:b/>
                <w:bCs/>
              </w:rPr>
              <w:t>ITC reversal on sale of warehoused goods</w:t>
            </w:r>
          </w:p>
        </w:tc>
        <w:tc>
          <w:tcPr>
            <w:tcW w:w="5245" w:type="dxa"/>
          </w:tcPr>
          <w:p w:rsidR="00326CBD" w:rsidRPr="00326CBD" w:rsidRDefault="007B6829" w:rsidP="007A15A7">
            <w:pPr>
              <w:pStyle w:val="ListParagraph"/>
              <w:numPr>
                <w:ilvl w:val="0"/>
                <w:numId w:val="1"/>
              </w:numPr>
              <w:spacing w:afterLines="120"/>
              <w:jc w:val="both"/>
              <w:rPr>
                <w:rFonts w:ascii="Cambria" w:hAnsi="Cambria" w:cs="Arial"/>
                <w:color w:val="000000"/>
              </w:rPr>
            </w:pPr>
            <w:r w:rsidRPr="00326CBD">
              <w:rPr>
                <w:rFonts w:ascii="Cambria" w:hAnsi="Cambria" w:cs="Arial"/>
              </w:rPr>
              <w:t>Explanation to section 17(3) has been amended to provide that val</w:t>
            </w:r>
            <w:r w:rsidR="002D6485">
              <w:rPr>
                <w:rFonts w:ascii="Cambria" w:hAnsi="Cambria" w:cs="Arial"/>
              </w:rPr>
              <w:t>u</w:t>
            </w:r>
            <w:r w:rsidRPr="00326CBD">
              <w:rPr>
                <w:rFonts w:ascii="Cambria" w:hAnsi="Cambria" w:cs="Arial"/>
              </w:rPr>
              <w:t>e of prescribed activities or transactions in respect of para 8(a) of Schedule III shall be included in the value of exempt supply for the purpose of ITC reversal.</w:t>
            </w:r>
          </w:p>
          <w:p w:rsidR="00326CBD" w:rsidRPr="00326CBD" w:rsidRDefault="00326CBD" w:rsidP="007A15A7">
            <w:pPr>
              <w:pStyle w:val="ListParagraph"/>
              <w:spacing w:afterLines="120"/>
              <w:ind w:left="360"/>
              <w:jc w:val="both"/>
              <w:rPr>
                <w:rFonts w:ascii="Cambria" w:hAnsi="Cambria" w:cs="Arial"/>
                <w:color w:val="000000"/>
              </w:rPr>
            </w:pPr>
          </w:p>
          <w:p w:rsidR="00326CBD" w:rsidRPr="000D223F" w:rsidRDefault="007B6829" w:rsidP="007A15A7">
            <w:pPr>
              <w:pStyle w:val="ListParagraph"/>
              <w:numPr>
                <w:ilvl w:val="0"/>
                <w:numId w:val="1"/>
              </w:numPr>
              <w:spacing w:afterLines="120"/>
              <w:jc w:val="both"/>
              <w:rPr>
                <w:rFonts w:ascii="Cambria" w:hAnsi="Cambria" w:cs="Arial"/>
                <w:color w:val="000000"/>
              </w:rPr>
            </w:pPr>
            <w:r w:rsidRPr="00326CBD">
              <w:rPr>
                <w:rFonts w:ascii="Cambria" w:hAnsi="Cambria" w:cs="Arial"/>
              </w:rPr>
              <w:t>GST Council in its 47</w:t>
            </w:r>
            <w:r w:rsidRPr="00326CBD">
              <w:rPr>
                <w:rFonts w:ascii="Cambria" w:hAnsi="Cambria" w:cs="Arial"/>
                <w:vertAlign w:val="superscript"/>
              </w:rPr>
              <w:t>th</w:t>
            </w:r>
            <w:r w:rsidRPr="00326CBD">
              <w:rPr>
                <w:rFonts w:ascii="Cambria" w:hAnsi="Cambria" w:cs="Arial"/>
              </w:rPr>
              <w:t xml:space="preserve"> GST meeting approved this amendment with the intention of ITC reversal in the hands of arrival duty free shop</w:t>
            </w:r>
            <w:r w:rsidR="00636C4E">
              <w:rPr>
                <w:rFonts w:ascii="Cambria" w:hAnsi="Cambria" w:cs="Arial"/>
              </w:rPr>
              <w:t xml:space="preserve"> (DFS)</w:t>
            </w:r>
            <w:r w:rsidR="00326CBD" w:rsidRPr="00326CBD">
              <w:rPr>
                <w:rFonts w:ascii="Cambria" w:hAnsi="Cambria" w:cs="Arial"/>
              </w:rPr>
              <w:t>.</w:t>
            </w:r>
          </w:p>
          <w:p w:rsidR="000D223F" w:rsidRPr="000D223F" w:rsidRDefault="000D223F" w:rsidP="000D223F">
            <w:pPr>
              <w:pStyle w:val="ListParagraph"/>
              <w:rPr>
                <w:rFonts w:ascii="Cambria" w:hAnsi="Cambria" w:cs="Arial"/>
                <w:color w:val="000000"/>
              </w:rPr>
            </w:pPr>
          </w:p>
          <w:p w:rsidR="000D223F" w:rsidRPr="00326CBD" w:rsidRDefault="006E46B2" w:rsidP="007A15A7">
            <w:pPr>
              <w:pStyle w:val="ListParagraph"/>
              <w:numPr>
                <w:ilvl w:val="0"/>
                <w:numId w:val="1"/>
              </w:numPr>
              <w:spacing w:afterLines="120"/>
              <w:jc w:val="both"/>
              <w:rPr>
                <w:rFonts w:ascii="Cambria" w:hAnsi="Cambria" w:cs="Arial"/>
                <w:color w:val="000000"/>
              </w:rPr>
            </w:pPr>
            <w:r>
              <w:rPr>
                <w:rFonts w:ascii="Cambria" w:hAnsi="Cambria" w:cs="Arial"/>
                <w:color w:val="000000"/>
              </w:rPr>
              <w:t xml:space="preserve">Denial of ITC </w:t>
            </w:r>
            <w:r w:rsidR="00A30F1E">
              <w:rPr>
                <w:rFonts w:ascii="Cambria" w:hAnsi="Cambria" w:cs="Arial"/>
                <w:color w:val="000000"/>
              </w:rPr>
              <w:t xml:space="preserve">in the hands of </w:t>
            </w:r>
            <w:r>
              <w:rPr>
                <w:rFonts w:ascii="Cambria" w:hAnsi="Cambria" w:cs="Arial"/>
                <w:color w:val="000000"/>
              </w:rPr>
              <w:t>arrival</w:t>
            </w:r>
            <w:r w:rsidR="00636C4E">
              <w:rPr>
                <w:rFonts w:ascii="Cambria" w:hAnsi="Cambria" w:cs="Arial"/>
                <w:color w:val="000000"/>
              </w:rPr>
              <w:t xml:space="preserve"> DFS will result in cascading of taxes which can never be the intent of the Government.</w:t>
            </w:r>
          </w:p>
        </w:tc>
        <w:tc>
          <w:tcPr>
            <w:tcW w:w="5665" w:type="dxa"/>
            <w:shd w:val="clear" w:color="auto" w:fill="auto"/>
          </w:tcPr>
          <w:p w:rsidR="007C5E63" w:rsidRDefault="007B6829" w:rsidP="007B6829">
            <w:pPr>
              <w:jc w:val="both"/>
              <w:rPr>
                <w:rFonts w:ascii="Cambria" w:hAnsi="Cambria" w:cs="Arial"/>
              </w:rPr>
            </w:pPr>
            <w:r>
              <w:rPr>
                <w:rFonts w:ascii="Cambria" w:hAnsi="Cambria" w:cs="Arial"/>
              </w:rPr>
              <w:t xml:space="preserve">The Chamber recommends that </w:t>
            </w:r>
            <w:r w:rsidR="00820733">
              <w:rPr>
                <w:rFonts w:ascii="Cambria" w:hAnsi="Cambria" w:cs="Arial"/>
              </w:rPr>
              <w:t xml:space="preserve">ITC should be restricted in </w:t>
            </w:r>
            <w:r w:rsidR="00343167">
              <w:rPr>
                <w:rFonts w:ascii="Cambria" w:hAnsi="Cambria" w:cs="Arial"/>
              </w:rPr>
              <w:t>respect of sale of warehoused goods including in cases of arrival DFS</w:t>
            </w:r>
            <w:r w:rsidR="00820733">
              <w:rPr>
                <w:rFonts w:ascii="Cambria" w:hAnsi="Cambria" w:cs="Arial"/>
              </w:rPr>
              <w:t>.</w:t>
            </w:r>
          </w:p>
          <w:p w:rsidR="007B6829" w:rsidRDefault="005F114C" w:rsidP="007B6829">
            <w:pPr>
              <w:jc w:val="both"/>
              <w:rPr>
                <w:rFonts w:ascii="Cambria" w:hAnsi="Cambria" w:cs="Arial"/>
                <w:color w:val="000000"/>
              </w:rPr>
            </w:pPr>
            <w:r>
              <w:rPr>
                <w:rFonts w:ascii="Cambria" w:hAnsi="Cambria" w:cs="Arial"/>
              </w:rPr>
              <w:t xml:space="preserve">Even if the amendment is carried out, </w:t>
            </w:r>
            <w:r w:rsidR="007B6829">
              <w:rPr>
                <w:rFonts w:ascii="Cambria" w:hAnsi="Cambria" w:cs="Arial"/>
              </w:rPr>
              <w:t xml:space="preserve">the activities or transactions prescribed for the purpose of Explanation should be the sale transactions undertaken by arrival </w:t>
            </w:r>
            <w:r w:rsidR="004646F5">
              <w:rPr>
                <w:rFonts w:ascii="Cambria" w:hAnsi="Cambria" w:cs="Arial"/>
              </w:rPr>
              <w:t xml:space="preserve">DFS </w:t>
            </w:r>
            <w:r w:rsidR="007B6829">
              <w:rPr>
                <w:rFonts w:ascii="Cambria" w:hAnsi="Cambria" w:cs="Arial"/>
              </w:rPr>
              <w:t>only and should not extend to other supplies by custom bonded warehouses.</w:t>
            </w:r>
          </w:p>
        </w:tc>
      </w:tr>
    </w:tbl>
    <w:p w:rsidR="00950484" w:rsidRDefault="00950484" w:rsidP="007A15A7">
      <w:pPr>
        <w:pStyle w:val="ListParagraph"/>
        <w:spacing w:afterLines="120" w:line="360" w:lineRule="auto"/>
        <w:ind w:left="426"/>
        <w:jc w:val="both"/>
        <w:rPr>
          <w:rFonts w:ascii="Cambria" w:hAnsi="Cambria" w:cs="Arial"/>
          <w:b/>
          <w:color w:val="000000"/>
          <w:lang w:val="en-US"/>
        </w:rPr>
      </w:pPr>
    </w:p>
    <w:p w:rsidR="00950484" w:rsidRDefault="00950484">
      <w:pPr>
        <w:rPr>
          <w:rFonts w:ascii="Cambria" w:eastAsia="SimSun" w:hAnsi="Cambria" w:cs="Arial"/>
          <w:b/>
          <w:color w:val="000000"/>
          <w:lang w:val="en-US" w:eastAsia="zh-CN"/>
        </w:rPr>
      </w:pPr>
      <w:r>
        <w:rPr>
          <w:rFonts w:ascii="Cambria" w:hAnsi="Cambria" w:cs="Arial"/>
          <w:b/>
          <w:color w:val="000000"/>
          <w:lang w:val="en-US"/>
        </w:rPr>
        <w:br w:type="page"/>
      </w:r>
    </w:p>
    <w:p w:rsidR="001F7214" w:rsidRDefault="006734FA" w:rsidP="007A15A7">
      <w:pPr>
        <w:pStyle w:val="ListParagraph"/>
        <w:numPr>
          <w:ilvl w:val="0"/>
          <w:numId w:val="2"/>
        </w:numPr>
        <w:pBdr>
          <w:bottom w:val="single" w:sz="4" w:space="1" w:color="auto"/>
        </w:pBdr>
        <w:shd w:val="clear" w:color="auto" w:fill="D9D9D9" w:themeFill="background1" w:themeFillShade="D9"/>
        <w:spacing w:afterLines="120" w:line="360" w:lineRule="auto"/>
        <w:ind w:left="426"/>
        <w:jc w:val="both"/>
        <w:rPr>
          <w:rFonts w:ascii="Cambria" w:hAnsi="Cambria" w:cs="Arial"/>
          <w:b/>
          <w:color w:val="000000"/>
          <w:lang w:val="en-US"/>
        </w:rPr>
      </w:pPr>
      <w:r>
        <w:rPr>
          <w:rFonts w:ascii="Cambria" w:hAnsi="Cambria" w:cs="Arial"/>
          <w:b/>
          <w:color w:val="000000"/>
          <w:lang w:val="en-US"/>
        </w:rPr>
        <w:lastRenderedPageBreak/>
        <w:t xml:space="preserve">GST - </w:t>
      </w:r>
      <w:r w:rsidR="001F7214">
        <w:rPr>
          <w:rFonts w:ascii="Cambria" w:hAnsi="Cambria" w:cs="Arial"/>
          <w:b/>
          <w:color w:val="000000"/>
          <w:lang w:val="en-US"/>
        </w:rPr>
        <w:t xml:space="preserve">OTHER ISSUES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552"/>
        <w:gridCol w:w="6662"/>
        <w:gridCol w:w="5245"/>
      </w:tblGrid>
      <w:tr w:rsidR="00252AEC" w:rsidRPr="00475852" w:rsidTr="00392374">
        <w:trPr>
          <w:trHeight w:val="416"/>
          <w:tblHeader/>
        </w:trPr>
        <w:tc>
          <w:tcPr>
            <w:tcW w:w="562" w:type="dxa"/>
            <w:shd w:val="clear" w:color="auto" w:fill="D9D9D9" w:themeFill="background1" w:themeFillShade="D9"/>
            <w:vAlign w:val="center"/>
          </w:tcPr>
          <w:p w:rsidR="00252AEC" w:rsidRPr="006423FA" w:rsidRDefault="006423FA" w:rsidP="00785BFE">
            <w:pPr>
              <w:pStyle w:val="xmsonormal"/>
              <w:spacing w:after="0"/>
              <w:jc w:val="center"/>
              <w:rPr>
                <w:rFonts w:ascii="Cambria" w:hAnsi="Cambria" w:cs="Arial"/>
                <w:b/>
                <w:color w:val="000000"/>
              </w:rPr>
            </w:pPr>
            <w:r w:rsidRPr="006423FA">
              <w:rPr>
                <w:rFonts w:ascii="Cambria" w:hAnsi="Cambria" w:cs="Arial"/>
                <w:b/>
                <w:color w:val="000000"/>
              </w:rPr>
              <w:t>Sl.</w:t>
            </w:r>
          </w:p>
        </w:tc>
        <w:tc>
          <w:tcPr>
            <w:tcW w:w="2552" w:type="dxa"/>
            <w:shd w:val="clear" w:color="auto" w:fill="D9D9D9" w:themeFill="background1" w:themeFillShade="D9"/>
            <w:vAlign w:val="center"/>
          </w:tcPr>
          <w:p w:rsidR="00252AEC" w:rsidRPr="006423FA" w:rsidRDefault="006423FA" w:rsidP="00785BFE">
            <w:pPr>
              <w:pStyle w:val="xmsonormal"/>
              <w:spacing w:after="0"/>
              <w:jc w:val="center"/>
              <w:rPr>
                <w:rFonts w:ascii="Cambria" w:hAnsi="Cambria" w:cs="Arial"/>
                <w:b/>
                <w:color w:val="000000"/>
              </w:rPr>
            </w:pPr>
            <w:r>
              <w:rPr>
                <w:rFonts w:ascii="Cambria" w:hAnsi="Cambria" w:cs="Arial"/>
                <w:b/>
                <w:color w:val="000000"/>
              </w:rPr>
              <w:t>Subject</w:t>
            </w:r>
          </w:p>
        </w:tc>
        <w:tc>
          <w:tcPr>
            <w:tcW w:w="6662" w:type="dxa"/>
            <w:shd w:val="clear" w:color="auto" w:fill="D9D9D9" w:themeFill="background1" w:themeFillShade="D9"/>
            <w:vAlign w:val="center"/>
          </w:tcPr>
          <w:p w:rsidR="00252AEC" w:rsidRPr="00B52BFD" w:rsidRDefault="00252AEC" w:rsidP="00785BFE">
            <w:pPr>
              <w:pStyle w:val="xmsonormal"/>
              <w:spacing w:after="0"/>
              <w:jc w:val="center"/>
              <w:rPr>
                <w:rFonts w:ascii="Cambria" w:hAnsi="Cambria"/>
                <w:color w:val="000000"/>
              </w:rPr>
            </w:pPr>
            <w:r w:rsidRPr="00475852">
              <w:rPr>
                <w:rFonts w:ascii="Cambria" w:hAnsi="Cambria" w:cs="Arial"/>
                <w:b/>
                <w:color w:val="000000"/>
              </w:rPr>
              <w:t>Issues and Rationale</w:t>
            </w:r>
          </w:p>
        </w:tc>
        <w:tc>
          <w:tcPr>
            <w:tcW w:w="5245" w:type="dxa"/>
            <w:shd w:val="clear" w:color="auto" w:fill="D9D9D9" w:themeFill="background1" w:themeFillShade="D9"/>
            <w:vAlign w:val="center"/>
          </w:tcPr>
          <w:p w:rsidR="00252AEC" w:rsidRPr="003C01BB" w:rsidRDefault="00252AEC" w:rsidP="00785BFE">
            <w:pPr>
              <w:pStyle w:val="xmsonormal"/>
              <w:spacing w:after="0"/>
              <w:jc w:val="center"/>
              <w:rPr>
                <w:rFonts w:ascii="Cambria" w:hAnsi="Cambria"/>
              </w:rPr>
            </w:pPr>
            <w:r w:rsidRPr="00475852">
              <w:rPr>
                <w:rFonts w:ascii="Cambria" w:hAnsi="Cambria" w:cs="Arial"/>
                <w:b/>
                <w:color w:val="000000"/>
              </w:rPr>
              <w:t>Recommendations</w:t>
            </w:r>
          </w:p>
        </w:tc>
      </w:tr>
      <w:tr w:rsidR="00CD620F" w:rsidRPr="00782FB0" w:rsidTr="00835F48">
        <w:trPr>
          <w:trHeight w:val="965"/>
        </w:trPr>
        <w:tc>
          <w:tcPr>
            <w:tcW w:w="562" w:type="dxa"/>
          </w:tcPr>
          <w:p w:rsidR="00CD620F" w:rsidRDefault="00CD620F"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1.</w:t>
            </w:r>
          </w:p>
        </w:tc>
        <w:tc>
          <w:tcPr>
            <w:tcW w:w="2552" w:type="dxa"/>
            <w:shd w:val="clear" w:color="auto" w:fill="auto"/>
          </w:tcPr>
          <w:p w:rsidR="00CD620F" w:rsidRPr="00B95BFA" w:rsidRDefault="00CD620F" w:rsidP="00CD620F">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Reverse charge mechanism (RCM) on sponsorship services </w:t>
            </w:r>
          </w:p>
          <w:p w:rsidR="00CD620F" w:rsidRPr="00B95BFA" w:rsidRDefault="00CD620F" w:rsidP="00CD620F">
            <w:pPr>
              <w:pStyle w:val="PlainText"/>
              <w:rPr>
                <w:rFonts w:ascii="Cambria" w:eastAsia="SimSun" w:hAnsi="Cambria" w:cs="Times New Roman"/>
                <w:b/>
                <w:bCs/>
                <w:sz w:val="22"/>
                <w:szCs w:val="22"/>
                <w:lang w:val="en-GB" w:eastAsia="zh-CN"/>
              </w:rPr>
            </w:pPr>
          </w:p>
        </w:tc>
        <w:tc>
          <w:tcPr>
            <w:tcW w:w="6662" w:type="dxa"/>
          </w:tcPr>
          <w:p w:rsidR="00CD620F" w:rsidRPr="00B95BFA" w:rsidRDefault="00CD620F" w:rsidP="00CD620F">
            <w:pPr>
              <w:pStyle w:val="ListParagraph"/>
              <w:numPr>
                <w:ilvl w:val="0"/>
                <w:numId w:val="11"/>
              </w:numPr>
              <w:spacing w:after="0"/>
              <w:ind w:left="272" w:hanging="284"/>
              <w:jc w:val="both"/>
              <w:rPr>
                <w:rFonts w:ascii="Cambria" w:hAnsi="Cambria"/>
              </w:rPr>
            </w:pPr>
            <w:r w:rsidRPr="00B95BFA">
              <w:rPr>
                <w:rFonts w:ascii="Cambria" w:hAnsi="Cambria"/>
              </w:rPr>
              <w:t>Sponsorship Services provided by any person to a body corporate or partnership firm is taxable under RCM. However, the supplier cannot claim credit attributable to such sponsorship services provided, even if such services are liable to GST. This results in a loss of legitimately available ITC</w:t>
            </w:r>
            <w:r w:rsidR="00F31061">
              <w:rPr>
                <w:rFonts w:ascii="Cambria" w:hAnsi="Cambria"/>
              </w:rPr>
              <w:t xml:space="preserve"> and leads to cascading of taxes.</w:t>
            </w:r>
          </w:p>
          <w:p w:rsidR="00CD620F" w:rsidRDefault="00CD620F" w:rsidP="00CD620F">
            <w:pPr>
              <w:pStyle w:val="ListParagraph"/>
              <w:spacing w:after="0"/>
              <w:ind w:left="272"/>
              <w:jc w:val="both"/>
              <w:rPr>
                <w:rFonts w:ascii="Cambria" w:hAnsi="Cambria"/>
              </w:rPr>
            </w:pPr>
          </w:p>
          <w:p w:rsidR="00CD620F" w:rsidRDefault="00CD620F" w:rsidP="00CD620F">
            <w:pPr>
              <w:pStyle w:val="ListParagraph"/>
              <w:numPr>
                <w:ilvl w:val="0"/>
                <w:numId w:val="11"/>
              </w:numPr>
              <w:spacing w:after="0"/>
              <w:ind w:left="272" w:hanging="284"/>
              <w:jc w:val="both"/>
              <w:rPr>
                <w:rFonts w:ascii="Cambria" w:hAnsi="Cambria"/>
              </w:rPr>
            </w:pPr>
            <w:r w:rsidRPr="00B95BFA">
              <w:rPr>
                <w:rFonts w:ascii="Cambria" w:hAnsi="Cambria"/>
              </w:rPr>
              <w:t>Merely changing the person responsible to deposit the GST should not break the otherwise seamless GST ITC chain.</w:t>
            </w:r>
          </w:p>
          <w:p w:rsidR="004C0208" w:rsidRPr="004C0208" w:rsidRDefault="004C0208" w:rsidP="004C0208">
            <w:pPr>
              <w:pStyle w:val="ListParagraph"/>
              <w:rPr>
                <w:rFonts w:ascii="Cambria" w:hAnsi="Cambria"/>
              </w:rPr>
            </w:pPr>
          </w:p>
          <w:p w:rsidR="00CD620F" w:rsidRPr="000C71CE" w:rsidRDefault="004C0208" w:rsidP="000C71CE">
            <w:pPr>
              <w:pStyle w:val="ListParagraph"/>
              <w:numPr>
                <w:ilvl w:val="0"/>
                <w:numId w:val="11"/>
              </w:numPr>
              <w:spacing w:after="0"/>
              <w:ind w:left="272" w:hanging="284"/>
              <w:jc w:val="both"/>
              <w:rPr>
                <w:rFonts w:ascii="Cambria" w:hAnsi="Cambria"/>
              </w:rPr>
            </w:pPr>
            <w:r>
              <w:rPr>
                <w:rFonts w:ascii="Cambria" w:hAnsi="Cambria"/>
              </w:rPr>
              <w:t xml:space="preserve">At present, the RCM notification contains various cases where </w:t>
            </w:r>
            <w:r w:rsidR="00AF28A6">
              <w:rPr>
                <w:rFonts w:ascii="Cambria" w:hAnsi="Cambria"/>
              </w:rPr>
              <w:t xml:space="preserve">the RCM liability has been </w:t>
            </w:r>
            <w:r w:rsidR="00595C4A">
              <w:rPr>
                <w:rFonts w:ascii="Cambria" w:hAnsi="Cambria"/>
              </w:rPr>
              <w:t>cast on persons other than body corporate.</w:t>
            </w:r>
          </w:p>
        </w:tc>
        <w:tc>
          <w:tcPr>
            <w:tcW w:w="5245" w:type="dxa"/>
            <w:shd w:val="clear" w:color="auto" w:fill="auto"/>
          </w:tcPr>
          <w:p w:rsidR="00CD620F" w:rsidRPr="00A419E2" w:rsidRDefault="00A419E2" w:rsidP="00A419E2">
            <w:pPr>
              <w:spacing w:after="0"/>
              <w:jc w:val="both"/>
              <w:rPr>
                <w:rFonts w:ascii="Cambria" w:hAnsi="Cambria"/>
              </w:rPr>
            </w:pPr>
            <w:r>
              <w:rPr>
                <w:rFonts w:ascii="Cambria" w:hAnsi="Cambria"/>
              </w:rPr>
              <w:t xml:space="preserve">The </w:t>
            </w:r>
            <w:r w:rsidR="00CD620F" w:rsidRPr="00A419E2">
              <w:rPr>
                <w:rFonts w:ascii="Cambria" w:hAnsi="Cambria"/>
              </w:rPr>
              <w:t xml:space="preserve">Chamber recommends that the sponsorship services may be taxed under forward charge. This will enable the supplier to claim ITC. </w:t>
            </w:r>
          </w:p>
          <w:p w:rsidR="00CD620F" w:rsidRPr="00B95BFA" w:rsidRDefault="00CD620F" w:rsidP="00CD620F">
            <w:pPr>
              <w:pStyle w:val="ListParagraph"/>
              <w:spacing w:after="0"/>
              <w:rPr>
                <w:rFonts w:ascii="Cambria" w:hAnsi="Cambria"/>
              </w:rPr>
            </w:pPr>
          </w:p>
          <w:p w:rsidR="00CD620F" w:rsidRPr="00A419E2" w:rsidRDefault="00CD620F" w:rsidP="00A419E2">
            <w:pPr>
              <w:spacing w:after="0"/>
              <w:jc w:val="both"/>
              <w:rPr>
                <w:rFonts w:ascii="Cambria" w:hAnsi="Cambria"/>
              </w:rPr>
            </w:pPr>
            <w:r w:rsidRPr="00A419E2">
              <w:rPr>
                <w:rFonts w:ascii="Cambria" w:hAnsi="Cambria"/>
              </w:rPr>
              <w:t>Further, if the above is not possible, the same should not be considered as an exempt supply in the hands of the supplier for ITC reversal.</w:t>
            </w:r>
          </w:p>
          <w:p w:rsidR="00A419E2" w:rsidRDefault="00A419E2" w:rsidP="00A419E2">
            <w:pPr>
              <w:spacing w:after="0"/>
              <w:jc w:val="both"/>
              <w:rPr>
                <w:rFonts w:ascii="Cambria" w:hAnsi="Cambria"/>
              </w:rPr>
            </w:pPr>
          </w:p>
          <w:p w:rsidR="00CD620F" w:rsidRPr="00A419E2" w:rsidRDefault="00CD620F" w:rsidP="00A419E2">
            <w:pPr>
              <w:spacing w:after="0"/>
              <w:jc w:val="both"/>
              <w:rPr>
                <w:rFonts w:ascii="Cambria" w:hAnsi="Cambria"/>
              </w:rPr>
            </w:pPr>
            <w:r w:rsidRPr="00A419E2">
              <w:rPr>
                <w:rFonts w:ascii="Cambria" w:hAnsi="Cambria"/>
              </w:rPr>
              <w:t xml:space="preserve">Alternatively, applicability of RCM should be restricted to such services provided only by services providers other than corporates. </w:t>
            </w:r>
          </w:p>
          <w:p w:rsidR="008E367F" w:rsidRPr="008E367F" w:rsidRDefault="008E367F" w:rsidP="008E367F">
            <w:pPr>
              <w:pStyle w:val="ListParagraph"/>
              <w:spacing w:after="0"/>
              <w:ind w:left="272"/>
              <w:jc w:val="both"/>
              <w:rPr>
                <w:rFonts w:ascii="Cambria" w:hAnsi="Cambria"/>
              </w:rPr>
            </w:pPr>
          </w:p>
        </w:tc>
      </w:tr>
      <w:tr w:rsidR="00602BE8" w:rsidRPr="00782FB0" w:rsidTr="00835F48">
        <w:trPr>
          <w:trHeight w:val="965"/>
        </w:trPr>
        <w:tc>
          <w:tcPr>
            <w:tcW w:w="562" w:type="dxa"/>
          </w:tcPr>
          <w:p w:rsidR="00602BE8" w:rsidRDefault="00887C35"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2</w:t>
            </w:r>
            <w:r w:rsidR="00201607">
              <w:rPr>
                <w:rFonts w:ascii="Cambria" w:eastAsia="Calibri" w:hAnsi="Cambria" w:cs="Arial"/>
                <w:color w:val="000000"/>
                <w:sz w:val="22"/>
                <w:szCs w:val="22"/>
                <w:lang w:val="en-GB"/>
              </w:rPr>
              <w:t>.</w:t>
            </w:r>
          </w:p>
        </w:tc>
        <w:tc>
          <w:tcPr>
            <w:tcW w:w="2552" w:type="dxa"/>
            <w:shd w:val="clear" w:color="auto" w:fill="auto"/>
          </w:tcPr>
          <w:p w:rsidR="00602BE8" w:rsidRPr="00B95BFA" w:rsidRDefault="00602BE8" w:rsidP="00602BE8">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Tax levy on secondment arrangements</w:t>
            </w:r>
          </w:p>
        </w:tc>
        <w:tc>
          <w:tcPr>
            <w:tcW w:w="6662" w:type="dxa"/>
          </w:tcPr>
          <w:p w:rsidR="00602BE8" w:rsidRPr="00B95BFA" w:rsidRDefault="00602BE8" w:rsidP="00602BE8">
            <w:pPr>
              <w:pStyle w:val="ListParagraph"/>
              <w:numPr>
                <w:ilvl w:val="0"/>
                <w:numId w:val="11"/>
              </w:numPr>
              <w:spacing w:after="0"/>
              <w:ind w:left="272" w:hanging="284"/>
              <w:rPr>
                <w:rFonts w:ascii="Cambria" w:hAnsi="Cambria"/>
              </w:rPr>
            </w:pPr>
            <w:r w:rsidRPr="00B95BFA">
              <w:rPr>
                <w:rFonts w:ascii="Cambria" w:hAnsi="Cambria"/>
              </w:rPr>
              <w:t xml:space="preserve">It is a common practice in various sectors to provide/ receive employees under secondment programs. </w:t>
            </w:r>
          </w:p>
          <w:p w:rsidR="00602BE8" w:rsidRPr="00B95BFA" w:rsidRDefault="00602BE8" w:rsidP="007A15A7">
            <w:pPr>
              <w:pStyle w:val="ListParagraph"/>
              <w:spacing w:afterLines="120"/>
              <w:ind w:left="358"/>
              <w:jc w:val="both"/>
              <w:rPr>
                <w:rFonts w:ascii="Cambria" w:hAnsi="Cambria"/>
              </w:rPr>
            </w:pPr>
          </w:p>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These arrangements are treated as employment arrangements under Income tax and other allied laws. Further, courts and tribunals under service tax law have also historically affirmed no tax position.</w:t>
            </w:r>
          </w:p>
          <w:p w:rsidR="00602BE8" w:rsidRPr="00B95BFA" w:rsidRDefault="00602BE8" w:rsidP="007A15A7">
            <w:pPr>
              <w:pStyle w:val="ListParagraph"/>
              <w:spacing w:afterLines="120"/>
              <w:ind w:left="358"/>
              <w:jc w:val="both"/>
              <w:rPr>
                <w:rFonts w:ascii="Cambria" w:hAnsi="Cambria"/>
              </w:rPr>
            </w:pPr>
            <w:r w:rsidRPr="00B95BFA">
              <w:rPr>
                <w:rFonts w:ascii="Cambria" w:hAnsi="Cambria"/>
              </w:rPr>
              <w:t xml:space="preserve">  </w:t>
            </w:r>
          </w:p>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However, Supreme Court, in the case of Northern Operating Systems Private Limited, confirmed the levy of service tax treating the secondment arrangements as the supply of manpower service based on a particular set of facts. </w:t>
            </w:r>
          </w:p>
          <w:p w:rsidR="00602BE8" w:rsidRPr="00B95BFA" w:rsidRDefault="00602BE8" w:rsidP="007A15A7">
            <w:pPr>
              <w:pStyle w:val="ListParagraph"/>
              <w:spacing w:afterLines="120"/>
              <w:ind w:left="358"/>
              <w:jc w:val="both"/>
              <w:rPr>
                <w:rFonts w:ascii="Cambria" w:hAnsi="Cambria"/>
              </w:rPr>
            </w:pPr>
          </w:p>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This ruling is likely to have implications under service tax and GST as well as recovery of past period taxes (along with interest </w:t>
            </w:r>
            <w:r w:rsidRPr="00B95BFA">
              <w:rPr>
                <w:rFonts w:ascii="Cambria" w:hAnsi="Cambria"/>
              </w:rPr>
              <w:lastRenderedPageBreak/>
              <w:t>and penalty) and could impact various sectors from a tax cost and compliance standpoint.</w:t>
            </w:r>
          </w:p>
          <w:p w:rsidR="00602BE8" w:rsidRDefault="00602BE8" w:rsidP="00602BE8">
            <w:pPr>
              <w:pStyle w:val="ListParagraph"/>
              <w:spacing w:after="0"/>
              <w:ind w:left="272"/>
              <w:jc w:val="both"/>
              <w:rPr>
                <w:rFonts w:ascii="Cambria" w:hAnsi="Cambria"/>
              </w:rPr>
            </w:pPr>
          </w:p>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There is, therefore, a need for clarifying secondment-related arrangements under service tax and GST standpoint.</w:t>
            </w:r>
          </w:p>
          <w:p w:rsidR="00602BE8" w:rsidRPr="00B95BFA" w:rsidRDefault="00602BE8" w:rsidP="00602BE8">
            <w:pPr>
              <w:pStyle w:val="ListParagraph"/>
              <w:spacing w:after="0"/>
              <w:ind w:left="272"/>
              <w:jc w:val="both"/>
              <w:rPr>
                <w:rFonts w:ascii="Cambria" w:hAnsi="Cambria"/>
              </w:rPr>
            </w:pPr>
          </w:p>
        </w:tc>
        <w:tc>
          <w:tcPr>
            <w:tcW w:w="5245" w:type="dxa"/>
            <w:shd w:val="clear" w:color="auto" w:fill="auto"/>
          </w:tcPr>
          <w:p w:rsidR="00A419E2" w:rsidRDefault="00602BE8" w:rsidP="007A15A7">
            <w:pPr>
              <w:spacing w:afterLines="120"/>
              <w:jc w:val="both"/>
              <w:rPr>
                <w:rFonts w:ascii="Cambria" w:hAnsi="Cambria"/>
              </w:rPr>
            </w:pPr>
            <w:r w:rsidRPr="00A419E2">
              <w:rPr>
                <w:rFonts w:ascii="Cambria" w:hAnsi="Cambria"/>
              </w:rPr>
              <w:lastRenderedPageBreak/>
              <w:t xml:space="preserve">The Chamber recommends that an explanation be inserted in Schedule III of CGST Act that the employer-employee relationship shall be determined basis the provisions of the Income Tax Act.  </w:t>
            </w:r>
          </w:p>
          <w:p w:rsidR="007E178E" w:rsidRPr="00A419E2" w:rsidRDefault="00602BE8" w:rsidP="007A15A7">
            <w:pPr>
              <w:spacing w:afterLines="120"/>
              <w:jc w:val="both"/>
              <w:rPr>
                <w:rFonts w:ascii="Cambria" w:hAnsi="Cambria"/>
              </w:rPr>
            </w:pPr>
            <w:r w:rsidRPr="00A419E2">
              <w:rPr>
                <w:rFonts w:ascii="Cambria" w:hAnsi="Cambria"/>
              </w:rPr>
              <w:t>Alternatively, Government could consider the following:</w:t>
            </w:r>
          </w:p>
          <w:p w:rsidR="00602BE8" w:rsidRPr="00B95BFA" w:rsidRDefault="00602BE8" w:rsidP="007A15A7">
            <w:pPr>
              <w:pStyle w:val="ListParagraph"/>
              <w:numPr>
                <w:ilvl w:val="0"/>
                <w:numId w:val="6"/>
              </w:numPr>
              <w:spacing w:afterLines="120" w:line="240" w:lineRule="auto"/>
              <w:ind w:left="658"/>
              <w:jc w:val="both"/>
              <w:rPr>
                <w:rFonts w:ascii="Cambria" w:hAnsi="Cambria"/>
              </w:rPr>
            </w:pPr>
            <w:r w:rsidRPr="00B95BFA">
              <w:rPr>
                <w:rFonts w:ascii="Cambria" w:hAnsi="Cambria"/>
              </w:rPr>
              <w:t xml:space="preserve">Issue </w:t>
            </w:r>
            <w:r w:rsidR="00F0664F">
              <w:rPr>
                <w:rFonts w:ascii="Cambria" w:hAnsi="Cambria"/>
              </w:rPr>
              <w:t xml:space="preserve">clarification on </w:t>
            </w:r>
            <w:r w:rsidRPr="00B95BFA">
              <w:rPr>
                <w:rFonts w:ascii="Cambria" w:hAnsi="Cambria"/>
              </w:rPr>
              <w:t xml:space="preserve">its position and waive all past-period dues. </w:t>
            </w:r>
          </w:p>
          <w:p w:rsidR="00602BE8" w:rsidRPr="00061860" w:rsidRDefault="00602BE8" w:rsidP="007A15A7">
            <w:pPr>
              <w:pStyle w:val="ListParagraph"/>
              <w:spacing w:afterLines="120" w:line="240" w:lineRule="auto"/>
              <w:ind w:left="358"/>
              <w:jc w:val="both"/>
              <w:rPr>
                <w:rFonts w:ascii="Cambria" w:hAnsi="Cambria"/>
                <w:sz w:val="14"/>
                <w:szCs w:val="14"/>
              </w:rPr>
            </w:pPr>
          </w:p>
          <w:p w:rsidR="00602BE8" w:rsidRPr="00B95BFA" w:rsidRDefault="00341CCC" w:rsidP="007A15A7">
            <w:pPr>
              <w:pStyle w:val="ListParagraph"/>
              <w:numPr>
                <w:ilvl w:val="0"/>
                <w:numId w:val="6"/>
              </w:numPr>
              <w:spacing w:afterLines="120" w:line="240" w:lineRule="auto"/>
              <w:ind w:left="658"/>
              <w:jc w:val="both"/>
              <w:rPr>
                <w:rFonts w:ascii="Cambria" w:hAnsi="Cambria"/>
              </w:rPr>
            </w:pPr>
            <w:r>
              <w:rPr>
                <w:rFonts w:ascii="Cambria" w:hAnsi="Cambria"/>
              </w:rPr>
              <w:t xml:space="preserve">If </w:t>
            </w:r>
            <w:r w:rsidR="00602BE8" w:rsidRPr="00B95BFA">
              <w:rPr>
                <w:rFonts w:ascii="Cambria" w:hAnsi="Cambria"/>
              </w:rPr>
              <w:t>waiver of tax dues is not possible. In that case, clarification should be issued that any GST paid for any past period shall be eligible as credit for utilization or allowed as a refund.</w:t>
            </w:r>
          </w:p>
          <w:p w:rsidR="00602BE8" w:rsidRPr="00061860" w:rsidRDefault="00602BE8" w:rsidP="007A15A7">
            <w:pPr>
              <w:pStyle w:val="ListParagraph"/>
              <w:spacing w:afterLines="120" w:line="240" w:lineRule="auto"/>
              <w:ind w:left="358"/>
              <w:jc w:val="both"/>
              <w:rPr>
                <w:rFonts w:ascii="Cambria" w:hAnsi="Cambria"/>
                <w:sz w:val="14"/>
                <w:szCs w:val="14"/>
              </w:rPr>
            </w:pPr>
          </w:p>
          <w:p w:rsidR="00602BE8" w:rsidRPr="00B95BFA" w:rsidRDefault="00602BE8" w:rsidP="007A15A7">
            <w:pPr>
              <w:pStyle w:val="ListParagraph"/>
              <w:numPr>
                <w:ilvl w:val="0"/>
                <w:numId w:val="6"/>
              </w:numPr>
              <w:spacing w:afterLines="120" w:line="240" w:lineRule="auto"/>
              <w:ind w:left="658"/>
              <w:jc w:val="both"/>
              <w:rPr>
                <w:rFonts w:ascii="Cambria" w:hAnsi="Cambria"/>
              </w:rPr>
            </w:pPr>
            <w:r w:rsidRPr="00B95BFA">
              <w:rPr>
                <w:rFonts w:ascii="Cambria" w:hAnsi="Cambria"/>
              </w:rPr>
              <w:t xml:space="preserve">Further, no interest and penal proceedings </w:t>
            </w:r>
            <w:r w:rsidRPr="00B95BFA">
              <w:rPr>
                <w:rFonts w:ascii="Cambria" w:hAnsi="Cambria"/>
              </w:rPr>
              <w:lastRenderedPageBreak/>
              <w:t xml:space="preserve">shall be pursued in this matter.  </w:t>
            </w:r>
          </w:p>
          <w:p w:rsidR="00602BE8" w:rsidRPr="00061860" w:rsidRDefault="00602BE8" w:rsidP="007A15A7">
            <w:pPr>
              <w:pStyle w:val="ListParagraph"/>
              <w:tabs>
                <w:tab w:val="left" w:pos="1365"/>
              </w:tabs>
              <w:spacing w:afterLines="120" w:line="256" w:lineRule="auto"/>
              <w:ind w:left="358"/>
              <w:jc w:val="both"/>
              <w:rPr>
                <w:rFonts w:ascii="Cambria" w:hAnsi="Cambria"/>
                <w:sz w:val="14"/>
                <w:szCs w:val="14"/>
              </w:rPr>
            </w:pPr>
            <w:r>
              <w:rPr>
                <w:rFonts w:ascii="Cambria" w:hAnsi="Cambria"/>
              </w:rPr>
              <w:tab/>
            </w:r>
          </w:p>
          <w:p w:rsidR="00602BE8" w:rsidRPr="00B95BFA" w:rsidRDefault="00602BE8" w:rsidP="007A15A7">
            <w:pPr>
              <w:pStyle w:val="ListParagraph"/>
              <w:numPr>
                <w:ilvl w:val="0"/>
                <w:numId w:val="6"/>
              </w:numPr>
              <w:spacing w:afterLines="120" w:line="240" w:lineRule="auto"/>
              <w:ind w:left="658"/>
              <w:jc w:val="both"/>
              <w:rPr>
                <w:rFonts w:ascii="Cambria" w:hAnsi="Cambria"/>
              </w:rPr>
            </w:pPr>
            <w:r w:rsidRPr="00B95BFA">
              <w:rPr>
                <w:rFonts w:ascii="Cambria" w:hAnsi="Cambria"/>
              </w:rPr>
              <w:t xml:space="preserve">Also, clarification should be issued that the transaction value for tax payment shall be restricted to the value of actual reimbursements made by the Indian Company to the overseas Company.  </w:t>
            </w:r>
          </w:p>
          <w:p w:rsidR="00602BE8" w:rsidRPr="00061860" w:rsidRDefault="00602BE8" w:rsidP="00602BE8">
            <w:pPr>
              <w:pStyle w:val="ListParagraph"/>
              <w:rPr>
                <w:rFonts w:ascii="Cambria" w:hAnsi="Cambria"/>
                <w:sz w:val="12"/>
                <w:szCs w:val="12"/>
              </w:rPr>
            </w:pPr>
          </w:p>
          <w:p w:rsidR="00602BE8" w:rsidRPr="00B95BFA" w:rsidRDefault="00602BE8" w:rsidP="000C71CE">
            <w:pPr>
              <w:pStyle w:val="ListParagraph"/>
              <w:spacing w:afterLines="50"/>
              <w:ind w:left="0"/>
              <w:rPr>
                <w:rFonts w:ascii="Cambria" w:hAnsi="Cambria"/>
              </w:rPr>
            </w:pPr>
            <w:r w:rsidRPr="00B95BFA">
              <w:rPr>
                <w:rFonts w:ascii="Cambria" w:hAnsi="Cambria"/>
              </w:rPr>
              <w:t xml:space="preserve">Further, for demands under the service tax regime, Government could consider issuing a Notification under section 83 of the Finance Act, 1994 </w:t>
            </w:r>
            <w:r w:rsidR="00851E31">
              <w:rPr>
                <w:rFonts w:ascii="Cambria" w:hAnsi="Cambria"/>
              </w:rPr>
              <w:t>r</w:t>
            </w:r>
            <w:r w:rsidRPr="00B95BFA">
              <w:rPr>
                <w:rFonts w:ascii="Cambria" w:hAnsi="Cambria"/>
              </w:rPr>
              <w:t>ead with section 11C of the Central Excise Act,</w:t>
            </w:r>
            <w:r w:rsidR="00851E31">
              <w:rPr>
                <w:rFonts w:ascii="Cambria" w:hAnsi="Cambria"/>
              </w:rPr>
              <w:t xml:space="preserve"> </w:t>
            </w:r>
            <w:r w:rsidRPr="00B95BFA">
              <w:rPr>
                <w:rFonts w:ascii="Cambria" w:hAnsi="Cambria"/>
              </w:rPr>
              <w:t xml:space="preserve">1944.  </w:t>
            </w:r>
          </w:p>
        </w:tc>
      </w:tr>
      <w:tr w:rsidR="001F24F7" w:rsidRPr="00782FB0" w:rsidTr="00835F48">
        <w:trPr>
          <w:trHeight w:val="965"/>
        </w:trPr>
        <w:tc>
          <w:tcPr>
            <w:tcW w:w="562" w:type="dxa"/>
          </w:tcPr>
          <w:p w:rsidR="001F24F7" w:rsidRDefault="00AD4596"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3</w:t>
            </w:r>
            <w:r w:rsidR="00201607">
              <w:rPr>
                <w:rFonts w:ascii="Cambria" w:eastAsia="Calibri" w:hAnsi="Cambria" w:cs="Arial"/>
                <w:color w:val="000000"/>
                <w:sz w:val="22"/>
                <w:szCs w:val="22"/>
                <w:lang w:val="en-GB"/>
              </w:rPr>
              <w:t>.</w:t>
            </w:r>
          </w:p>
        </w:tc>
        <w:tc>
          <w:tcPr>
            <w:tcW w:w="2552" w:type="dxa"/>
            <w:shd w:val="clear" w:color="auto" w:fill="auto"/>
          </w:tcPr>
          <w:p w:rsidR="001F24F7" w:rsidRPr="00B95BFA" w:rsidRDefault="001F24F7" w:rsidP="001F24F7">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Rule 96(10) benefit allowed to importers of capital goods under the Export Promotion Capital Goods (EPCG) scheme should be extended to Export Oriented Unit (EOU)/ Electronic Hardware Technology Park (EHTP)/ Software Technology Park (STPI) scheme </w:t>
            </w:r>
          </w:p>
        </w:tc>
        <w:tc>
          <w:tcPr>
            <w:tcW w:w="6662" w:type="dxa"/>
          </w:tcPr>
          <w:p w:rsidR="001F24F7" w:rsidRPr="00B95BFA" w:rsidRDefault="001F24F7" w:rsidP="001F24F7">
            <w:pPr>
              <w:pStyle w:val="ListParagraph"/>
              <w:numPr>
                <w:ilvl w:val="0"/>
                <w:numId w:val="11"/>
              </w:numPr>
              <w:spacing w:after="0"/>
              <w:ind w:left="272" w:hanging="284"/>
              <w:jc w:val="both"/>
              <w:rPr>
                <w:rFonts w:ascii="Cambria" w:hAnsi="Cambria"/>
              </w:rPr>
            </w:pPr>
            <w:r w:rsidRPr="00B95BFA">
              <w:rPr>
                <w:rFonts w:ascii="Cambria" w:hAnsi="Cambria"/>
              </w:rPr>
              <w:t xml:space="preserve">Presently, as per Rule 96(10), if EOU/EHTP/STP units domestically procure/import raw materials and capital goods by availing exemption, then the benefit of export with tax payment is not available. </w:t>
            </w:r>
          </w:p>
          <w:p w:rsidR="001F24F7" w:rsidRPr="0084211B" w:rsidRDefault="001F24F7" w:rsidP="001F24F7">
            <w:pPr>
              <w:pStyle w:val="ListParagraph"/>
              <w:spacing w:after="0"/>
              <w:ind w:left="0"/>
              <w:jc w:val="both"/>
              <w:rPr>
                <w:rFonts w:ascii="Cambria" w:hAnsi="Cambria"/>
                <w:sz w:val="14"/>
                <w:szCs w:val="14"/>
              </w:rPr>
            </w:pPr>
          </w:p>
          <w:p w:rsidR="001F24F7" w:rsidRPr="00B95BFA" w:rsidRDefault="001F24F7" w:rsidP="001F24F7">
            <w:pPr>
              <w:pStyle w:val="ListParagraph"/>
              <w:numPr>
                <w:ilvl w:val="0"/>
                <w:numId w:val="11"/>
              </w:numPr>
              <w:spacing w:after="0"/>
              <w:ind w:left="272" w:hanging="284"/>
              <w:jc w:val="both"/>
              <w:rPr>
                <w:rFonts w:ascii="Cambria" w:hAnsi="Cambria"/>
              </w:rPr>
            </w:pPr>
            <w:r w:rsidRPr="00B95BFA">
              <w:rPr>
                <w:rFonts w:ascii="Cambria" w:hAnsi="Cambria"/>
              </w:rPr>
              <w:t xml:space="preserve">However, taxpayers who import/domestically procure capital goods under the EPCG scheme are allowed the benefit of export with payment of tax. The intention of allowing benefit was that it is impossible to have a one-to-one correlation with the outward supplies in case of imports of Capital Goods. </w:t>
            </w:r>
          </w:p>
          <w:p w:rsidR="001F24F7" w:rsidRPr="0084211B" w:rsidRDefault="001F24F7" w:rsidP="001F24F7">
            <w:pPr>
              <w:jc w:val="both"/>
              <w:rPr>
                <w:rFonts w:ascii="Cambria" w:hAnsi="Cambria"/>
                <w:sz w:val="14"/>
                <w:szCs w:val="14"/>
              </w:rPr>
            </w:pPr>
          </w:p>
          <w:p w:rsidR="001F24F7" w:rsidRPr="00B95BFA" w:rsidRDefault="001F24F7" w:rsidP="001F24F7">
            <w:pPr>
              <w:pStyle w:val="ListParagraph"/>
              <w:numPr>
                <w:ilvl w:val="0"/>
                <w:numId w:val="11"/>
              </w:numPr>
              <w:spacing w:after="0"/>
              <w:ind w:left="272" w:hanging="284"/>
              <w:jc w:val="both"/>
              <w:rPr>
                <w:rFonts w:ascii="Cambria" w:hAnsi="Cambria"/>
              </w:rPr>
            </w:pPr>
            <w:r w:rsidRPr="00B95BFA">
              <w:rPr>
                <w:rFonts w:ascii="Cambria" w:hAnsi="Cambria"/>
              </w:rPr>
              <w:t xml:space="preserve">This has resulted in a disparity between EPCG holders and EOU/STP/EHTP exporters as EOU/STP/EHTP units only procuring capital goods by availing exemption are denied the benefit of export with payment of tax.  </w:t>
            </w:r>
          </w:p>
          <w:p w:rsidR="001F24F7" w:rsidRPr="0084211B" w:rsidRDefault="001F24F7" w:rsidP="001F24F7">
            <w:pPr>
              <w:pStyle w:val="ListParagraph"/>
              <w:rPr>
                <w:rFonts w:ascii="Cambria" w:hAnsi="Cambria"/>
                <w:sz w:val="14"/>
                <w:szCs w:val="14"/>
              </w:rPr>
            </w:pPr>
          </w:p>
          <w:p w:rsidR="005B0281" w:rsidRPr="000C71CE" w:rsidRDefault="001F24F7" w:rsidP="005B0281">
            <w:pPr>
              <w:pStyle w:val="ListParagraph"/>
              <w:numPr>
                <w:ilvl w:val="0"/>
                <w:numId w:val="11"/>
              </w:numPr>
              <w:spacing w:after="0"/>
              <w:ind w:left="272" w:hanging="284"/>
              <w:jc w:val="both"/>
              <w:rPr>
                <w:rFonts w:ascii="Cambria" w:hAnsi="Cambria"/>
              </w:rPr>
            </w:pPr>
            <w:r w:rsidRPr="00B95BFA">
              <w:rPr>
                <w:rFonts w:ascii="Cambria" w:hAnsi="Cambria"/>
              </w:rPr>
              <w:t xml:space="preserve">Since one-to-one correlation is possible for inputs, the restriction should be applicable only for inputs procured and not for capital </w:t>
            </w:r>
            <w:r w:rsidRPr="00B95BFA">
              <w:rPr>
                <w:rFonts w:ascii="Cambria" w:hAnsi="Cambria"/>
              </w:rPr>
              <w:lastRenderedPageBreak/>
              <w:t>goods.</w:t>
            </w:r>
            <w:r>
              <w:rPr>
                <w:rFonts w:ascii="Cambria" w:hAnsi="Cambria"/>
              </w:rPr>
              <w:t xml:space="preserve"> </w:t>
            </w:r>
            <w:r w:rsidRPr="00B95BFA">
              <w:rPr>
                <w:rFonts w:ascii="Cambria" w:hAnsi="Cambria"/>
              </w:rPr>
              <w:t>This would ensure EOU/EHTP/STP and all other units procuring only capital goods under the restricted notifications in Rule 96(10) are allowed export with payment of tax.</w:t>
            </w:r>
          </w:p>
        </w:tc>
        <w:tc>
          <w:tcPr>
            <w:tcW w:w="5245" w:type="dxa"/>
            <w:shd w:val="clear" w:color="auto" w:fill="auto"/>
          </w:tcPr>
          <w:p w:rsidR="001F24F7" w:rsidRPr="007E178E" w:rsidRDefault="007E178E" w:rsidP="007A15A7">
            <w:pPr>
              <w:spacing w:afterLines="120"/>
              <w:jc w:val="both"/>
              <w:rPr>
                <w:rFonts w:ascii="Cambria" w:hAnsi="Cambria"/>
              </w:rPr>
            </w:pPr>
            <w:r>
              <w:rPr>
                <w:rFonts w:ascii="Cambria" w:hAnsi="Cambria"/>
              </w:rPr>
              <w:lastRenderedPageBreak/>
              <w:t xml:space="preserve">The </w:t>
            </w:r>
            <w:r w:rsidR="001F24F7" w:rsidRPr="007E178E">
              <w:rPr>
                <w:rFonts w:ascii="Cambria" w:hAnsi="Cambria"/>
              </w:rPr>
              <w:t xml:space="preserve">Chamber recommends that Rule 96(10) be amended retrospectively with effect from 23 October 2017 to restrict the benefit of exports with payment of tax only for inputs procured and not for all goods. </w:t>
            </w:r>
          </w:p>
          <w:p w:rsidR="001F24F7" w:rsidRPr="00B95BFA" w:rsidRDefault="001F24F7" w:rsidP="007A15A7">
            <w:pPr>
              <w:pStyle w:val="ListParagraph"/>
              <w:spacing w:afterLines="120"/>
              <w:ind w:left="358"/>
              <w:jc w:val="both"/>
              <w:rPr>
                <w:rFonts w:ascii="Cambria" w:hAnsi="Cambria"/>
              </w:rPr>
            </w:pPr>
          </w:p>
          <w:p w:rsidR="001F24F7" w:rsidRPr="00B95BFA" w:rsidRDefault="001F24F7" w:rsidP="007A15A7">
            <w:pPr>
              <w:pStyle w:val="ListParagraph"/>
              <w:spacing w:afterLines="120"/>
              <w:ind w:left="0"/>
              <w:rPr>
                <w:rFonts w:ascii="Cambria" w:hAnsi="Cambria"/>
              </w:rPr>
            </w:pPr>
          </w:p>
        </w:tc>
      </w:tr>
      <w:tr w:rsidR="004472A6" w:rsidRPr="00782FB0" w:rsidTr="00835F48">
        <w:trPr>
          <w:trHeight w:val="965"/>
        </w:trPr>
        <w:tc>
          <w:tcPr>
            <w:tcW w:w="562" w:type="dxa"/>
          </w:tcPr>
          <w:p w:rsidR="004472A6" w:rsidRDefault="004472A6"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4.</w:t>
            </w:r>
          </w:p>
        </w:tc>
        <w:tc>
          <w:tcPr>
            <w:tcW w:w="2552" w:type="dxa"/>
            <w:shd w:val="clear" w:color="auto" w:fill="auto"/>
          </w:tcPr>
          <w:p w:rsidR="004472A6" w:rsidRPr="00B95BFA" w:rsidRDefault="004472A6" w:rsidP="004472A6">
            <w:pPr>
              <w:pStyle w:val="PlainText"/>
              <w:rPr>
                <w:rFonts w:ascii="Cambria" w:eastAsia="SimSun" w:hAnsi="Cambria" w:cs="Times New Roman"/>
                <w:b/>
                <w:bCs/>
                <w:sz w:val="22"/>
                <w:szCs w:val="22"/>
                <w:lang w:val="en-GB" w:eastAsia="zh-CN"/>
              </w:rPr>
            </w:pPr>
            <w:r w:rsidRPr="00256AB9">
              <w:rPr>
                <w:rFonts w:ascii="Cambria" w:eastAsia="SimSun" w:hAnsi="Cambria" w:cs="Times New Roman"/>
                <w:b/>
                <w:bCs/>
                <w:sz w:val="22"/>
                <w:szCs w:val="22"/>
                <w:lang w:val="en-GB" w:eastAsia="zh-CN"/>
              </w:rPr>
              <w:t>Communication of details of inward supplies and ITC</w:t>
            </w:r>
          </w:p>
        </w:tc>
        <w:tc>
          <w:tcPr>
            <w:tcW w:w="6662" w:type="dxa"/>
          </w:tcPr>
          <w:p w:rsidR="004472A6" w:rsidRPr="00B95BFA" w:rsidRDefault="004472A6" w:rsidP="004472A6">
            <w:pPr>
              <w:pStyle w:val="ListParagraph"/>
              <w:numPr>
                <w:ilvl w:val="0"/>
                <w:numId w:val="11"/>
              </w:numPr>
              <w:spacing w:after="0"/>
              <w:ind w:left="272" w:hanging="284"/>
              <w:jc w:val="both"/>
              <w:rPr>
                <w:rFonts w:ascii="Cambria" w:hAnsi="Cambria"/>
              </w:rPr>
            </w:pPr>
            <w:r w:rsidRPr="00B95BFA">
              <w:rPr>
                <w:rFonts w:ascii="Cambria" w:hAnsi="Cambria"/>
              </w:rPr>
              <w:t>As per amended section 38</w:t>
            </w:r>
            <w:r>
              <w:rPr>
                <w:rFonts w:ascii="Cambria" w:hAnsi="Cambria"/>
              </w:rPr>
              <w:t xml:space="preserve"> (effective 1 October 2022)</w:t>
            </w:r>
            <w:r w:rsidRPr="00B95BFA">
              <w:rPr>
                <w:rFonts w:ascii="Cambria" w:hAnsi="Cambria"/>
              </w:rPr>
              <w:t>, ITC shall be denied to the recipient for various defaults by the supplier. Such defaults include:</w:t>
            </w:r>
          </w:p>
          <w:p w:rsidR="004472A6" w:rsidRPr="00B95BFA" w:rsidRDefault="004472A6" w:rsidP="007A15A7">
            <w:pPr>
              <w:numPr>
                <w:ilvl w:val="0"/>
                <w:numId w:val="1"/>
              </w:numPr>
              <w:spacing w:afterLines="120" w:line="276" w:lineRule="auto"/>
              <w:ind w:left="740"/>
              <w:contextualSpacing/>
              <w:jc w:val="both"/>
              <w:rPr>
                <w:rFonts w:ascii="Cambria" w:eastAsia="SimSun" w:hAnsi="Cambria" w:cs="Times New Roman"/>
                <w:lang w:val="en-GB" w:eastAsia="zh-CN"/>
              </w:rPr>
            </w:pPr>
            <w:r w:rsidRPr="00B95BFA">
              <w:rPr>
                <w:rFonts w:ascii="Cambria" w:eastAsia="SimSun" w:hAnsi="Cambria" w:cs="Times New Roman"/>
                <w:lang w:val="en-GB" w:eastAsia="zh-CN"/>
              </w:rPr>
              <w:t>Non-payment of tax by the supplier</w:t>
            </w:r>
          </w:p>
          <w:p w:rsidR="004472A6" w:rsidRPr="00B95BFA" w:rsidRDefault="004472A6" w:rsidP="007A15A7">
            <w:pPr>
              <w:numPr>
                <w:ilvl w:val="0"/>
                <w:numId w:val="1"/>
              </w:numPr>
              <w:spacing w:afterLines="120" w:line="276" w:lineRule="auto"/>
              <w:ind w:left="740"/>
              <w:contextualSpacing/>
              <w:jc w:val="both"/>
              <w:rPr>
                <w:rFonts w:ascii="Cambria" w:eastAsia="SimSun" w:hAnsi="Cambria" w:cs="Times New Roman"/>
                <w:lang w:val="en-GB" w:eastAsia="zh-CN"/>
              </w:rPr>
            </w:pPr>
            <w:r w:rsidRPr="00B95BFA">
              <w:rPr>
                <w:rFonts w:ascii="Cambria" w:eastAsia="SimSun" w:hAnsi="Cambria" w:cs="Times New Roman"/>
                <w:lang w:val="en-GB" w:eastAsia="zh-CN"/>
              </w:rPr>
              <w:t>Availment of credit in excess of eligible credit</w:t>
            </w:r>
          </w:p>
          <w:p w:rsidR="004472A6" w:rsidRPr="00B95BFA" w:rsidRDefault="004472A6" w:rsidP="007A15A7">
            <w:pPr>
              <w:numPr>
                <w:ilvl w:val="0"/>
                <w:numId w:val="1"/>
              </w:numPr>
              <w:spacing w:afterLines="120" w:line="276" w:lineRule="auto"/>
              <w:ind w:left="740"/>
              <w:contextualSpacing/>
              <w:jc w:val="both"/>
              <w:rPr>
                <w:rFonts w:ascii="Cambria" w:eastAsia="SimSun" w:hAnsi="Cambria" w:cs="Times New Roman"/>
                <w:lang w:val="en-GB" w:eastAsia="zh-CN"/>
              </w:rPr>
            </w:pPr>
            <w:r w:rsidRPr="00B95BFA">
              <w:rPr>
                <w:rFonts w:ascii="Cambria" w:eastAsia="SimSun" w:hAnsi="Cambria" w:cs="Times New Roman"/>
                <w:lang w:val="en-GB" w:eastAsia="zh-CN"/>
              </w:rPr>
              <w:t>Utilization of ITC in excess of the prescribed limit</w:t>
            </w:r>
          </w:p>
          <w:p w:rsidR="004472A6" w:rsidRPr="00B95BFA" w:rsidRDefault="004472A6" w:rsidP="007A15A7">
            <w:pPr>
              <w:numPr>
                <w:ilvl w:val="0"/>
                <w:numId w:val="1"/>
              </w:numPr>
              <w:spacing w:afterLines="120" w:line="276" w:lineRule="auto"/>
              <w:ind w:left="740"/>
              <w:contextualSpacing/>
              <w:jc w:val="both"/>
              <w:rPr>
                <w:rFonts w:ascii="Cambria" w:eastAsia="SimSun" w:hAnsi="Cambria" w:cs="Times New Roman"/>
                <w:lang w:val="en-GB" w:eastAsia="zh-CN"/>
              </w:rPr>
            </w:pPr>
            <w:r w:rsidRPr="00B95BFA">
              <w:rPr>
                <w:rFonts w:ascii="Cambria" w:eastAsia="SimSun" w:hAnsi="Cambria" w:cs="Times New Roman"/>
                <w:lang w:val="en-GB" w:eastAsia="zh-CN"/>
              </w:rPr>
              <w:t>Tax payable basis GSTR-1 is more than the tax paid in GSTR-3B</w:t>
            </w:r>
          </w:p>
          <w:p w:rsidR="004472A6" w:rsidRPr="00B95BFA" w:rsidRDefault="004472A6" w:rsidP="004472A6">
            <w:pPr>
              <w:pStyle w:val="ListParagraph"/>
              <w:numPr>
                <w:ilvl w:val="0"/>
                <w:numId w:val="11"/>
              </w:numPr>
              <w:spacing w:after="0"/>
              <w:ind w:left="272" w:hanging="284"/>
              <w:jc w:val="both"/>
              <w:rPr>
                <w:rFonts w:ascii="Cambria" w:hAnsi="Cambria"/>
              </w:rPr>
            </w:pPr>
            <w:r w:rsidRPr="00B95BFA">
              <w:rPr>
                <w:rFonts w:ascii="Cambria" w:hAnsi="Cambria"/>
              </w:rPr>
              <w:t xml:space="preserve">The recipient is likely to have a nightmare claiming credit if these restrictions are imposed for reasons beyond the recipient's control. These provisions are most likely to be challenged before the Courts. </w:t>
            </w:r>
          </w:p>
          <w:p w:rsidR="004472A6" w:rsidRPr="00061860" w:rsidRDefault="004472A6" w:rsidP="004472A6">
            <w:pPr>
              <w:pStyle w:val="ListParagraph"/>
              <w:spacing w:after="0"/>
              <w:ind w:left="272"/>
              <w:jc w:val="both"/>
              <w:rPr>
                <w:rFonts w:ascii="Cambria" w:hAnsi="Cambria"/>
                <w:sz w:val="14"/>
                <w:szCs w:val="14"/>
              </w:rPr>
            </w:pPr>
          </w:p>
          <w:p w:rsidR="004472A6" w:rsidRPr="00256AB9" w:rsidRDefault="004472A6" w:rsidP="004472A6">
            <w:pPr>
              <w:pStyle w:val="ListParagraph"/>
              <w:numPr>
                <w:ilvl w:val="0"/>
                <w:numId w:val="11"/>
              </w:numPr>
              <w:spacing w:after="0"/>
              <w:ind w:left="272" w:hanging="284"/>
              <w:jc w:val="both"/>
              <w:rPr>
                <w:rFonts w:ascii="Cambria" w:hAnsi="Cambria"/>
              </w:rPr>
            </w:pPr>
            <w:r w:rsidRPr="006A1EE7">
              <w:rPr>
                <w:rFonts w:ascii="Cambria" w:hAnsi="Cambria"/>
              </w:rPr>
              <w:t xml:space="preserve">The restriction on ITC availment for various defaults by the supplier will result in working capital blockage for recipients. It is not very clear whether the prescribed restrictions are temporary, in the sense that at a later time, on corrective actions undertaken by the supplier, the recipient will be eligible for ITC or not. </w:t>
            </w:r>
          </w:p>
          <w:p w:rsidR="004472A6" w:rsidRPr="006A1EE7" w:rsidRDefault="004472A6" w:rsidP="004472A6">
            <w:pPr>
              <w:pStyle w:val="ListParagraph"/>
              <w:spacing w:after="0"/>
              <w:ind w:left="272"/>
              <w:jc w:val="both"/>
              <w:rPr>
                <w:rFonts w:ascii="Cambria" w:hAnsi="Cambria"/>
                <w:sz w:val="14"/>
                <w:szCs w:val="14"/>
              </w:rPr>
            </w:pPr>
          </w:p>
          <w:p w:rsidR="004472A6" w:rsidRPr="00B95BFA" w:rsidRDefault="004472A6" w:rsidP="004472A6">
            <w:pPr>
              <w:pStyle w:val="ListParagraph"/>
              <w:numPr>
                <w:ilvl w:val="0"/>
                <w:numId w:val="11"/>
              </w:numPr>
              <w:spacing w:after="0"/>
              <w:ind w:left="272" w:hanging="284"/>
              <w:jc w:val="both"/>
              <w:rPr>
                <w:rFonts w:ascii="Cambria" w:hAnsi="Cambria"/>
              </w:rPr>
            </w:pPr>
            <w:r w:rsidRPr="00B95BFA">
              <w:rPr>
                <w:rFonts w:ascii="Cambria" w:hAnsi="Cambria"/>
              </w:rPr>
              <w:t>The restrictions somehow dilute the objective of facilitating seamless flow of credit through the implementation of GST.</w:t>
            </w:r>
          </w:p>
          <w:p w:rsidR="004472A6" w:rsidRPr="00061860" w:rsidRDefault="004472A6" w:rsidP="004472A6">
            <w:pPr>
              <w:spacing w:after="0"/>
              <w:jc w:val="both"/>
              <w:rPr>
                <w:rFonts w:ascii="Cambria" w:hAnsi="Cambria"/>
                <w:sz w:val="14"/>
                <w:szCs w:val="14"/>
              </w:rPr>
            </w:pPr>
          </w:p>
          <w:p w:rsidR="004472A6" w:rsidRPr="00B95BFA" w:rsidRDefault="004472A6" w:rsidP="004472A6">
            <w:pPr>
              <w:pStyle w:val="ListParagraph"/>
              <w:numPr>
                <w:ilvl w:val="0"/>
                <w:numId w:val="11"/>
              </w:numPr>
              <w:spacing w:after="0"/>
              <w:ind w:left="272" w:hanging="284"/>
              <w:jc w:val="both"/>
              <w:rPr>
                <w:rFonts w:ascii="Cambria" w:hAnsi="Cambria"/>
              </w:rPr>
            </w:pPr>
            <w:r w:rsidRPr="00B95BFA">
              <w:rPr>
                <w:rFonts w:ascii="Cambria" w:hAnsi="Cambria"/>
              </w:rPr>
              <w:t xml:space="preserve">There can be genuine cases where credit eligible as per GSTR-2B of a particular month is availed in subsequent months (but within the prescribed time limit). Such deferred availment may cause </w:t>
            </w:r>
            <w:r w:rsidRPr="00B95BFA">
              <w:rPr>
                <w:rFonts w:ascii="Cambria" w:hAnsi="Cambria"/>
              </w:rPr>
              <w:lastRenderedPageBreak/>
              <w:t xml:space="preserve">excess availment in a month compared to GSTR-2B (when matched on a month-to-month basis), a criterion for denial of credit to the recipient. It needs to be seen how the credit matching between GSTR-2B and GSTR-3B is enabled in the GST portal. </w:t>
            </w:r>
          </w:p>
          <w:p w:rsidR="004472A6" w:rsidRPr="00CD3140" w:rsidRDefault="004472A6" w:rsidP="004472A6">
            <w:pPr>
              <w:pStyle w:val="ListParagraph"/>
              <w:spacing w:after="0"/>
              <w:ind w:left="272"/>
              <w:jc w:val="both"/>
              <w:rPr>
                <w:rFonts w:ascii="Cambria" w:hAnsi="Cambria"/>
                <w:sz w:val="14"/>
                <w:szCs w:val="14"/>
              </w:rPr>
            </w:pPr>
          </w:p>
          <w:p w:rsidR="004472A6" w:rsidRPr="00B95BFA" w:rsidRDefault="004472A6" w:rsidP="004472A6">
            <w:pPr>
              <w:pStyle w:val="ListParagraph"/>
              <w:numPr>
                <w:ilvl w:val="0"/>
                <w:numId w:val="11"/>
              </w:numPr>
              <w:spacing w:after="0"/>
              <w:ind w:left="272" w:hanging="284"/>
              <w:jc w:val="both"/>
              <w:rPr>
                <w:rFonts w:ascii="Cambria" w:hAnsi="Cambria"/>
              </w:rPr>
            </w:pPr>
            <w:r w:rsidRPr="00B95BFA">
              <w:rPr>
                <w:rFonts w:ascii="Cambria" w:hAnsi="Cambria"/>
              </w:rPr>
              <w:t xml:space="preserve">Similarly, there can be instances where a credit note was issued, but there was no sufficient liability in the said month to offset against the credit note. The full value of the credit note is reported in GSTR-1, but in GSTR-3B, the amount of the credit note only to the extent of liability can be disclosed. Accordingly, in the subsequent month, there could be a scenario where liability in GSTR-1 will be more than the liability shown in GSTR-3B on account of the adjustment of the credit note for the balance amount. </w:t>
            </w:r>
          </w:p>
          <w:p w:rsidR="004472A6" w:rsidRPr="007B459E" w:rsidRDefault="004472A6" w:rsidP="004472A6">
            <w:pPr>
              <w:pStyle w:val="ListParagraph"/>
              <w:spacing w:after="0"/>
              <w:ind w:left="272"/>
              <w:jc w:val="both"/>
              <w:rPr>
                <w:rFonts w:ascii="Cambria" w:hAnsi="Cambria"/>
                <w:sz w:val="14"/>
                <w:szCs w:val="14"/>
              </w:rPr>
            </w:pPr>
          </w:p>
          <w:p w:rsidR="004472A6" w:rsidRPr="00B95BFA" w:rsidRDefault="004472A6" w:rsidP="004472A6">
            <w:pPr>
              <w:pStyle w:val="ListParagraph"/>
              <w:numPr>
                <w:ilvl w:val="0"/>
                <w:numId w:val="11"/>
              </w:numPr>
              <w:spacing w:after="0"/>
              <w:ind w:left="272" w:hanging="284"/>
              <w:jc w:val="both"/>
              <w:rPr>
                <w:rFonts w:ascii="Cambria" w:hAnsi="Cambria"/>
              </w:rPr>
            </w:pPr>
            <w:r w:rsidRPr="00B95BFA">
              <w:rPr>
                <w:rFonts w:ascii="Cambria" w:hAnsi="Cambria"/>
              </w:rPr>
              <w:t xml:space="preserve">Disallowing credit in such cases basis the system reports without going into actual reasoning can cause undue hardship for genuine recipient. </w:t>
            </w:r>
          </w:p>
          <w:p w:rsidR="004472A6" w:rsidRPr="007B459E" w:rsidRDefault="004472A6" w:rsidP="004472A6">
            <w:pPr>
              <w:pStyle w:val="ListParagraph"/>
              <w:spacing w:after="0"/>
              <w:ind w:left="272"/>
              <w:jc w:val="both"/>
              <w:rPr>
                <w:rFonts w:ascii="Cambria" w:hAnsi="Cambria"/>
                <w:sz w:val="14"/>
                <w:szCs w:val="14"/>
              </w:rPr>
            </w:pPr>
          </w:p>
          <w:p w:rsidR="004472A6" w:rsidRPr="00B95BFA" w:rsidRDefault="004472A6" w:rsidP="004472A6">
            <w:pPr>
              <w:pStyle w:val="ListParagraph"/>
              <w:numPr>
                <w:ilvl w:val="0"/>
                <w:numId w:val="11"/>
              </w:numPr>
              <w:spacing w:after="0"/>
              <w:ind w:left="272" w:hanging="284"/>
              <w:jc w:val="both"/>
              <w:rPr>
                <w:rFonts w:ascii="Cambria" w:hAnsi="Cambria"/>
              </w:rPr>
            </w:pPr>
            <w:r w:rsidRPr="00B95BFA">
              <w:rPr>
                <w:rFonts w:ascii="Cambria" w:hAnsi="Cambria"/>
              </w:rPr>
              <w:t>This provision could be prone to litigation on the ground that Government should not straightaway burden the recipient with credit denial without first taking steps to recover tax from the supplier.</w:t>
            </w:r>
          </w:p>
          <w:p w:rsidR="004472A6" w:rsidRPr="007B459E" w:rsidRDefault="004472A6" w:rsidP="004472A6">
            <w:pPr>
              <w:pStyle w:val="ListParagraph"/>
              <w:spacing w:after="0"/>
              <w:ind w:left="272"/>
              <w:jc w:val="both"/>
              <w:rPr>
                <w:rFonts w:ascii="Cambria" w:hAnsi="Cambria"/>
                <w:sz w:val="14"/>
                <w:szCs w:val="14"/>
              </w:rPr>
            </w:pPr>
          </w:p>
          <w:p w:rsidR="004472A6" w:rsidRPr="000C71CE" w:rsidRDefault="004472A6" w:rsidP="000C71CE">
            <w:pPr>
              <w:pStyle w:val="ListParagraph"/>
              <w:numPr>
                <w:ilvl w:val="0"/>
                <w:numId w:val="11"/>
              </w:numPr>
              <w:spacing w:after="0"/>
              <w:ind w:left="272" w:hanging="284"/>
              <w:jc w:val="both"/>
              <w:rPr>
                <w:rFonts w:ascii="Cambria" w:hAnsi="Cambria"/>
              </w:rPr>
            </w:pPr>
            <w:r w:rsidRPr="00B95BFA">
              <w:rPr>
                <w:rFonts w:ascii="Cambria" w:hAnsi="Cambria"/>
              </w:rPr>
              <w:t>Instruction No. 1/2022-GST dated 7 January 2022 stated that where the liability reported in GSTR-1 is more than GSTR-3B, taxpayers will have an opportunity to be heard to explain the differences before initiating recovery proceedings. Similar relaxation is currently absent under section 38.</w:t>
            </w:r>
          </w:p>
        </w:tc>
        <w:tc>
          <w:tcPr>
            <w:tcW w:w="5245" w:type="dxa"/>
            <w:shd w:val="clear" w:color="auto" w:fill="auto"/>
          </w:tcPr>
          <w:p w:rsidR="004472A6" w:rsidRPr="007E178E" w:rsidRDefault="004472A6" w:rsidP="007E178E">
            <w:pPr>
              <w:spacing w:after="0"/>
              <w:ind w:left="-12"/>
              <w:jc w:val="both"/>
              <w:rPr>
                <w:rFonts w:ascii="Cambria" w:hAnsi="Cambria"/>
              </w:rPr>
            </w:pPr>
            <w:r w:rsidRPr="007E178E">
              <w:rPr>
                <w:rFonts w:ascii="Cambria" w:hAnsi="Cambria"/>
              </w:rPr>
              <w:lastRenderedPageBreak/>
              <w:t>The Chamber recommends that since the provisions are too onerous, the recipient should not be denied credit due to the supplier's default. Accordingly,</w:t>
            </w:r>
            <w:r>
              <w:t xml:space="preserve"> </w:t>
            </w:r>
            <w:r w:rsidRPr="007E178E">
              <w:rPr>
                <w:rFonts w:ascii="Cambria" w:hAnsi="Cambria"/>
              </w:rPr>
              <w:t xml:space="preserve">it is recommended that notification prescribing restricted suppliers under this section should not be issued. </w:t>
            </w:r>
          </w:p>
          <w:p w:rsidR="004472A6" w:rsidRPr="00B95BFA" w:rsidRDefault="004472A6" w:rsidP="004472A6">
            <w:pPr>
              <w:pStyle w:val="ListParagraph"/>
              <w:spacing w:after="0"/>
              <w:rPr>
                <w:rFonts w:ascii="Cambria" w:hAnsi="Cambria"/>
              </w:rPr>
            </w:pPr>
          </w:p>
          <w:p w:rsidR="004472A6" w:rsidRPr="007E178E" w:rsidRDefault="004472A6" w:rsidP="007E178E">
            <w:pPr>
              <w:spacing w:after="0"/>
              <w:jc w:val="both"/>
              <w:rPr>
                <w:rFonts w:ascii="Cambria" w:hAnsi="Cambria"/>
              </w:rPr>
            </w:pPr>
            <w:r w:rsidRPr="007E178E">
              <w:rPr>
                <w:rFonts w:ascii="Cambria" w:hAnsi="Cambria"/>
              </w:rPr>
              <w:t>Alternatively, the applicability of these provisions should be limited only in case of fraud or collusion.</w:t>
            </w:r>
          </w:p>
          <w:p w:rsidR="004472A6" w:rsidRPr="00B95BFA" w:rsidRDefault="004472A6" w:rsidP="007A15A7">
            <w:pPr>
              <w:pStyle w:val="ListParagraph"/>
              <w:spacing w:afterLines="120"/>
              <w:ind w:left="0"/>
              <w:rPr>
                <w:rFonts w:ascii="Cambria" w:hAnsi="Cambria"/>
              </w:rPr>
            </w:pPr>
          </w:p>
        </w:tc>
      </w:tr>
      <w:tr w:rsidR="00602BE8" w:rsidRPr="00782FB0" w:rsidTr="00835F48">
        <w:trPr>
          <w:trHeight w:val="965"/>
        </w:trPr>
        <w:tc>
          <w:tcPr>
            <w:tcW w:w="562" w:type="dxa"/>
          </w:tcPr>
          <w:p w:rsidR="00602BE8" w:rsidRDefault="004472A6"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5</w:t>
            </w:r>
            <w:r w:rsidR="00602BE8">
              <w:rPr>
                <w:rFonts w:ascii="Cambria" w:eastAsia="Calibri" w:hAnsi="Cambria" w:cs="Arial"/>
                <w:color w:val="000000"/>
                <w:sz w:val="22"/>
                <w:szCs w:val="22"/>
                <w:lang w:val="en-GB"/>
              </w:rPr>
              <w:t>.</w:t>
            </w:r>
          </w:p>
        </w:tc>
        <w:tc>
          <w:tcPr>
            <w:tcW w:w="2552" w:type="dxa"/>
            <w:shd w:val="clear" w:color="auto" w:fill="auto"/>
          </w:tcPr>
          <w:p w:rsidR="00602BE8" w:rsidRPr="00B95BFA" w:rsidRDefault="00602BE8" w:rsidP="00602BE8">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ITC eligibility where Place of supply (POS) is in another state</w:t>
            </w:r>
          </w:p>
          <w:p w:rsidR="00602BE8" w:rsidRPr="00C176F0" w:rsidRDefault="00602BE8" w:rsidP="00602BE8">
            <w:pPr>
              <w:autoSpaceDE w:val="0"/>
              <w:autoSpaceDN w:val="0"/>
              <w:spacing w:line="276" w:lineRule="auto"/>
              <w:contextualSpacing/>
              <w:rPr>
                <w:rFonts w:ascii="Cambria" w:hAnsi="Cambria"/>
                <w:b/>
                <w:bCs/>
              </w:rPr>
            </w:pPr>
          </w:p>
        </w:tc>
        <w:tc>
          <w:tcPr>
            <w:tcW w:w="6662" w:type="dxa"/>
          </w:tcPr>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Tax collected by the State where the goods or services are consumed is retained by that State only; therefore, an entity registered in another state cannot claim the credit of the same. This applies to all those transactions where the POS is in a different state than the location of the recipient. </w:t>
            </w:r>
          </w:p>
          <w:p w:rsidR="00602BE8" w:rsidRPr="00B95BFA" w:rsidRDefault="00602BE8" w:rsidP="00602BE8">
            <w:pPr>
              <w:pStyle w:val="ListParagraph"/>
              <w:spacing w:after="0"/>
              <w:jc w:val="both"/>
              <w:rPr>
                <w:rFonts w:ascii="Cambria" w:hAnsi="Cambria"/>
                <w:sz w:val="16"/>
                <w:szCs w:val="16"/>
              </w:rPr>
            </w:pPr>
          </w:p>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However, in case of an intra-state supply of goods and services, Central Goods and Services Tax (CGST) portion is retained by the Central Government and forms part of the consolidated fund of India. Since Central Government collects taxes, credit of the same could be allowed irrespective of whether the taxpayer is registered in the particular State.  </w:t>
            </w:r>
          </w:p>
          <w:p w:rsidR="00602BE8" w:rsidRPr="00B95BFA" w:rsidRDefault="00602BE8" w:rsidP="00602BE8">
            <w:pPr>
              <w:spacing w:after="0"/>
              <w:ind w:left="272"/>
              <w:jc w:val="both"/>
              <w:rPr>
                <w:rFonts w:ascii="Cambria" w:hAnsi="Cambria"/>
                <w:sz w:val="16"/>
                <w:szCs w:val="16"/>
              </w:rPr>
            </w:pPr>
          </w:p>
          <w:p w:rsidR="00602BE8" w:rsidRPr="00B95BFA" w:rsidRDefault="00602BE8" w:rsidP="00602BE8">
            <w:pPr>
              <w:spacing w:after="0"/>
              <w:ind w:left="272"/>
              <w:jc w:val="both"/>
              <w:rPr>
                <w:rFonts w:ascii="Cambria" w:hAnsi="Cambria"/>
              </w:rPr>
            </w:pPr>
            <w:r w:rsidRPr="00B95BFA">
              <w:rPr>
                <w:rFonts w:ascii="Cambria" w:hAnsi="Cambria"/>
              </w:rPr>
              <w:t xml:space="preserve">Example: The employees of a company travel across India, and it is not possible to obtain GST registration in each State. Thus, the tax paid on hotel accommodation service </w:t>
            </w:r>
          </w:p>
          <w:p w:rsidR="00602BE8" w:rsidRPr="00B95BFA" w:rsidRDefault="00602BE8" w:rsidP="00602BE8">
            <w:pPr>
              <w:pStyle w:val="ListParagraph"/>
              <w:spacing w:after="0"/>
              <w:ind w:left="272"/>
              <w:jc w:val="both"/>
              <w:rPr>
                <w:rFonts w:ascii="Cambria" w:hAnsi="Cambria"/>
              </w:rPr>
            </w:pPr>
            <w:r w:rsidRPr="00B95BFA">
              <w:rPr>
                <w:rFonts w:ascii="Cambria" w:hAnsi="Cambria"/>
              </w:rPr>
              <w:t>becomes cost to the Company.</w:t>
            </w:r>
          </w:p>
          <w:p w:rsidR="00602BE8" w:rsidRPr="00AC4952" w:rsidRDefault="00602BE8" w:rsidP="00602BE8">
            <w:pPr>
              <w:pStyle w:val="xmsonormal"/>
              <w:spacing w:after="0"/>
              <w:ind w:left="322"/>
              <w:jc w:val="both"/>
              <w:rPr>
                <w:rFonts w:ascii="Cambria" w:hAnsi="Cambria"/>
                <w:color w:val="000000"/>
                <w:sz w:val="10"/>
                <w:szCs w:val="10"/>
              </w:rPr>
            </w:pPr>
          </w:p>
        </w:tc>
        <w:tc>
          <w:tcPr>
            <w:tcW w:w="5245" w:type="dxa"/>
            <w:shd w:val="clear" w:color="auto" w:fill="auto"/>
          </w:tcPr>
          <w:p w:rsidR="00602BE8" w:rsidRPr="00C176F0" w:rsidRDefault="00602BE8" w:rsidP="007A15A7">
            <w:pPr>
              <w:pStyle w:val="ListParagraph"/>
              <w:spacing w:afterLines="120"/>
              <w:ind w:left="0"/>
              <w:rPr>
                <w:rFonts w:ascii="Cambria" w:hAnsi="Cambria"/>
              </w:rPr>
            </w:pPr>
            <w:r w:rsidRPr="00B95BFA">
              <w:rPr>
                <w:rFonts w:ascii="Cambria" w:hAnsi="Cambria"/>
              </w:rPr>
              <w:t xml:space="preserve">The Chamber recommends that a suitable mechanism be introduced to allow ITC of </w:t>
            </w:r>
            <w:r>
              <w:rPr>
                <w:rFonts w:ascii="Cambria" w:hAnsi="Cambria"/>
              </w:rPr>
              <w:t>GST (</w:t>
            </w:r>
            <w:r w:rsidRPr="00B95BFA">
              <w:rPr>
                <w:rFonts w:ascii="Cambria" w:hAnsi="Cambria"/>
              </w:rPr>
              <w:t>CGST</w:t>
            </w:r>
            <w:r>
              <w:rPr>
                <w:rFonts w:ascii="Cambria" w:hAnsi="Cambria"/>
              </w:rPr>
              <w:t>)</w:t>
            </w:r>
            <w:r w:rsidRPr="00B95BFA">
              <w:rPr>
                <w:rFonts w:ascii="Cambria" w:hAnsi="Cambria"/>
              </w:rPr>
              <w:t xml:space="preserve"> in such cases to the businesses.</w:t>
            </w:r>
          </w:p>
        </w:tc>
      </w:tr>
      <w:tr w:rsidR="00602BE8" w:rsidRPr="00782FB0" w:rsidTr="00835F48">
        <w:trPr>
          <w:trHeight w:val="965"/>
        </w:trPr>
        <w:tc>
          <w:tcPr>
            <w:tcW w:w="562" w:type="dxa"/>
          </w:tcPr>
          <w:p w:rsidR="00602BE8" w:rsidRDefault="006F1B66"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6</w:t>
            </w:r>
            <w:r w:rsidR="00C9580B">
              <w:rPr>
                <w:rFonts w:ascii="Cambria" w:eastAsia="Calibri" w:hAnsi="Cambria" w:cs="Arial"/>
                <w:color w:val="000000"/>
                <w:sz w:val="22"/>
                <w:szCs w:val="22"/>
                <w:lang w:val="en-GB"/>
              </w:rPr>
              <w:t>.</w:t>
            </w:r>
          </w:p>
        </w:tc>
        <w:tc>
          <w:tcPr>
            <w:tcW w:w="2552" w:type="dxa"/>
            <w:shd w:val="clear" w:color="auto" w:fill="auto"/>
          </w:tcPr>
          <w:p w:rsidR="00602BE8" w:rsidRPr="00B95BFA" w:rsidRDefault="00602BE8" w:rsidP="00602BE8">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Transfer of Integrated Goods and Services Tax (IGST)/ CGST/ cess credit balance between registration having same PAN</w:t>
            </w:r>
          </w:p>
        </w:tc>
        <w:tc>
          <w:tcPr>
            <w:tcW w:w="6662" w:type="dxa"/>
          </w:tcPr>
          <w:p w:rsidR="00602BE8"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There are many instances where the taxpayer has enough credit balance in one State but needs to discharge tax liability in cash in other states. This negatively impacts the working capital of the business. </w:t>
            </w:r>
          </w:p>
          <w:p w:rsidR="00602BE8" w:rsidRPr="00702992" w:rsidRDefault="00602BE8" w:rsidP="00602BE8">
            <w:pPr>
              <w:pStyle w:val="ListParagraph"/>
              <w:spacing w:after="0"/>
              <w:ind w:left="272"/>
              <w:jc w:val="both"/>
              <w:rPr>
                <w:rFonts w:ascii="Cambria" w:hAnsi="Cambria"/>
                <w:sz w:val="14"/>
                <w:szCs w:val="14"/>
              </w:rPr>
            </w:pPr>
          </w:p>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Further, vide Finance Act 2022, provisions related to transfer of unutilized balance in CGST and IGST cash ledgers have been allowed to transfer between distinct persons w</w:t>
            </w:r>
            <w:r w:rsidR="00A40915">
              <w:rPr>
                <w:rFonts w:ascii="Cambria" w:hAnsi="Cambria"/>
              </w:rPr>
              <w:t>.e.f.</w:t>
            </w:r>
            <w:r w:rsidRPr="00B95BFA">
              <w:rPr>
                <w:rFonts w:ascii="Cambria" w:hAnsi="Cambria"/>
              </w:rPr>
              <w:t xml:space="preserve"> 5 July 2022.</w:t>
            </w:r>
          </w:p>
          <w:p w:rsidR="00602BE8" w:rsidRPr="00B95BFA" w:rsidRDefault="00602BE8" w:rsidP="00602BE8">
            <w:pPr>
              <w:pStyle w:val="ListParagraph"/>
              <w:spacing w:after="0"/>
              <w:jc w:val="both"/>
              <w:rPr>
                <w:rFonts w:ascii="Cambria" w:hAnsi="Cambria"/>
                <w:sz w:val="12"/>
                <w:szCs w:val="12"/>
              </w:rPr>
            </w:pPr>
          </w:p>
          <w:p w:rsidR="00602BE8" w:rsidRPr="002867E4" w:rsidRDefault="00602BE8" w:rsidP="003817A9">
            <w:pPr>
              <w:pStyle w:val="ListParagraph"/>
              <w:numPr>
                <w:ilvl w:val="0"/>
                <w:numId w:val="11"/>
              </w:numPr>
              <w:spacing w:after="0"/>
              <w:ind w:left="272" w:hanging="284"/>
              <w:jc w:val="both"/>
              <w:rPr>
                <w:rFonts w:ascii="Cambria" w:hAnsi="Cambria"/>
                <w:sz w:val="14"/>
                <w:szCs w:val="14"/>
              </w:rPr>
            </w:pPr>
            <w:r w:rsidRPr="00B95BFA">
              <w:rPr>
                <w:rFonts w:ascii="Cambria" w:hAnsi="Cambria"/>
              </w:rPr>
              <w:t>Also, Rule 10A of CENVAT Credit Rules, 2004 allowed the transfer of CENVAT balance of Special Additional Duty (SAD) lying with any of the registered premises to any other premises of the same manufacturer who have a common PAN.</w:t>
            </w:r>
          </w:p>
        </w:tc>
        <w:tc>
          <w:tcPr>
            <w:tcW w:w="5245" w:type="dxa"/>
            <w:shd w:val="clear" w:color="auto" w:fill="auto"/>
          </w:tcPr>
          <w:p w:rsidR="00602BE8" w:rsidRPr="00791C40" w:rsidRDefault="00602BE8" w:rsidP="00791C40">
            <w:pPr>
              <w:spacing w:after="0"/>
              <w:jc w:val="both"/>
              <w:rPr>
                <w:rFonts w:ascii="Cambria" w:hAnsi="Cambria"/>
              </w:rPr>
            </w:pPr>
            <w:r w:rsidRPr="00791C40">
              <w:rPr>
                <w:rFonts w:ascii="Cambria" w:hAnsi="Cambria"/>
              </w:rPr>
              <w:t>The Chamber recommends that taxpayers be allowed to transfer the credit balance of IGST, CGST, and compensation cess from one registration to another (i.e., between registrations with same PAN) as allowed under pre-GST era.</w:t>
            </w:r>
          </w:p>
          <w:p w:rsidR="00602BE8" w:rsidRPr="00B95BFA" w:rsidRDefault="00602BE8" w:rsidP="00602BE8">
            <w:pPr>
              <w:pStyle w:val="ListParagraph"/>
              <w:spacing w:after="0"/>
              <w:rPr>
                <w:rFonts w:ascii="Cambria" w:hAnsi="Cambria"/>
              </w:rPr>
            </w:pPr>
          </w:p>
          <w:p w:rsidR="00602BE8" w:rsidRPr="00B95BFA" w:rsidRDefault="00602BE8" w:rsidP="007A15A7">
            <w:pPr>
              <w:pStyle w:val="ListParagraph"/>
              <w:spacing w:afterLines="120"/>
              <w:ind w:left="0"/>
              <w:rPr>
                <w:rFonts w:ascii="Cambria" w:hAnsi="Cambria"/>
              </w:rPr>
            </w:pPr>
            <w:r w:rsidRPr="00B95BFA">
              <w:rPr>
                <w:rFonts w:ascii="Cambria" w:hAnsi="Cambria"/>
              </w:rPr>
              <w:t>Also, cash balance of the compensation cess should be allowed to be transferred between distinct persons.</w:t>
            </w:r>
          </w:p>
        </w:tc>
      </w:tr>
      <w:tr w:rsidR="00602BE8" w:rsidRPr="00782FB0" w:rsidTr="00835F48">
        <w:trPr>
          <w:trHeight w:val="965"/>
        </w:trPr>
        <w:tc>
          <w:tcPr>
            <w:tcW w:w="562" w:type="dxa"/>
          </w:tcPr>
          <w:p w:rsidR="00602BE8" w:rsidRDefault="006F1B66"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7</w:t>
            </w:r>
            <w:r w:rsidR="00C9580B">
              <w:rPr>
                <w:rFonts w:ascii="Cambria" w:eastAsia="Calibri" w:hAnsi="Cambria" w:cs="Arial"/>
                <w:color w:val="000000"/>
                <w:sz w:val="22"/>
                <w:szCs w:val="22"/>
                <w:lang w:val="en-GB"/>
              </w:rPr>
              <w:t>.</w:t>
            </w:r>
          </w:p>
        </w:tc>
        <w:tc>
          <w:tcPr>
            <w:tcW w:w="2552" w:type="dxa"/>
            <w:shd w:val="clear" w:color="auto" w:fill="auto"/>
          </w:tcPr>
          <w:p w:rsidR="00602BE8" w:rsidRPr="00B95BFA" w:rsidRDefault="00602BE8" w:rsidP="00602BE8">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ITC reversal in case of Mergers and Acquisitions</w:t>
            </w:r>
          </w:p>
          <w:p w:rsidR="00602BE8" w:rsidRPr="00C176F0" w:rsidRDefault="00602BE8" w:rsidP="00602BE8">
            <w:pPr>
              <w:autoSpaceDE w:val="0"/>
              <w:autoSpaceDN w:val="0"/>
              <w:spacing w:line="276" w:lineRule="auto"/>
              <w:contextualSpacing/>
              <w:rPr>
                <w:rFonts w:ascii="Cambria" w:hAnsi="Cambria"/>
                <w:b/>
                <w:bCs/>
              </w:rPr>
            </w:pPr>
          </w:p>
        </w:tc>
        <w:tc>
          <w:tcPr>
            <w:tcW w:w="6662" w:type="dxa"/>
          </w:tcPr>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Mergers and Acquisitions (M&amp;A) have increased over the years as companies look at synergizing in dynamic economic environment.</w:t>
            </w:r>
          </w:p>
          <w:p w:rsidR="00602BE8" w:rsidRPr="007A5D42" w:rsidRDefault="00602BE8" w:rsidP="00602BE8">
            <w:pPr>
              <w:pStyle w:val="ListParagraph"/>
              <w:spacing w:after="0"/>
              <w:jc w:val="both"/>
              <w:rPr>
                <w:rFonts w:ascii="Cambria" w:hAnsi="Cambria"/>
                <w:sz w:val="14"/>
                <w:szCs w:val="14"/>
              </w:rPr>
            </w:pPr>
          </w:p>
          <w:p w:rsidR="00602BE8"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Under GST, since services by way of business transfer of a going concern is exempt, ITC is not available in respect of goods and services procured for such business transfer like consultation and legal service, due diligence services, etc.</w:t>
            </w:r>
          </w:p>
          <w:p w:rsidR="00602BE8" w:rsidRPr="007A5D42" w:rsidRDefault="00602BE8" w:rsidP="00602BE8">
            <w:pPr>
              <w:spacing w:after="0"/>
              <w:jc w:val="both"/>
              <w:rPr>
                <w:rFonts w:ascii="Cambria" w:hAnsi="Cambria"/>
                <w:sz w:val="14"/>
                <w:szCs w:val="12"/>
              </w:rPr>
            </w:pPr>
          </w:p>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Further, there is an ambiguity as to whether the consideration received for business transfer should form part of exempt turnover for calculating ITC reversals. Such inclusion results in an absurd situation where a huge amount of ITC will become a cost for the Company. The intention of the legislature may be different. </w:t>
            </w:r>
          </w:p>
          <w:p w:rsidR="00602BE8" w:rsidRPr="00DD0BBC" w:rsidRDefault="00602BE8" w:rsidP="00602BE8">
            <w:pPr>
              <w:pStyle w:val="xmsonormal"/>
              <w:spacing w:after="0"/>
              <w:ind w:left="322"/>
              <w:jc w:val="both"/>
              <w:rPr>
                <w:rFonts w:ascii="Cambria" w:hAnsi="Cambria"/>
                <w:color w:val="000000"/>
                <w:sz w:val="14"/>
                <w:szCs w:val="14"/>
              </w:rPr>
            </w:pPr>
          </w:p>
        </w:tc>
        <w:tc>
          <w:tcPr>
            <w:tcW w:w="5245" w:type="dxa"/>
            <w:shd w:val="clear" w:color="auto" w:fill="auto"/>
          </w:tcPr>
          <w:p w:rsidR="00602BE8" w:rsidRPr="00791C40" w:rsidRDefault="00791C40" w:rsidP="00791C40">
            <w:pPr>
              <w:spacing w:after="0"/>
              <w:jc w:val="both"/>
              <w:rPr>
                <w:rFonts w:ascii="Cambria" w:hAnsi="Cambria"/>
              </w:rPr>
            </w:pPr>
            <w:r>
              <w:rPr>
                <w:rFonts w:ascii="Cambria" w:hAnsi="Cambria"/>
              </w:rPr>
              <w:t xml:space="preserve">The </w:t>
            </w:r>
            <w:r w:rsidR="00602BE8" w:rsidRPr="00791C40">
              <w:rPr>
                <w:rFonts w:ascii="Cambria" w:hAnsi="Cambria"/>
              </w:rPr>
              <w:t xml:space="preserve">Chamber recommends that necessary amendments be made for eligibility of ITC and non-reversal of common credit in case of business transfer arrangement. </w:t>
            </w:r>
          </w:p>
          <w:p w:rsidR="00602BE8" w:rsidRDefault="00602BE8" w:rsidP="007A15A7">
            <w:pPr>
              <w:pStyle w:val="ListParagraph"/>
              <w:spacing w:afterLines="120"/>
              <w:ind w:left="0"/>
              <w:rPr>
                <w:rFonts w:ascii="Cambria" w:hAnsi="Cambria"/>
              </w:rPr>
            </w:pPr>
          </w:p>
        </w:tc>
      </w:tr>
      <w:tr w:rsidR="00602BE8" w:rsidRPr="00782FB0" w:rsidTr="00835F48">
        <w:trPr>
          <w:trHeight w:val="965"/>
        </w:trPr>
        <w:tc>
          <w:tcPr>
            <w:tcW w:w="562" w:type="dxa"/>
          </w:tcPr>
          <w:p w:rsidR="00602BE8" w:rsidRDefault="006F1B66"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8</w:t>
            </w:r>
            <w:r w:rsidR="00C9580B">
              <w:rPr>
                <w:rFonts w:ascii="Cambria" w:eastAsia="Calibri" w:hAnsi="Cambria" w:cs="Arial"/>
                <w:color w:val="000000"/>
                <w:sz w:val="22"/>
                <w:szCs w:val="22"/>
                <w:lang w:val="en-GB"/>
              </w:rPr>
              <w:t>.</w:t>
            </w:r>
          </w:p>
        </w:tc>
        <w:tc>
          <w:tcPr>
            <w:tcW w:w="2552" w:type="dxa"/>
            <w:shd w:val="clear" w:color="auto" w:fill="auto"/>
          </w:tcPr>
          <w:p w:rsidR="00602BE8" w:rsidRPr="00C176F0" w:rsidRDefault="00602BE8" w:rsidP="00602BE8">
            <w:pPr>
              <w:autoSpaceDE w:val="0"/>
              <w:autoSpaceDN w:val="0"/>
              <w:spacing w:line="276" w:lineRule="auto"/>
              <w:contextualSpacing/>
              <w:rPr>
                <w:rFonts w:ascii="Cambria" w:hAnsi="Cambria"/>
                <w:b/>
                <w:bCs/>
              </w:rPr>
            </w:pPr>
            <w:r w:rsidRPr="00B95BFA">
              <w:rPr>
                <w:rFonts w:ascii="Cambria" w:eastAsia="SimSun" w:hAnsi="Cambria" w:cs="Times New Roman"/>
                <w:b/>
                <w:bCs/>
                <w:lang w:val="en-GB" w:eastAsia="zh-CN"/>
              </w:rPr>
              <w:t>Tax deduction at source</w:t>
            </w:r>
            <w:r>
              <w:rPr>
                <w:rFonts w:ascii="Cambria" w:eastAsia="SimSun" w:hAnsi="Cambria" w:cs="Times New Roman"/>
                <w:b/>
                <w:bCs/>
                <w:lang w:val="en-GB" w:eastAsia="zh-CN"/>
              </w:rPr>
              <w:t xml:space="preserve"> (TDS)</w:t>
            </w:r>
          </w:p>
        </w:tc>
        <w:tc>
          <w:tcPr>
            <w:tcW w:w="6662" w:type="dxa"/>
          </w:tcPr>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The GST law requires certain persons, like Government departments, PSU, etc., to deduct tax at source @ 2% (1% CGST and 1% SGST) while paying suppliers. Such a provision was originally inserted to expand the tax base and put a check on tax evasion. However, it led to the blockage of working capital in the hands of the suppliers. </w:t>
            </w:r>
          </w:p>
          <w:p w:rsidR="00602BE8" w:rsidRPr="00DD0BBC" w:rsidRDefault="00602BE8" w:rsidP="00602BE8">
            <w:pPr>
              <w:pStyle w:val="ListParagraph"/>
              <w:spacing w:after="0"/>
              <w:jc w:val="both"/>
              <w:rPr>
                <w:rFonts w:ascii="Cambria" w:hAnsi="Cambria"/>
                <w:sz w:val="14"/>
                <w:szCs w:val="14"/>
              </w:rPr>
            </w:pPr>
          </w:p>
          <w:p w:rsidR="00326CBD" w:rsidRPr="002867E4" w:rsidRDefault="00602BE8" w:rsidP="00326CBD">
            <w:pPr>
              <w:pStyle w:val="ListParagraph"/>
              <w:numPr>
                <w:ilvl w:val="0"/>
                <w:numId w:val="11"/>
              </w:numPr>
              <w:spacing w:after="0"/>
              <w:ind w:left="272" w:hanging="284"/>
              <w:jc w:val="both"/>
              <w:rPr>
                <w:rFonts w:ascii="Cambria" w:hAnsi="Cambria"/>
              </w:rPr>
            </w:pPr>
            <w:r w:rsidRPr="00236423">
              <w:rPr>
                <w:rFonts w:ascii="Cambria" w:hAnsi="Cambria"/>
              </w:rPr>
              <w:t>GST law has evolved, and with data analytics in place. Further, with the introduction of e-invoicing</w:t>
            </w:r>
            <w:r>
              <w:rPr>
                <w:rFonts w:ascii="Cambria" w:hAnsi="Cambria"/>
              </w:rPr>
              <w:t xml:space="preserve"> mechanism</w:t>
            </w:r>
            <w:r w:rsidRPr="00236423">
              <w:rPr>
                <w:rFonts w:ascii="Cambria" w:hAnsi="Cambria"/>
              </w:rPr>
              <w:t xml:space="preserve">, proper tracking of transactions is possible.  Hence, </w:t>
            </w:r>
            <w:r>
              <w:rPr>
                <w:rFonts w:ascii="Cambria" w:hAnsi="Cambria"/>
              </w:rPr>
              <w:t xml:space="preserve">TDS </w:t>
            </w:r>
            <w:r w:rsidRPr="00236423">
              <w:rPr>
                <w:rFonts w:ascii="Cambria" w:hAnsi="Cambria"/>
              </w:rPr>
              <w:t>provision does not serve its intended purpose.</w:t>
            </w:r>
          </w:p>
        </w:tc>
        <w:tc>
          <w:tcPr>
            <w:tcW w:w="5245" w:type="dxa"/>
            <w:shd w:val="clear" w:color="auto" w:fill="auto"/>
          </w:tcPr>
          <w:p w:rsidR="00602BE8" w:rsidRPr="00361EF4" w:rsidRDefault="00602BE8" w:rsidP="00361EF4">
            <w:pPr>
              <w:spacing w:after="0"/>
              <w:jc w:val="both"/>
              <w:rPr>
                <w:rFonts w:ascii="Cambria" w:hAnsi="Cambria"/>
              </w:rPr>
            </w:pPr>
            <w:r w:rsidRPr="00361EF4">
              <w:rPr>
                <w:rFonts w:ascii="Cambria" w:hAnsi="Cambria"/>
              </w:rPr>
              <w:t>The Chamber recommends that since GST law has enough checks and balances to eliminate tax evasion, the provision of TDS should be omitted.</w:t>
            </w:r>
          </w:p>
          <w:p w:rsidR="00602BE8" w:rsidRPr="00B95BFA" w:rsidRDefault="00602BE8" w:rsidP="00602BE8">
            <w:pPr>
              <w:pStyle w:val="ListParagraph"/>
              <w:spacing w:after="0"/>
              <w:rPr>
                <w:rFonts w:ascii="Cambria" w:hAnsi="Cambria"/>
              </w:rPr>
            </w:pPr>
          </w:p>
          <w:p w:rsidR="00602BE8" w:rsidRPr="00361EF4" w:rsidRDefault="00602BE8" w:rsidP="00361EF4">
            <w:pPr>
              <w:spacing w:after="0"/>
              <w:jc w:val="both"/>
              <w:rPr>
                <w:rFonts w:ascii="Cambria" w:hAnsi="Cambria"/>
              </w:rPr>
            </w:pPr>
            <w:r w:rsidRPr="00361EF4">
              <w:rPr>
                <w:rFonts w:ascii="Cambria" w:hAnsi="Cambria"/>
              </w:rPr>
              <w:t>For all such contracts which currently attract TDS, a condition should be inserted that only the registered suppliers can bid for the contract. Once the suppliers are registered, they become tax compliant; hence, the need for tax deduction at source will not arise.</w:t>
            </w:r>
          </w:p>
        </w:tc>
      </w:tr>
      <w:tr w:rsidR="00602BE8" w:rsidRPr="00782FB0" w:rsidTr="00835F48">
        <w:trPr>
          <w:trHeight w:val="965"/>
        </w:trPr>
        <w:tc>
          <w:tcPr>
            <w:tcW w:w="562" w:type="dxa"/>
          </w:tcPr>
          <w:p w:rsidR="00602BE8" w:rsidRDefault="006F1B66"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9</w:t>
            </w:r>
            <w:r w:rsidR="00C9580B">
              <w:rPr>
                <w:rFonts w:ascii="Cambria" w:eastAsia="Calibri" w:hAnsi="Cambria" w:cs="Arial"/>
                <w:color w:val="000000"/>
                <w:sz w:val="22"/>
                <w:szCs w:val="22"/>
                <w:lang w:val="en-GB"/>
              </w:rPr>
              <w:t>.</w:t>
            </w:r>
          </w:p>
        </w:tc>
        <w:tc>
          <w:tcPr>
            <w:tcW w:w="2552" w:type="dxa"/>
            <w:shd w:val="clear" w:color="auto" w:fill="auto"/>
          </w:tcPr>
          <w:p w:rsidR="00602BE8" w:rsidRPr="00B95BFA" w:rsidRDefault="00602BE8" w:rsidP="00602BE8">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Tax Collection at Source</w:t>
            </w:r>
          </w:p>
          <w:p w:rsidR="00602BE8" w:rsidRPr="00B95BFA" w:rsidRDefault="00602BE8" w:rsidP="00602BE8">
            <w:pPr>
              <w:pStyle w:val="PlainText"/>
              <w:rPr>
                <w:rFonts w:ascii="Cambria" w:eastAsia="SimSun" w:hAnsi="Cambria" w:cs="Times New Roman"/>
                <w:b/>
                <w:bCs/>
                <w:sz w:val="22"/>
                <w:szCs w:val="22"/>
                <w:lang w:val="en-GB" w:eastAsia="zh-CN"/>
              </w:rPr>
            </w:pPr>
          </w:p>
        </w:tc>
        <w:tc>
          <w:tcPr>
            <w:tcW w:w="6662" w:type="dxa"/>
          </w:tcPr>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E-commerce entities must collect tax at source where the suppliers are making taxable supplies through the portal. Such an amount is credited to the cash ledger of the supplier and can be </w:t>
            </w:r>
            <w:r w:rsidRPr="00B95BFA">
              <w:rPr>
                <w:rFonts w:ascii="Cambria" w:hAnsi="Cambria"/>
              </w:rPr>
              <w:lastRenderedPageBreak/>
              <w:t>either utilized for payment of output tax liability or claimed as a refund. The current rate of TCS is 1% (IGST) or CGST and SGST (0.5% each). There is a need to ease the working capital of the industry, which is adversely impacted and trying to recover owing to the recent pandemic.</w:t>
            </w:r>
          </w:p>
          <w:p w:rsidR="00602BE8" w:rsidRPr="00B95BFA" w:rsidRDefault="00602BE8" w:rsidP="00602BE8">
            <w:pPr>
              <w:pStyle w:val="ListParagraph"/>
              <w:spacing w:after="0"/>
              <w:jc w:val="both"/>
              <w:rPr>
                <w:rFonts w:ascii="Cambria" w:hAnsi="Cambria"/>
              </w:rPr>
            </w:pPr>
          </w:p>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Registered suppliers exporting through e-Commerce platforms suffer a TCS of 1 percent since GST law does not exclude zero-rated export supply from the TCS levy. This affects their working capital and adversely impacts their competitiveness. </w:t>
            </w:r>
          </w:p>
          <w:p w:rsidR="00602BE8" w:rsidRPr="00B95BFA" w:rsidRDefault="00602BE8" w:rsidP="00046A26">
            <w:pPr>
              <w:pStyle w:val="ListParagraph"/>
              <w:spacing w:after="0"/>
              <w:ind w:left="272"/>
              <w:jc w:val="both"/>
              <w:rPr>
                <w:rFonts w:ascii="Cambria" w:hAnsi="Cambria"/>
              </w:rPr>
            </w:pPr>
          </w:p>
        </w:tc>
        <w:tc>
          <w:tcPr>
            <w:tcW w:w="5245" w:type="dxa"/>
            <w:shd w:val="clear" w:color="auto" w:fill="auto"/>
          </w:tcPr>
          <w:p w:rsidR="00602BE8" w:rsidRPr="00361EF4" w:rsidRDefault="00602BE8" w:rsidP="00361EF4">
            <w:pPr>
              <w:spacing w:after="0"/>
              <w:jc w:val="both"/>
              <w:rPr>
                <w:rFonts w:ascii="Cambria" w:hAnsi="Cambria"/>
              </w:rPr>
            </w:pPr>
            <w:r w:rsidRPr="00361EF4">
              <w:rPr>
                <w:rFonts w:ascii="Cambria" w:hAnsi="Cambria"/>
              </w:rPr>
              <w:lastRenderedPageBreak/>
              <w:t xml:space="preserve">The Chamber recommends that the rate of TCS should be reduced to 0.1%. </w:t>
            </w:r>
          </w:p>
          <w:p w:rsidR="00602BE8" w:rsidRPr="00B95BFA" w:rsidRDefault="00602BE8" w:rsidP="00602BE8">
            <w:pPr>
              <w:pStyle w:val="ListParagraph"/>
              <w:spacing w:after="0"/>
              <w:rPr>
                <w:rFonts w:ascii="Cambria" w:hAnsi="Cambria"/>
              </w:rPr>
            </w:pPr>
          </w:p>
          <w:p w:rsidR="00602BE8" w:rsidRPr="00361EF4" w:rsidRDefault="00602BE8" w:rsidP="00361EF4">
            <w:pPr>
              <w:spacing w:after="0"/>
              <w:jc w:val="both"/>
              <w:rPr>
                <w:rFonts w:ascii="Cambria" w:hAnsi="Cambria"/>
              </w:rPr>
            </w:pPr>
            <w:r w:rsidRPr="00361EF4">
              <w:rPr>
                <w:rFonts w:ascii="Cambria" w:hAnsi="Cambria"/>
              </w:rPr>
              <w:lastRenderedPageBreak/>
              <w:t>Further, the Government should make necessary amendments to remove the TCS levy on zero-rated supplies.</w:t>
            </w:r>
          </w:p>
        </w:tc>
      </w:tr>
      <w:tr w:rsidR="00602BE8" w:rsidRPr="00782FB0" w:rsidTr="00835F48">
        <w:trPr>
          <w:trHeight w:val="965"/>
        </w:trPr>
        <w:tc>
          <w:tcPr>
            <w:tcW w:w="562" w:type="dxa"/>
          </w:tcPr>
          <w:p w:rsidR="00602BE8" w:rsidRDefault="006F1B66"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10</w:t>
            </w:r>
            <w:r w:rsidR="00C9580B">
              <w:rPr>
                <w:rFonts w:ascii="Cambria" w:eastAsia="Calibri" w:hAnsi="Cambria" w:cs="Arial"/>
                <w:color w:val="000000"/>
                <w:sz w:val="22"/>
                <w:szCs w:val="22"/>
                <w:lang w:val="en-GB"/>
              </w:rPr>
              <w:t>.</w:t>
            </w:r>
          </w:p>
        </w:tc>
        <w:tc>
          <w:tcPr>
            <w:tcW w:w="2552" w:type="dxa"/>
            <w:shd w:val="clear" w:color="auto" w:fill="auto"/>
          </w:tcPr>
          <w:p w:rsidR="00602BE8" w:rsidRPr="00B95BFA" w:rsidRDefault="00602BE8" w:rsidP="00602BE8">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Allow refund of GST claimed on capital goods to exporters supplying under Letter of Undertaking (L</w:t>
            </w:r>
            <w:r w:rsidR="00407304">
              <w:rPr>
                <w:rFonts w:ascii="Cambria" w:eastAsia="SimSun" w:hAnsi="Cambria" w:cs="Times New Roman"/>
                <w:b/>
                <w:bCs/>
                <w:sz w:val="22"/>
                <w:szCs w:val="22"/>
                <w:lang w:val="en-GB" w:eastAsia="zh-CN"/>
              </w:rPr>
              <w:t>U</w:t>
            </w:r>
            <w:r w:rsidRPr="00B95BFA">
              <w:rPr>
                <w:rFonts w:ascii="Cambria" w:eastAsia="SimSun" w:hAnsi="Cambria" w:cs="Times New Roman"/>
                <w:b/>
                <w:bCs/>
                <w:sz w:val="22"/>
                <w:szCs w:val="22"/>
                <w:lang w:val="en-GB" w:eastAsia="zh-CN"/>
              </w:rPr>
              <w:t>T)</w:t>
            </w:r>
          </w:p>
          <w:p w:rsidR="00602BE8" w:rsidRPr="00B95BFA" w:rsidRDefault="00602BE8" w:rsidP="00602BE8">
            <w:pPr>
              <w:pStyle w:val="PlainText"/>
              <w:rPr>
                <w:rFonts w:ascii="Cambria" w:eastAsia="SimSun" w:hAnsi="Cambria" w:cs="Times New Roman"/>
                <w:b/>
                <w:bCs/>
                <w:sz w:val="22"/>
                <w:szCs w:val="22"/>
                <w:lang w:val="en-GB" w:eastAsia="zh-CN"/>
              </w:rPr>
            </w:pPr>
          </w:p>
          <w:p w:rsidR="00602BE8" w:rsidRPr="00C176F0" w:rsidRDefault="00602BE8" w:rsidP="00602BE8">
            <w:pPr>
              <w:autoSpaceDE w:val="0"/>
              <w:autoSpaceDN w:val="0"/>
              <w:spacing w:line="276" w:lineRule="auto"/>
              <w:contextualSpacing/>
              <w:rPr>
                <w:rFonts w:ascii="Cambria" w:hAnsi="Cambria"/>
                <w:b/>
                <w:bCs/>
              </w:rPr>
            </w:pPr>
          </w:p>
        </w:tc>
        <w:tc>
          <w:tcPr>
            <w:tcW w:w="6662" w:type="dxa"/>
          </w:tcPr>
          <w:p w:rsidR="00602BE8"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While exporters can claim refund of accumulated ITC of GST paid on input &amp; input services, GST paid on capital goods is not allowed to be claimed as a refund as per Rule 89(4). </w:t>
            </w:r>
          </w:p>
          <w:p w:rsidR="00602BE8" w:rsidRPr="006D4B92" w:rsidRDefault="00602BE8" w:rsidP="00602BE8">
            <w:pPr>
              <w:spacing w:after="0"/>
              <w:ind w:left="-12"/>
              <w:jc w:val="both"/>
              <w:rPr>
                <w:rFonts w:ascii="Cambria" w:hAnsi="Cambria"/>
                <w:sz w:val="14"/>
                <w:szCs w:val="12"/>
              </w:rPr>
            </w:pPr>
          </w:p>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Further, the exporter who opts for payment of IGST on zero-rated supply can utilize ITC of GST paid on capital goods. This brings disparity between the exporters opting for the LUT scheme and the exporters opting for payment of GST. Service exporters cannot utilize the available ITC on capital goods since most of their output is zero-rated. This impacts the working capital requirements of the exporters.</w:t>
            </w:r>
          </w:p>
          <w:p w:rsidR="00602BE8" w:rsidRPr="006D4B92" w:rsidRDefault="00602BE8" w:rsidP="00602BE8">
            <w:pPr>
              <w:pStyle w:val="ListParagraph"/>
              <w:spacing w:after="0"/>
              <w:jc w:val="both"/>
              <w:rPr>
                <w:rFonts w:ascii="Cambria" w:hAnsi="Cambria"/>
                <w:sz w:val="14"/>
                <w:szCs w:val="14"/>
              </w:rPr>
            </w:pPr>
          </w:p>
          <w:p w:rsidR="00602BE8"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Further, GST Council considered the proposal to provide refund of capital goods for exporters with aggregate turnover up to </w:t>
            </w:r>
            <w:r w:rsidR="00201607">
              <w:rPr>
                <w:rFonts w:ascii="Cambria" w:hAnsi="Cambria"/>
              </w:rPr>
              <w:t>INR</w:t>
            </w:r>
            <w:r w:rsidRPr="00B95BFA">
              <w:rPr>
                <w:rFonts w:ascii="Cambria" w:hAnsi="Cambria"/>
              </w:rPr>
              <w:t xml:space="preserve">30 crores in the 39th Meeting held on 14 March 2020. The item was discussed to improve India's ranking in the 'Paying Taxes' category of World Bank's 'Ease of Doing Business index, where India has been scoring 'NIL' without any provision to allow </w:t>
            </w:r>
            <w:r w:rsidRPr="00B95BFA">
              <w:rPr>
                <w:rFonts w:ascii="Cambria" w:hAnsi="Cambria"/>
              </w:rPr>
              <w:lastRenderedPageBreak/>
              <w:t xml:space="preserve">cash refund of ITC on Capital Goods. Then, it was estimated that the said proposal would result in an additional outflow of INR 15,000 Crores for a jump of 7 ranks. Considering the Government's financial situation at that point in time, the said proposal was not agreed. </w:t>
            </w:r>
          </w:p>
          <w:p w:rsidR="00602BE8" w:rsidRPr="006912DA" w:rsidRDefault="00602BE8" w:rsidP="00602BE8">
            <w:pPr>
              <w:pStyle w:val="ListParagraph"/>
              <w:rPr>
                <w:rFonts w:ascii="Cambria" w:hAnsi="Cambria"/>
                <w:sz w:val="16"/>
                <w:szCs w:val="16"/>
              </w:rPr>
            </w:pPr>
          </w:p>
          <w:p w:rsidR="00602BE8" w:rsidRPr="003817A9" w:rsidRDefault="00602BE8" w:rsidP="00602BE8">
            <w:pPr>
              <w:pStyle w:val="ListParagraph"/>
              <w:numPr>
                <w:ilvl w:val="0"/>
                <w:numId w:val="11"/>
              </w:numPr>
              <w:spacing w:after="0"/>
              <w:ind w:left="272" w:hanging="284"/>
              <w:jc w:val="both"/>
              <w:rPr>
                <w:rFonts w:ascii="Cambria" w:hAnsi="Cambria"/>
              </w:rPr>
            </w:pPr>
            <w:r w:rsidRPr="00236423">
              <w:rPr>
                <w:rFonts w:ascii="Cambria" w:hAnsi="Cambria"/>
              </w:rPr>
              <w:t>Allowing refund of capital goods for exporters under LUT would also improve the World Bank's ease of doing business rankings.</w:t>
            </w:r>
          </w:p>
        </w:tc>
        <w:tc>
          <w:tcPr>
            <w:tcW w:w="5245" w:type="dxa"/>
            <w:shd w:val="clear" w:color="auto" w:fill="auto"/>
          </w:tcPr>
          <w:p w:rsidR="00602BE8" w:rsidRPr="00361EF4" w:rsidRDefault="00361EF4" w:rsidP="00361EF4">
            <w:pPr>
              <w:spacing w:after="0"/>
              <w:jc w:val="both"/>
              <w:rPr>
                <w:rFonts w:ascii="Cambria" w:hAnsi="Cambria"/>
              </w:rPr>
            </w:pPr>
            <w:r>
              <w:rPr>
                <w:rFonts w:ascii="Cambria" w:hAnsi="Cambria"/>
              </w:rPr>
              <w:lastRenderedPageBreak/>
              <w:t xml:space="preserve">The </w:t>
            </w:r>
            <w:r w:rsidR="00602BE8" w:rsidRPr="00361EF4">
              <w:rPr>
                <w:rFonts w:ascii="Cambria" w:hAnsi="Cambria"/>
              </w:rPr>
              <w:t xml:space="preserve">Chamber recommends that GST paid on procurement of capital goods should also be allowed as a refund for export of goods or services under LUT. </w:t>
            </w:r>
          </w:p>
          <w:p w:rsidR="00602BE8" w:rsidRPr="0047097F" w:rsidRDefault="00602BE8" w:rsidP="00602BE8">
            <w:pPr>
              <w:spacing w:after="0"/>
              <w:jc w:val="both"/>
              <w:rPr>
                <w:rFonts w:ascii="Cambria" w:hAnsi="Cambria"/>
              </w:rPr>
            </w:pPr>
          </w:p>
          <w:p w:rsidR="00602BE8" w:rsidRDefault="00602BE8" w:rsidP="007A15A7">
            <w:pPr>
              <w:pStyle w:val="ListParagraph"/>
              <w:spacing w:afterLines="120"/>
              <w:ind w:left="0"/>
              <w:rPr>
                <w:rFonts w:ascii="Cambria" w:hAnsi="Cambria"/>
              </w:rPr>
            </w:pPr>
          </w:p>
        </w:tc>
      </w:tr>
      <w:tr w:rsidR="00602BE8" w:rsidRPr="008F6D25" w:rsidTr="00835F48">
        <w:trPr>
          <w:trHeight w:val="965"/>
        </w:trPr>
        <w:tc>
          <w:tcPr>
            <w:tcW w:w="562" w:type="dxa"/>
          </w:tcPr>
          <w:p w:rsidR="00602BE8" w:rsidRDefault="00C9580B"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1</w:t>
            </w:r>
            <w:r w:rsidR="006F1B66">
              <w:rPr>
                <w:rFonts w:ascii="Cambria" w:eastAsia="Calibri" w:hAnsi="Cambria" w:cs="Arial"/>
                <w:color w:val="000000"/>
                <w:sz w:val="22"/>
                <w:szCs w:val="22"/>
                <w:lang w:val="en-GB"/>
              </w:rPr>
              <w:t>1</w:t>
            </w:r>
            <w:r w:rsidR="00602BE8">
              <w:rPr>
                <w:rFonts w:ascii="Cambria" w:eastAsia="Calibri" w:hAnsi="Cambria" w:cs="Arial"/>
                <w:color w:val="000000"/>
                <w:sz w:val="22"/>
                <w:szCs w:val="22"/>
                <w:lang w:val="en-GB"/>
              </w:rPr>
              <w:t>.</w:t>
            </w:r>
          </w:p>
        </w:tc>
        <w:tc>
          <w:tcPr>
            <w:tcW w:w="2552" w:type="dxa"/>
            <w:shd w:val="clear" w:color="auto" w:fill="auto"/>
          </w:tcPr>
          <w:p w:rsidR="00602BE8" w:rsidRPr="00782FB0" w:rsidRDefault="00602BE8" w:rsidP="00602BE8">
            <w:pPr>
              <w:pStyle w:val="ListParagraph"/>
              <w:spacing w:after="0"/>
              <w:ind w:left="0"/>
              <w:rPr>
                <w:rFonts w:ascii="Cambria" w:eastAsia="Times New Roman" w:hAnsi="Cambria"/>
                <w:b/>
                <w:lang w:eastAsia="en-IN"/>
              </w:rPr>
            </w:pPr>
            <w:r>
              <w:rPr>
                <w:rFonts w:ascii="Cambria" w:eastAsia="Times New Roman" w:hAnsi="Cambria"/>
                <w:b/>
                <w:lang w:eastAsia="en-IN"/>
              </w:rPr>
              <w:t>Non-taxability of advances for infrastructure projects</w:t>
            </w:r>
          </w:p>
        </w:tc>
        <w:tc>
          <w:tcPr>
            <w:tcW w:w="6662" w:type="dxa"/>
          </w:tcPr>
          <w:p w:rsidR="00602BE8" w:rsidRDefault="00602BE8" w:rsidP="00602BE8">
            <w:pPr>
              <w:pStyle w:val="xmsonormal"/>
              <w:numPr>
                <w:ilvl w:val="0"/>
                <w:numId w:val="7"/>
              </w:numPr>
              <w:spacing w:after="0"/>
              <w:ind w:left="322"/>
              <w:jc w:val="both"/>
              <w:rPr>
                <w:rFonts w:ascii="Cambria" w:hAnsi="Cambria"/>
                <w:color w:val="000000"/>
              </w:rPr>
            </w:pPr>
            <w:r>
              <w:rPr>
                <w:rFonts w:ascii="Cambria" w:hAnsi="Cambria"/>
                <w:color w:val="000000"/>
              </w:rPr>
              <w:t>A</w:t>
            </w:r>
            <w:r w:rsidRPr="00513963">
              <w:rPr>
                <w:rFonts w:ascii="Cambria" w:hAnsi="Cambria"/>
                <w:color w:val="000000"/>
              </w:rPr>
              <w:t>s a general practice</w:t>
            </w:r>
            <w:r>
              <w:rPr>
                <w:rFonts w:ascii="Cambria" w:hAnsi="Cambria"/>
                <w:color w:val="000000"/>
              </w:rPr>
              <w:t>,</w:t>
            </w:r>
            <w:r w:rsidRPr="00513963">
              <w:rPr>
                <w:rFonts w:ascii="Cambria" w:hAnsi="Cambria"/>
                <w:color w:val="000000"/>
              </w:rPr>
              <w:t xml:space="preserve"> to commence/execute work on sites, the </w:t>
            </w:r>
            <w:r>
              <w:rPr>
                <w:rFonts w:ascii="Cambria" w:hAnsi="Cambria"/>
                <w:color w:val="000000"/>
              </w:rPr>
              <w:t xml:space="preserve">contractee </w:t>
            </w:r>
            <w:r w:rsidRPr="00513963">
              <w:rPr>
                <w:rFonts w:ascii="Cambria" w:hAnsi="Cambria"/>
                <w:color w:val="000000"/>
              </w:rPr>
              <w:t xml:space="preserve">pay the contractor an amount of 10%-20% of contract price in the form of </w:t>
            </w:r>
            <w:r>
              <w:rPr>
                <w:rFonts w:ascii="Cambria" w:hAnsi="Cambria"/>
                <w:color w:val="000000"/>
              </w:rPr>
              <w:t>mobilisation a</w:t>
            </w:r>
            <w:r w:rsidRPr="00513963">
              <w:rPr>
                <w:rFonts w:ascii="Cambria" w:hAnsi="Cambria"/>
                <w:color w:val="000000"/>
              </w:rPr>
              <w:t>dvance to mobilise the resources</w:t>
            </w:r>
            <w:r>
              <w:rPr>
                <w:rFonts w:ascii="Cambria" w:hAnsi="Cambria"/>
                <w:color w:val="000000"/>
              </w:rPr>
              <w:t>.</w:t>
            </w:r>
          </w:p>
          <w:p w:rsidR="00602BE8" w:rsidRPr="003817A9" w:rsidRDefault="00602BE8" w:rsidP="00602BE8">
            <w:pPr>
              <w:pStyle w:val="xmsonormal"/>
              <w:spacing w:after="0"/>
              <w:ind w:left="322"/>
              <w:jc w:val="both"/>
              <w:rPr>
                <w:rFonts w:ascii="Cambria" w:hAnsi="Cambria"/>
                <w:color w:val="000000"/>
                <w:sz w:val="16"/>
                <w:szCs w:val="16"/>
              </w:rPr>
            </w:pPr>
          </w:p>
          <w:p w:rsidR="00602BE8" w:rsidRPr="00F657CF" w:rsidRDefault="00602BE8" w:rsidP="00602BE8">
            <w:pPr>
              <w:pStyle w:val="xmsonormal"/>
              <w:numPr>
                <w:ilvl w:val="0"/>
                <w:numId w:val="7"/>
              </w:numPr>
              <w:spacing w:after="0"/>
              <w:ind w:left="322"/>
              <w:jc w:val="both"/>
              <w:rPr>
                <w:rFonts w:ascii="Cambria" w:hAnsi="Cambria"/>
                <w:color w:val="000000"/>
              </w:rPr>
            </w:pPr>
            <w:r w:rsidRPr="00AC46A3">
              <w:rPr>
                <w:rFonts w:ascii="Cambria" w:hAnsi="Cambria"/>
                <w:color w:val="000000"/>
              </w:rPr>
              <w:t xml:space="preserve">This </w:t>
            </w:r>
            <w:r>
              <w:rPr>
                <w:rFonts w:ascii="Cambria" w:hAnsi="Cambria"/>
                <w:color w:val="000000"/>
              </w:rPr>
              <w:t>a</w:t>
            </w:r>
            <w:r w:rsidRPr="00AC46A3">
              <w:rPr>
                <w:rFonts w:ascii="Cambria" w:hAnsi="Cambria"/>
                <w:color w:val="000000"/>
              </w:rPr>
              <w:t>dvance is paid upon furnishing of security such as bank guarantee or corporate guarantee by the contractor</w:t>
            </w:r>
            <w:r>
              <w:rPr>
                <w:rFonts w:ascii="Cambria" w:hAnsi="Cambria"/>
                <w:color w:val="000000"/>
              </w:rPr>
              <w:t xml:space="preserve">. The amount is </w:t>
            </w:r>
            <w:r w:rsidRPr="00AC46A3">
              <w:rPr>
                <w:rFonts w:ascii="Cambria" w:hAnsi="Cambria"/>
                <w:color w:val="000000"/>
              </w:rPr>
              <w:t>subsequently adjusted in the running bills.</w:t>
            </w:r>
          </w:p>
          <w:p w:rsidR="00602BE8" w:rsidRPr="003817A9" w:rsidRDefault="00602BE8" w:rsidP="00602BE8">
            <w:pPr>
              <w:pStyle w:val="xmsonormal"/>
              <w:spacing w:after="0"/>
              <w:ind w:left="322"/>
              <w:jc w:val="both"/>
              <w:rPr>
                <w:rFonts w:ascii="Cambria" w:hAnsi="Cambria"/>
                <w:color w:val="000000"/>
                <w:sz w:val="16"/>
                <w:szCs w:val="16"/>
              </w:rPr>
            </w:pPr>
          </w:p>
          <w:p w:rsidR="00602BE8" w:rsidRPr="00AC46A3" w:rsidRDefault="00602BE8" w:rsidP="00602BE8">
            <w:pPr>
              <w:pStyle w:val="xmsonormal"/>
              <w:numPr>
                <w:ilvl w:val="0"/>
                <w:numId w:val="7"/>
              </w:numPr>
              <w:spacing w:after="0"/>
              <w:ind w:left="322"/>
              <w:jc w:val="both"/>
              <w:rPr>
                <w:rFonts w:ascii="Cambria" w:hAnsi="Cambria"/>
                <w:color w:val="000000"/>
              </w:rPr>
            </w:pPr>
            <w:r w:rsidRPr="00AC46A3">
              <w:rPr>
                <w:rFonts w:ascii="Cambria" w:hAnsi="Cambria"/>
                <w:color w:val="000000"/>
              </w:rPr>
              <w:t xml:space="preserve">Further, the time gap between the receipt of advance and adjustment thereof may take a longer period ranging from 2 to 5 years (project period). Thus, the mobilization advance though termed as ‘Advance’ may not be similar to the normal trade advances. </w:t>
            </w:r>
          </w:p>
          <w:p w:rsidR="00602BE8" w:rsidRPr="00622096" w:rsidRDefault="00602BE8" w:rsidP="00602BE8">
            <w:pPr>
              <w:pStyle w:val="xmsonormal"/>
              <w:spacing w:after="0"/>
              <w:ind w:left="322"/>
              <w:jc w:val="both"/>
              <w:rPr>
                <w:rFonts w:ascii="Cambria" w:hAnsi="Cambria"/>
                <w:color w:val="000000"/>
                <w:sz w:val="14"/>
                <w:szCs w:val="14"/>
              </w:rPr>
            </w:pPr>
          </w:p>
          <w:p w:rsidR="00602BE8" w:rsidRPr="00AC46A3" w:rsidRDefault="00602BE8" w:rsidP="00602BE8">
            <w:pPr>
              <w:pStyle w:val="xmsonormal"/>
              <w:numPr>
                <w:ilvl w:val="0"/>
                <w:numId w:val="7"/>
              </w:numPr>
              <w:spacing w:after="0"/>
              <w:ind w:left="322"/>
              <w:jc w:val="both"/>
              <w:rPr>
                <w:rFonts w:ascii="Cambria" w:hAnsi="Cambria"/>
                <w:color w:val="000000"/>
              </w:rPr>
            </w:pPr>
            <w:r w:rsidRPr="00AC46A3">
              <w:rPr>
                <w:rFonts w:ascii="Cambria" w:hAnsi="Cambria"/>
                <w:color w:val="000000"/>
              </w:rPr>
              <w:t xml:space="preserve">Such advance </w:t>
            </w:r>
            <w:r>
              <w:rPr>
                <w:rFonts w:ascii="Cambria" w:hAnsi="Cambria"/>
                <w:color w:val="000000"/>
              </w:rPr>
              <w:t xml:space="preserve">is </w:t>
            </w:r>
            <w:r w:rsidRPr="00AC46A3">
              <w:rPr>
                <w:rFonts w:ascii="Cambria" w:hAnsi="Cambria"/>
                <w:color w:val="000000"/>
              </w:rPr>
              <w:t xml:space="preserve">provided as a loan by the contractee to enhance contractors’ working capital </w:t>
            </w:r>
            <w:r>
              <w:rPr>
                <w:rFonts w:ascii="Cambria" w:hAnsi="Cambria"/>
                <w:color w:val="000000"/>
              </w:rPr>
              <w:t xml:space="preserve">and is </w:t>
            </w:r>
            <w:r w:rsidRPr="00AC46A3">
              <w:rPr>
                <w:rFonts w:ascii="Cambria" w:hAnsi="Cambria"/>
                <w:color w:val="000000"/>
              </w:rPr>
              <w:t>akin to a financial transaction (transaction in money)</w:t>
            </w:r>
            <w:r>
              <w:rPr>
                <w:rFonts w:ascii="Cambria" w:hAnsi="Cambria"/>
                <w:color w:val="000000"/>
              </w:rPr>
              <w:t>.</w:t>
            </w:r>
            <w:r w:rsidRPr="00AC46A3">
              <w:rPr>
                <w:rFonts w:ascii="Cambria" w:hAnsi="Cambria"/>
                <w:color w:val="000000"/>
              </w:rPr>
              <w:t xml:space="preserve"> </w:t>
            </w:r>
          </w:p>
          <w:p w:rsidR="00602BE8" w:rsidRPr="00491921" w:rsidRDefault="00602BE8" w:rsidP="00602BE8">
            <w:pPr>
              <w:pStyle w:val="xmsonormal"/>
              <w:numPr>
                <w:ilvl w:val="0"/>
                <w:numId w:val="7"/>
              </w:numPr>
              <w:spacing w:after="0"/>
              <w:ind w:left="322"/>
              <w:jc w:val="both"/>
              <w:rPr>
                <w:rFonts w:ascii="Cambria" w:hAnsi="Cambria"/>
                <w:color w:val="000000"/>
              </w:rPr>
            </w:pPr>
            <w:r w:rsidRPr="007C5262">
              <w:rPr>
                <w:rFonts w:ascii="Cambria" w:hAnsi="Cambria"/>
                <w:color w:val="000000"/>
              </w:rPr>
              <w:t xml:space="preserve">Mobilization </w:t>
            </w:r>
            <w:r>
              <w:rPr>
                <w:rFonts w:ascii="Cambria" w:hAnsi="Cambria"/>
                <w:color w:val="000000"/>
              </w:rPr>
              <w:t>a</w:t>
            </w:r>
            <w:r w:rsidRPr="007C5262">
              <w:rPr>
                <w:rFonts w:ascii="Cambria" w:hAnsi="Cambria"/>
                <w:color w:val="000000"/>
              </w:rPr>
              <w:t xml:space="preserve">dvance </w:t>
            </w:r>
            <w:r>
              <w:rPr>
                <w:rFonts w:ascii="Cambria" w:hAnsi="Cambria"/>
                <w:color w:val="000000"/>
              </w:rPr>
              <w:t xml:space="preserve">has </w:t>
            </w:r>
            <w:r w:rsidRPr="007C5262">
              <w:rPr>
                <w:rFonts w:ascii="Cambria" w:hAnsi="Cambria"/>
                <w:color w:val="000000"/>
              </w:rPr>
              <w:t>the following characteristics:</w:t>
            </w:r>
          </w:p>
          <w:p w:rsidR="00602BE8" w:rsidRPr="007C5262" w:rsidRDefault="00602BE8" w:rsidP="00602BE8">
            <w:pPr>
              <w:pStyle w:val="xmsonormal"/>
              <w:numPr>
                <w:ilvl w:val="0"/>
                <w:numId w:val="7"/>
              </w:numPr>
              <w:spacing w:after="0"/>
              <w:ind w:left="741"/>
              <w:jc w:val="both"/>
              <w:rPr>
                <w:rFonts w:ascii="Cambria" w:hAnsi="Cambria"/>
                <w:color w:val="000000"/>
              </w:rPr>
            </w:pPr>
            <w:r w:rsidRPr="007C5262">
              <w:rPr>
                <w:rFonts w:ascii="Cambria" w:hAnsi="Cambria"/>
                <w:color w:val="000000"/>
              </w:rPr>
              <w:t>Security Deposits</w:t>
            </w:r>
            <w:r w:rsidR="002867E4">
              <w:rPr>
                <w:rFonts w:ascii="Cambria" w:hAnsi="Cambria"/>
                <w:color w:val="000000"/>
              </w:rPr>
              <w:t>,</w:t>
            </w:r>
          </w:p>
          <w:p w:rsidR="00602BE8" w:rsidRPr="007C5262" w:rsidRDefault="00602BE8" w:rsidP="00602BE8">
            <w:pPr>
              <w:pStyle w:val="xmsonormal"/>
              <w:numPr>
                <w:ilvl w:val="0"/>
                <w:numId w:val="7"/>
              </w:numPr>
              <w:spacing w:after="0"/>
              <w:ind w:left="741"/>
              <w:jc w:val="both"/>
              <w:rPr>
                <w:rFonts w:ascii="Cambria" w:hAnsi="Cambria"/>
                <w:color w:val="000000"/>
              </w:rPr>
            </w:pPr>
            <w:r w:rsidRPr="007C5262">
              <w:rPr>
                <w:rFonts w:ascii="Cambria" w:hAnsi="Cambria"/>
                <w:color w:val="000000"/>
              </w:rPr>
              <w:t>Obligation of repayment</w:t>
            </w:r>
            <w:r w:rsidR="002867E4">
              <w:rPr>
                <w:rFonts w:ascii="Cambria" w:hAnsi="Cambria"/>
                <w:color w:val="000000"/>
              </w:rPr>
              <w:t>,</w:t>
            </w:r>
          </w:p>
          <w:p w:rsidR="00602BE8" w:rsidRPr="007C5262" w:rsidRDefault="00602BE8" w:rsidP="00602BE8">
            <w:pPr>
              <w:pStyle w:val="xmsonormal"/>
              <w:numPr>
                <w:ilvl w:val="0"/>
                <w:numId w:val="7"/>
              </w:numPr>
              <w:spacing w:after="0"/>
              <w:ind w:left="741"/>
              <w:jc w:val="both"/>
              <w:rPr>
                <w:rFonts w:ascii="Cambria" w:hAnsi="Cambria"/>
                <w:color w:val="000000"/>
              </w:rPr>
            </w:pPr>
            <w:r w:rsidRPr="007C5262">
              <w:rPr>
                <w:rFonts w:ascii="Cambria" w:hAnsi="Cambria"/>
                <w:color w:val="000000"/>
              </w:rPr>
              <w:t>Funding Working Capital Requirements; and</w:t>
            </w:r>
          </w:p>
          <w:p w:rsidR="00602BE8" w:rsidRPr="007C5262" w:rsidRDefault="00602BE8" w:rsidP="00602BE8">
            <w:pPr>
              <w:pStyle w:val="xmsonormal"/>
              <w:numPr>
                <w:ilvl w:val="0"/>
                <w:numId w:val="7"/>
              </w:numPr>
              <w:spacing w:after="0"/>
              <w:ind w:left="741"/>
              <w:jc w:val="both"/>
              <w:rPr>
                <w:rFonts w:ascii="Cambria" w:hAnsi="Cambria"/>
                <w:color w:val="000000"/>
              </w:rPr>
            </w:pPr>
            <w:r w:rsidRPr="007C5262">
              <w:rPr>
                <w:rFonts w:ascii="Cambria" w:hAnsi="Cambria"/>
                <w:color w:val="000000"/>
              </w:rPr>
              <w:t>Not in the nature of normal trade advances.</w:t>
            </w:r>
          </w:p>
          <w:p w:rsidR="00602BE8" w:rsidRPr="00077B9C" w:rsidRDefault="00602BE8" w:rsidP="00602BE8">
            <w:pPr>
              <w:pStyle w:val="xmsonormal"/>
              <w:numPr>
                <w:ilvl w:val="0"/>
                <w:numId w:val="7"/>
              </w:numPr>
              <w:spacing w:after="0"/>
              <w:ind w:left="322"/>
              <w:jc w:val="both"/>
              <w:rPr>
                <w:rFonts w:ascii="Cambria" w:hAnsi="Cambria"/>
                <w:color w:val="000000"/>
              </w:rPr>
            </w:pPr>
            <w:r w:rsidRPr="00077B9C">
              <w:rPr>
                <w:rFonts w:ascii="Cambria" w:hAnsi="Cambria"/>
                <w:color w:val="000000"/>
              </w:rPr>
              <w:lastRenderedPageBreak/>
              <w:t xml:space="preserve">The contractors are </w:t>
            </w:r>
            <w:r>
              <w:rPr>
                <w:rFonts w:ascii="Cambria" w:hAnsi="Cambria"/>
                <w:color w:val="000000"/>
              </w:rPr>
              <w:t xml:space="preserve">required </w:t>
            </w:r>
            <w:r w:rsidRPr="00077B9C">
              <w:rPr>
                <w:rFonts w:ascii="Cambria" w:hAnsi="Cambria"/>
                <w:color w:val="000000"/>
              </w:rPr>
              <w:t xml:space="preserve">to </w:t>
            </w:r>
            <w:r>
              <w:rPr>
                <w:rFonts w:ascii="Cambria" w:hAnsi="Cambria"/>
                <w:color w:val="000000"/>
              </w:rPr>
              <w:t xml:space="preserve">pay </w:t>
            </w:r>
            <w:r w:rsidRPr="00077B9C">
              <w:rPr>
                <w:rFonts w:ascii="Cambria" w:hAnsi="Cambria"/>
                <w:color w:val="000000"/>
              </w:rPr>
              <w:t>GST on such advances through cash at the inception stage itself which reduces the funds at the disposal of the contractors.</w:t>
            </w:r>
            <w:r>
              <w:rPr>
                <w:rFonts w:ascii="Cambria" w:hAnsi="Cambria"/>
                <w:color w:val="000000"/>
              </w:rPr>
              <w:t xml:space="preserve"> Further, at a later point in time, when the goods are services are procured, ITC accrues but due to lower quantum of tax payable (net of advances), the credit cannot be fully utilized and results in accumulation, thereby affecting the working capital of the company. </w:t>
            </w:r>
          </w:p>
          <w:p w:rsidR="00602BE8" w:rsidRPr="00E4392F" w:rsidRDefault="00602BE8" w:rsidP="00602BE8">
            <w:pPr>
              <w:pStyle w:val="xmsonormal"/>
              <w:spacing w:after="0"/>
              <w:ind w:left="322"/>
              <w:jc w:val="both"/>
              <w:rPr>
                <w:rFonts w:ascii="Cambria" w:hAnsi="Cambria"/>
                <w:color w:val="000000"/>
                <w:sz w:val="14"/>
                <w:szCs w:val="14"/>
              </w:rPr>
            </w:pPr>
          </w:p>
          <w:p w:rsidR="00602BE8" w:rsidRPr="008B745B" w:rsidRDefault="00602BE8" w:rsidP="00602BE8">
            <w:pPr>
              <w:pStyle w:val="xmsonormal"/>
              <w:numPr>
                <w:ilvl w:val="0"/>
                <w:numId w:val="7"/>
              </w:numPr>
              <w:spacing w:after="0"/>
              <w:ind w:left="322"/>
              <w:jc w:val="both"/>
              <w:rPr>
                <w:rFonts w:ascii="Cambria" w:hAnsi="Cambria"/>
                <w:color w:val="000000"/>
              </w:rPr>
            </w:pPr>
            <w:r w:rsidRPr="00137AF5">
              <w:rPr>
                <w:rFonts w:ascii="Cambria" w:hAnsi="Cambria"/>
                <w:color w:val="000000"/>
              </w:rPr>
              <w:t xml:space="preserve">Typically, works contract effectively comprises of supply of goods to the tune of almost 70% of total contract value. However, as works contract is deemed as service under GST law, entire advance </w:t>
            </w:r>
            <w:r>
              <w:rPr>
                <w:rFonts w:ascii="Cambria" w:hAnsi="Cambria"/>
                <w:color w:val="000000"/>
              </w:rPr>
              <w:t xml:space="preserve">is </w:t>
            </w:r>
            <w:r w:rsidRPr="00137AF5">
              <w:rPr>
                <w:rFonts w:ascii="Cambria" w:hAnsi="Cambria"/>
                <w:color w:val="000000"/>
              </w:rPr>
              <w:t>being taxed at the time of receipt though nearly 70% of such advances pertain</w:t>
            </w:r>
            <w:r w:rsidR="00335EF3">
              <w:rPr>
                <w:rFonts w:ascii="Cambria" w:hAnsi="Cambria"/>
                <w:color w:val="000000"/>
              </w:rPr>
              <w:t>s</w:t>
            </w:r>
            <w:r w:rsidRPr="00137AF5">
              <w:rPr>
                <w:rFonts w:ascii="Cambria" w:hAnsi="Cambria"/>
                <w:color w:val="000000"/>
              </w:rPr>
              <w:t xml:space="preserve"> t</w:t>
            </w:r>
            <w:r w:rsidR="00335EF3">
              <w:rPr>
                <w:rFonts w:ascii="Cambria" w:hAnsi="Cambria"/>
                <w:color w:val="000000"/>
              </w:rPr>
              <w:t>o</w:t>
            </w:r>
            <w:r w:rsidRPr="00137AF5">
              <w:rPr>
                <w:rFonts w:ascii="Cambria" w:hAnsi="Cambria"/>
                <w:color w:val="000000"/>
              </w:rPr>
              <w:t xml:space="preserve"> supply of goods. It </w:t>
            </w:r>
            <w:r w:rsidR="00492E0E">
              <w:rPr>
                <w:rFonts w:ascii="Cambria" w:hAnsi="Cambria"/>
                <w:color w:val="000000"/>
              </w:rPr>
              <w:t xml:space="preserve">may be </w:t>
            </w:r>
            <w:r w:rsidRPr="00137AF5">
              <w:rPr>
                <w:rFonts w:ascii="Cambria" w:hAnsi="Cambria"/>
                <w:color w:val="000000"/>
              </w:rPr>
              <w:t>note</w:t>
            </w:r>
            <w:r w:rsidR="00492E0E">
              <w:rPr>
                <w:rFonts w:ascii="Cambria" w:hAnsi="Cambria"/>
                <w:color w:val="000000"/>
              </w:rPr>
              <w:t>d</w:t>
            </w:r>
            <w:r w:rsidRPr="00137AF5">
              <w:rPr>
                <w:rFonts w:ascii="Cambria" w:hAnsi="Cambria"/>
                <w:color w:val="000000"/>
              </w:rPr>
              <w:t xml:space="preserve"> that Notification No. 66/2017–CT dated 15 November 2017</w:t>
            </w:r>
            <w:r w:rsidR="00335EF3">
              <w:rPr>
                <w:rFonts w:ascii="Cambria" w:hAnsi="Cambria"/>
                <w:color w:val="000000"/>
              </w:rPr>
              <w:t>,</w:t>
            </w:r>
            <w:r w:rsidRPr="00137AF5">
              <w:rPr>
                <w:rFonts w:ascii="Cambria" w:hAnsi="Cambria"/>
                <w:color w:val="000000"/>
              </w:rPr>
              <w:t xml:space="preserve"> provide</w:t>
            </w:r>
            <w:r>
              <w:rPr>
                <w:rFonts w:ascii="Cambria" w:hAnsi="Cambria"/>
                <w:color w:val="000000"/>
              </w:rPr>
              <w:t>s</w:t>
            </w:r>
            <w:r w:rsidRPr="00137AF5">
              <w:rPr>
                <w:rFonts w:ascii="Cambria" w:hAnsi="Cambria"/>
                <w:color w:val="000000"/>
              </w:rPr>
              <w:t xml:space="preserve"> exemption from payment of GST on advances received </w:t>
            </w:r>
            <w:r>
              <w:rPr>
                <w:rFonts w:ascii="Cambria" w:hAnsi="Cambria"/>
                <w:color w:val="000000"/>
              </w:rPr>
              <w:t>for</w:t>
            </w:r>
            <w:r w:rsidRPr="00137AF5">
              <w:rPr>
                <w:rFonts w:ascii="Cambria" w:hAnsi="Cambria"/>
                <w:color w:val="000000"/>
              </w:rPr>
              <w:t xml:space="preserve"> goods. </w:t>
            </w:r>
          </w:p>
        </w:tc>
        <w:tc>
          <w:tcPr>
            <w:tcW w:w="5245" w:type="dxa"/>
            <w:shd w:val="clear" w:color="auto" w:fill="auto"/>
          </w:tcPr>
          <w:p w:rsidR="00602BE8" w:rsidRDefault="00602BE8" w:rsidP="00602BE8">
            <w:pPr>
              <w:spacing w:after="0" w:line="276" w:lineRule="auto"/>
              <w:jc w:val="both"/>
              <w:rPr>
                <w:rFonts w:ascii="Cambria" w:eastAsia="Times New Roman" w:hAnsi="Cambria"/>
                <w:bCs/>
                <w:lang w:eastAsia="en-IN"/>
              </w:rPr>
            </w:pPr>
            <w:r>
              <w:rPr>
                <w:rFonts w:ascii="Cambria" w:eastAsia="Times New Roman" w:hAnsi="Cambria"/>
                <w:bCs/>
                <w:lang w:eastAsia="en-IN"/>
              </w:rPr>
              <w:lastRenderedPageBreak/>
              <w:t>The Chamber recommends that mobilization advance for infrastructure projects should not be taxed at the time of receipt. GST should be levied at the time of actual invoicing.</w:t>
            </w:r>
          </w:p>
          <w:p w:rsidR="00602BE8" w:rsidRDefault="00602BE8" w:rsidP="00602BE8">
            <w:pPr>
              <w:spacing w:after="0" w:line="276" w:lineRule="auto"/>
              <w:jc w:val="both"/>
              <w:rPr>
                <w:rFonts w:ascii="Cambria" w:eastAsia="Times New Roman" w:hAnsi="Cambria"/>
                <w:bCs/>
                <w:lang w:eastAsia="en-IN"/>
              </w:rPr>
            </w:pPr>
          </w:p>
          <w:p w:rsidR="00602BE8" w:rsidRPr="00782FB0" w:rsidRDefault="00602BE8" w:rsidP="00602BE8">
            <w:pPr>
              <w:spacing w:after="0" w:line="276" w:lineRule="auto"/>
              <w:jc w:val="both"/>
              <w:rPr>
                <w:rFonts w:ascii="Cambria" w:eastAsia="Times New Roman" w:hAnsi="Cambria"/>
                <w:bCs/>
                <w:lang w:eastAsia="en-IN"/>
              </w:rPr>
            </w:pPr>
            <w:r>
              <w:rPr>
                <w:rFonts w:ascii="Cambria" w:eastAsia="Times New Roman" w:hAnsi="Cambria"/>
                <w:bCs/>
                <w:lang w:eastAsia="en-IN"/>
              </w:rPr>
              <w:t xml:space="preserve">A proviso can be inserted in section 13(2) of CGST Act to provide that time of supply in respect of works contract shall arise on the date of invoice. </w:t>
            </w:r>
          </w:p>
        </w:tc>
      </w:tr>
      <w:tr w:rsidR="00602BE8" w:rsidRPr="00782FB0" w:rsidTr="006912DA">
        <w:trPr>
          <w:trHeight w:val="658"/>
        </w:trPr>
        <w:tc>
          <w:tcPr>
            <w:tcW w:w="562" w:type="dxa"/>
          </w:tcPr>
          <w:p w:rsidR="00602BE8" w:rsidRPr="00475852" w:rsidRDefault="00C9580B"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1</w:t>
            </w:r>
            <w:r w:rsidR="006F1B66">
              <w:rPr>
                <w:rFonts w:ascii="Cambria" w:eastAsia="Calibri" w:hAnsi="Cambria" w:cs="Arial"/>
                <w:color w:val="000000"/>
                <w:sz w:val="22"/>
                <w:szCs w:val="22"/>
                <w:lang w:val="en-GB"/>
              </w:rPr>
              <w:t>2</w:t>
            </w:r>
            <w:r w:rsidR="00602BE8">
              <w:rPr>
                <w:rFonts w:ascii="Cambria" w:eastAsia="Calibri" w:hAnsi="Cambria" w:cs="Arial"/>
                <w:color w:val="000000"/>
                <w:sz w:val="22"/>
                <w:szCs w:val="22"/>
                <w:lang w:val="en-GB"/>
              </w:rPr>
              <w:t>.</w:t>
            </w:r>
          </w:p>
        </w:tc>
        <w:tc>
          <w:tcPr>
            <w:tcW w:w="2552" w:type="dxa"/>
            <w:shd w:val="clear" w:color="auto" w:fill="auto"/>
          </w:tcPr>
          <w:p w:rsidR="00602BE8" w:rsidRPr="00B95BFA" w:rsidRDefault="00602BE8" w:rsidP="00602BE8">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Allow payment of tax for RCM through ITC</w:t>
            </w:r>
          </w:p>
          <w:p w:rsidR="00602BE8" w:rsidRPr="00782FB0" w:rsidRDefault="00602BE8" w:rsidP="00602BE8">
            <w:pPr>
              <w:pStyle w:val="ListParagraph"/>
              <w:spacing w:after="0"/>
              <w:ind w:left="0"/>
              <w:rPr>
                <w:rFonts w:ascii="Cambria" w:eastAsia="Times New Roman" w:hAnsi="Cambria"/>
                <w:b/>
              </w:rPr>
            </w:pPr>
          </w:p>
        </w:tc>
        <w:tc>
          <w:tcPr>
            <w:tcW w:w="6662" w:type="dxa"/>
          </w:tcPr>
          <w:p w:rsidR="00602BE8" w:rsidRPr="00B95BFA" w:rsidRDefault="00602BE8" w:rsidP="00602BE8">
            <w:pPr>
              <w:pStyle w:val="ListParagraph"/>
              <w:numPr>
                <w:ilvl w:val="0"/>
                <w:numId w:val="11"/>
              </w:numPr>
              <w:spacing w:after="0"/>
              <w:ind w:left="272" w:hanging="284"/>
              <w:jc w:val="both"/>
              <w:rPr>
                <w:rFonts w:ascii="Cambria" w:hAnsi="Cambria"/>
              </w:rPr>
            </w:pPr>
            <w:r w:rsidRPr="00B95BFA">
              <w:rPr>
                <w:rFonts w:ascii="Cambria" w:hAnsi="Cambria"/>
              </w:rPr>
              <w:t xml:space="preserve">As per section 9(3) of CGST Act read with the Notification issued thereunder, recipient of specified services is required to pay GST under RCM. Further, as per section 49(4) of CGST Act read with section 20 of the IGST Act, the amount available in electronic credit ledger is allowed only for payment of output tax, and output tax has been defined u/s. 2(82) specifically to exclude payment under reverse charge. Thus, the service recipient is required to discharge GST liability under reverse charge only through cash. </w:t>
            </w:r>
          </w:p>
          <w:p w:rsidR="00602BE8" w:rsidRPr="008B745B" w:rsidRDefault="00602BE8" w:rsidP="008B745B">
            <w:pPr>
              <w:pStyle w:val="ListParagraph"/>
              <w:numPr>
                <w:ilvl w:val="0"/>
                <w:numId w:val="11"/>
              </w:numPr>
              <w:spacing w:after="0"/>
              <w:ind w:left="272" w:hanging="284"/>
              <w:jc w:val="both"/>
              <w:rPr>
                <w:rFonts w:ascii="Cambria" w:hAnsi="Cambria"/>
              </w:rPr>
            </w:pPr>
            <w:r w:rsidRPr="00B95BFA">
              <w:rPr>
                <w:rFonts w:ascii="Cambria" w:hAnsi="Cambria"/>
              </w:rPr>
              <w:t xml:space="preserve">Service exporters cannot utilize available ITC since most of their output is zero-rated. Moreover, requirement of payment of cash to discharge such tax liability under "reverse charge" basis inflates the pool of unutilized ITC already available with the exporter. Such tax payment in cash impacts the working capital </w:t>
            </w:r>
            <w:r w:rsidRPr="00B95BFA">
              <w:rPr>
                <w:rFonts w:ascii="Cambria" w:hAnsi="Cambria"/>
              </w:rPr>
              <w:lastRenderedPageBreak/>
              <w:t xml:space="preserve">requirements of the exporters, eventually increasing the export cost. </w:t>
            </w:r>
          </w:p>
        </w:tc>
        <w:tc>
          <w:tcPr>
            <w:tcW w:w="5245" w:type="dxa"/>
            <w:shd w:val="clear" w:color="auto" w:fill="auto"/>
          </w:tcPr>
          <w:p w:rsidR="00602BE8" w:rsidRPr="00361EF4" w:rsidRDefault="00602BE8" w:rsidP="00361EF4">
            <w:pPr>
              <w:spacing w:after="0"/>
              <w:jc w:val="both"/>
              <w:rPr>
                <w:rFonts w:ascii="Cambria" w:hAnsi="Cambria"/>
              </w:rPr>
            </w:pPr>
            <w:r w:rsidRPr="00361EF4">
              <w:rPr>
                <w:rFonts w:ascii="Cambria" w:hAnsi="Cambria"/>
              </w:rPr>
              <w:lastRenderedPageBreak/>
              <w:t xml:space="preserve">The Chamber recommends section 49(4) </w:t>
            </w:r>
            <w:r w:rsidRPr="00361EF4">
              <w:rPr>
                <w:rFonts w:ascii="Cambria" w:hAnsi="Cambria"/>
                <w:sz w:val="24"/>
                <w:szCs w:val="24"/>
              </w:rPr>
              <w:t>of CGST Act</w:t>
            </w:r>
            <w:r w:rsidRPr="00361EF4">
              <w:rPr>
                <w:rFonts w:ascii="Cambria" w:hAnsi="Cambria"/>
              </w:rPr>
              <w:t xml:space="preserve">, along with relevant rules to allow payment of RCM through ITC. </w:t>
            </w:r>
          </w:p>
          <w:p w:rsidR="00602BE8" w:rsidRPr="00782FB0" w:rsidRDefault="00602BE8" w:rsidP="00602BE8">
            <w:pPr>
              <w:spacing w:after="0" w:line="276" w:lineRule="auto"/>
              <w:jc w:val="both"/>
              <w:rPr>
                <w:rFonts w:ascii="Cambria" w:eastAsia="Times New Roman" w:hAnsi="Cambria"/>
                <w:bCs/>
                <w:lang w:eastAsia="en-IN"/>
              </w:rPr>
            </w:pPr>
          </w:p>
        </w:tc>
      </w:tr>
      <w:tr w:rsidR="008B2083" w:rsidRPr="00782FB0" w:rsidTr="00835F48">
        <w:trPr>
          <w:trHeight w:val="965"/>
        </w:trPr>
        <w:tc>
          <w:tcPr>
            <w:tcW w:w="562" w:type="dxa"/>
          </w:tcPr>
          <w:p w:rsidR="008B2083" w:rsidRDefault="00256AB9"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1</w:t>
            </w:r>
            <w:r w:rsidR="00634644">
              <w:rPr>
                <w:rFonts w:ascii="Cambria" w:eastAsia="Calibri" w:hAnsi="Cambria" w:cs="Arial"/>
                <w:color w:val="000000"/>
                <w:sz w:val="22"/>
                <w:szCs w:val="22"/>
                <w:lang w:val="en-GB"/>
              </w:rPr>
              <w:t>3</w:t>
            </w:r>
            <w:r>
              <w:rPr>
                <w:rFonts w:ascii="Cambria" w:eastAsia="Calibri" w:hAnsi="Cambria" w:cs="Arial"/>
                <w:color w:val="000000"/>
                <w:sz w:val="22"/>
                <w:szCs w:val="22"/>
                <w:lang w:val="en-GB"/>
              </w:rPr>
              <w:t>.</w:t>
            </w:r>
          </w:p>
        </w:tc>
        <w:tc>
          <w:tcPr>
            <w:tcW w:w="2552" w:type="dxa"/>
            <w:shd w:val="clear" w:color="auto" w:fill="auto"/>
          </w:tcPr>
          <w:p w:rsidR="008B2083" w:rsidRPr="00256AB9" w:rsidRDefault="008B2083" w:rsidP="008B2083">
            <w:pPr>
              <w:pStyle w:val="PlainText"/>
              <w:rPr>
                <w:rFonts w:ascii="Cambria" w:eastAsia="SimSun" w:hAnsi="Cambria" w:cs="Times New Roman"/>
                <w:b/>
                <w:bCs/>
                <w:sz w:val="22"/>
                <w:szCs w:val="22"/>
                <w:lang w:val="en-GB" w:eastAsia="zh-CN"/>
              </w:rPr>
            </w:pPr>
            <w:r w:rsidRPr="00256AB9">
              <w:rPr>
                <w:rFonts w:ascii="Cambria" w:eastAsia="SimSun" w:hAnsi="Cambria" w:cs="Times New Roman"/>
                <w:b/>
                <w:bCs/>
                <w:sz w:val="22"/>
                <w:szCs w:val="22"/>
                <w:lang w:val="en-GB" w:eastAsia="zh-CN"/>
              </w:rPr>
              <w:t>Allowing refund of GST on input services in case of inverted tax structure</w:t>
            </w:r>
          </w:p>
          <w:p w:rsidR="008B2083" w:rsidRPr="00256AB9" w:rsidRDefault="008B2083" w:rsidP="008B2083">
            <w:pPr>
              <w:pStyle w:val="PlainText"/>
              <w:rPr>
                <w:rFonts w:ascii="Cambria" w:eastAsia="SimSun" w:hAnsi="Cambria" w:cs="Times New Roman"/>
                <w:b/>
                <w:bCs/>
                <w:sz w:val="22"/>
                <w:szCs w:val="22"/>
                <w:lang w:val="en-GB" w:eastAsia="zh-CN"/>
              </w:rPr>
            </w:pPr>
          </w:p>
          <w:p w:rsidR="008B2083" w:rsidRPr="00256AB9" w:rsidRDefault="008B2083" w:rsidP="008B2083">
            <w:pPr>
              <w:pStyle w:val="PlainText"/>
              <w:rPr>
                <w:rFonts w:ascii="Cambria" w:eastAsia="SimSun" w:hAnsi="Cambria" w:cs="Times New Roman"/>
                <w:b/>
                <w:bCs/>
                <w:sz w:val="22"/>
                <w:szCs w:val="22"/>
                <w:lang w:val="en-GB" w:eastAsia="zh-CN"/>
              </w:rPr>
            </w:pPr>
          </w:p>
        </w:tc>
        <w:tc>
          <w:tcPr>
            <w:tcW w:w="6662" w:type="dxa"/>
          </w:tcPr>
          <w:p w:rsidR="008B2083" w:rsidRPr="00B95BFA" w:rsidRDefault="008B2083" w:rsidP="008B2083">
            <w:pPr>
              <w:pStyle w:val="ListParagraph"/>
              <w:numPr>
                <w:ilvl w:val="0"/>
                <w:numId w:val="11"/>
              </w:numPr>
              <w:spacing w:after="0"/>
              <w:ind w:left="272" w:hanging="284"/>
              <w:jc w:val="both"/>
              <w:rPr>
                <w:rFonts w:ascii="Cambria" w:hAnsi="Cambria"/>
              </w:rPr>
            </w:pPr>
            <w:r w:rsidRPr="00B95BFA">
              <w:rPr>
                <w:rFonts w:ascii="Cambria" w:hAnsi="Cambria"/>
              </w:rPr>
              <w:t>Section 54(3) of the CGST Act</w:t>
            </w:r>
            <w:r>
              <w:rPr>
                <w:rFonts w:ascii="Cambria" w:hAnsi="Cambria"/>
              </w:rPr>
              <w:t xml:space="preserve">, 2017 </w:t>
            </w:r>
            <w:r w:rsidRPr="00B95BFA">
              <w:rPr>
                <w:rFonts w:ascii="Cambria" w:hAnsi="Cambria"/>
              </w:rPr>
              <w:t>states that a registered person may claim refund of any unutilized input tax credit (ITC) only in cases of zero-rated supplies made without payment of tax and supplies involving inverted rate structure.</w:t>
            </w:r>
          </w:p>
          <w:p w:rsidR="008B2083" w:rsidRPr="008760EB" w:rsidRDefault="008B2083" w:rsidP="008B2083">
            <w:pPr>
              <w:pStyle w:val="ListParagraph"/>
              <w:spacing w:after="0"/>
              <w:ind w:left="272"/>
              <w:jc w:val="both"/>
              <w:rPr>
                <w:rFonts w:ascii="Cambria" w:hAnsi="Cambria"/>
                <w:sz w:val="14"/>
                <w:szCs w:val="14"/>
              </w:rPr>
            </w:pPr>
          </w:p>
          <w:p w:rsidR="008B2083" w:rsidRPr="00B95BFA" w:rsidRDefault="008B2083" w:rsidP="008B2083">
            <w:pPr>
              <w:pStyle w:val="ListParagraph"/>
              <w:numPr>
                <w:ilvl w:val="0"/>
                <w:numId w:val="11"/>
              </w:numPr>
              <w:spacing w:after="0"/>
              <w:ind w:left="272" w:hanging="284"/>
              <w:jc w:val="both"/>
              <w:rPr>
                <w:rFonts w:ascii="Cambria" w:hAnsi="Cambria"/>
              </w:rPr>
            </w:pPr>
            <w:r w:rsidRPr="00B95BFA">
              <w:rPr>
                <w:rFonts w:ascii="Cambria" w:hAnsi="Cambria"/>
              </w:rPr>
              <w:t xml:space="preserve">Section 54(3) </w:t>
            </w:r>
            <w:r>
              <w:rPr>
                <w:rFonts w:ascii="Cambria" w:hAnsi="Cambria"/>
              </w:rPr>
              <w:t xml:space="preserve">of CGST Act </w:t>
            </w:r>
            <w:r w:rsidRPr="00B95BFA">
              <w:rPr>
                <w:rFonts w:ascii="Cambria" w:hAnsi="Cambria"/>
              </w:rPr>
              <w:t xml:space="preserve">allows refund in case of inverted duty structure where the rate of tax on inputs is higher than the rate of tax on outward supplies. Rule 89(5) of </w:t>
            </w:r>
            <w:r>
              <w:rPr>
                <w:rFonts w:ascii="Cambria" w:hAnsi="Cambria"/>
              </w:rPr>
              <w:t>CGST</w:t>
            </w:r>
            <w:r w:rsidRPr="00B95BFA">
              <w:rPr>
                <w:rFonts w:ascii="Cambria" w:hAnsi="Cambria"/>
              </w:rPr>
              <w:t xml:space="preserve"> Rules provides that in case of refund on account of inverted duty structure, Net ITC in respect of which refund can be availed shall be restricted to inputs only. </w:t>
            </w:r>
          </w:p>
          <w:p w:rsidR="008B2083" w:rsidRPr="008760EB" w:rsidRDefault="008B2083" w:rsidP="008B2083">
            <w:pPr>
              <w:spacing w:after="0"/>
              <w:jc w:val="both"/>
              <w:rPr>
                <w:rFonts w:ascii="Cambria" w:hAnsi="Cambria"/>
                <w:sz w:val="14"/>
                <w:szCs w:val="14"/>
              </w:rPr>
            </w:pPr>
          </w:p>
          <w:p w:rsidR="008B2083" w:rsidRPr="00B95BFA" w:rsidRDefault="008B2083" w:rsidP="008B2083">
            <w:pPr>
              <w:pStyle w:val="ListParagraph"/>
              <w:numPr>
                <w:ilvl w:val="0"/>
                <w:numId w:val="11"/>
              </w:numPr>
              <w:spacing w:after="0"/>
              <w:ind w:left="272" w:hanging="284"/>
              <w:jc w:val="both"/>
              <w:rPr>
                <w:rFonts w:ascii="Cambria" w:hAnsi="Cambria"/>
              </w:rPr>
            </w:pPr>
            <w:r w:rsidRPr="00B95BFA">
              <w:rPr>
                <w:rFonts w:ascii="Cambria" w:hAnsi="Cambria"/>
              </w:rPr>
              <w:t xml:space="preserve">Further, the Central Government, in "Medium Term Fiscal Policy Cum Fiscal Policy Strategy Statement" of the 2019 budget presented under the Fiscal Responsibility and Budget Management Act, 2003, has indicated in long-term proposals that refund of input services to be allowed as part of refund of ITC accumulated due to inverted duty structure. </w:t>
            </w:r>
          </w:p>
          <w:p w:rsidR="008B2083" w:rsidRPr="008B745B" w:rsidRDefault="008B2083" w:rsidP="008B2083">
            <w:pPr>
              <w:pStyle w:val="ListParagraph"/>
              <w:spacing w:after="0"/>
              <w:jc w:val="both"/>
              <w:rPr>
                <w:rFonts w:ascii="Cambria" w:hAnsi="Cambria"/>
                <w:sz w:val="6"/>
                <w:szCs w:val="6"/>
              </w:rPr>
            </w:pPr>
          </w:p>
          <w:p w:rsidR="008B2083" w:rsidRPr="008B745B" w:rsidRDefault="008B2083" w:rsidP="008B745B">
            <w:pPr>
              <w:pStyle w:val="ListParagraph"/>
              <w:numPr>
                <w:ilvl w:val="0"/>
                <w:numId w:val="11"/>
              </w:numPr>
              <w:spacing w:after="0"/>
              <w:ind w:left="272" w:hanging="284"/>
              <w:jc w:val="both"/>
              <w:rPr>
                <w:rFonts w:ascii="Cambria" w:hAnsi="Cambria"/>
              </w:rPr>
            </w:pPr>
            <w:r w:rsidRPr="00B95BFA">
              <w:rPr>
                <w:rFonts w:ascii="Cambria" w:hAnsi="Cambria"/>
              </w:rPr>
              <w:t xml:space="preserve">Recently, GST Council has partly addressed the issue by modifying formula suggested by SC. However, complete relief is likely to be obtained when input service is also considered for refund purpose. </w:t>
            </w:r>
          </w:p>
        </w:tc>
        <w:tc>
          <w:tcPr>
            <w:tcW w:w="5245" w:type="dxa"/>
            <w:shd w:val="clear" w:color="auto" w:fill="auto"/>
          </w:tcPr>
          <w:p w:rsidR="008B2083" w:rsidRPr="00361EF4" w:rsidRDefault="00361EF4" w:rsidP="00361EF4">
            <w:pPr>
              <w:spacing w:after="0"/>
              <w:jc w:val="both"/>
              <w:rPr>
                <w:rFonts w:ascii="Cambria" w:hAnsi="Cambria"/>
              </w:rPr>
            </w:pPr>
            <w:r>
              <w:rPr>
                <w:rFonts w:ascii="Cambria" w:hAnsi="Cambria"/>
              </w:rPr>
              <w:t xml:space="preserve">The </w:t>
            </w:r>
            <w:r w:rsidR="008B2083" w:rsidRPr="00361EF4">
              <w:rPr>
                <w:rFonts w:ascii="Cambria" w:hAnsi="Cambria"/>
              </w:rPr>
              <w:t>Chamber suggests that Section 54(3) of CGST Act and Rule 89(5) of CGST Rules be amended to allow seamless refunds in case of inverted duty structure for both inputs and input services.</w:t>
            </w:r>
          </w:p>
          <w:p w:rsidR="008B2083" w:rsidRPr="00B95BFA" w:rsidRDefault="008B2083" w:rsidP="00256AB9">
            <w:pPr>
              <w:pStyle w:val="ListParagraph"/>
              <w:spacing w:after="0"/>
              <w:ind w:left="272"/>
              <w:jc w:val="both"/>
              <w:rPr>
                <w:rFonts w:ascii="Cambria" w:hAnsi="Cambria"/>
              </w:rPr>
            </w:pPr>
          </w:p>
        </w:tc>
      </w:tr>
      <w:tr w:rsidR="008B359D" w:rsidRPr="00782FB0" w:rsidTr="00835F48">
        <w:trPr>
          <w:trHeight w:val="965"/>
        </w:trPr>
        <w:tc>
          <w:tcPr>
            <w:tcW w:w="562" w:type="dxa"/>
          </w:tcPr>
          <w:p w:rsidR="008B359D" w:rsidRDefault="00256AB9"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1</w:t>
            </w:r>
            <w:r w:rsidR="00634644">
              <w:rPr>
                <w:rFonts w:ascii="Cambria" w:eastAsia="Calibri" w:hAnsi="Cambria" w:cs="Arial"/>
                <w:color w:val="000000"/>
                <w:sz w:val="22"/>
                <w:szCs w:val="22"/>
                <w:lang w:val="en-GB"/>
              </w:rPr>
              <w:t>4</w:t>
            </w:r>
            <w:r>
              <w:rPr>
                <w:rFonts w:ascii="Cambria" w:eastAsia="Calibri" w:hAnsi="Cambria" w:cs="Arial"/>
                <w:color w:val="000000"/>
                <w:sz w:val="22"/>
                <w:szCs w:val="22"/>
                <w:lang w:val="en-GB"/>
              </w:rPr>
              <w:t>.</w:t>
            </w:r>
          </w:p>
        </w:tc>
        <w:tc>
          <w:tcPr>
            <w:tcW w:w="2552" w:type="dxa"/>
            <w:shd w:val="clear" w:color="auto" w:fill="auto"/>
          </w:tcPr>
          <w:p w:rsidR="008B359D" w:rsidRPr="00256AB9" w:rsidRDefault="008B359D" w:rsidP="008B359D">
            <w:pPr>
              <w:pStyle w:val="PlainText"/>
              <w:spacing w:line="276" w:lineRule="auto"/>
              <w:contextualSpacing/>
              <w:rPr>
                <w:rFonts w:ascii="Cambria" w:eastAsia="SimSun" w:hAnsi="Cambria" w:cs="Times New Roman"/>
                <w:b/>
                <w:bCs/>
                <w:sz w:val="22"/>
                <w:szCs w:val="22"/>
                <w:lang w:val="en-GB" w:eastAsia="zh-CN"/>
              </w:rPr>
            </w:pPr>
            <w:r w:rsidRPr="00256AB9">
              <w:rPr>
                <w:rFonts w:ascii="Cambria" w:eastAsia="SimSun" w:hAnsi="Cambria" w:cs="Times New Roman"/>
                <w:b/>
                <w:bCs/>
                <w:sz w:val="22"/>
                <w:szCs w:val="22"/>
                <w:lang w:val="en-GB" w:eastAsia="zh-CN"/>
              </w:rPr>
              <w:t>GST ITC eligibility on construction/renovation of immovable property which is used for business purposes</w:t>
            </w:r>
          </w:p>
          <w:p w:rsidR="008B359D" w:rsidRPr="00256AB9" w:rsidRDefault="008B359D" w:rsidP="008B359D">
            <w:pPr>
              <w:pStyle w:val="PlainText"/>
              <w:spacing w:line="276" w:lineRule="auto"/>
              <w:contextualSpacing/>
              <w:rPr>
                <w:rFonts w:ascii="Cambria" w:eastAsia="SimSun" w:hAnsi="Cambria" w:cs="Times New Roman"/>
                <w:b/>
                <w:bCs/>
                <w:sz w:val="22"/>
                <w:szCs w:val="22"/>
                <w:lang w:val="en-GB" w:eastAsia="zh-CN"/>
              </w:rPr>
            </w:pPr>
          </w:p>
          <w:p w:rsidR="008B359D" w:rsidRPr="00256AB9" w:rsidRDefault="008B359D" w:rsidP="008B359D">
            <w:pPr>
              <w:pStyle w:val="PlainText"/>
              <w:spacing w:line="276" w:lineRule="auto"/>
              <w:contextualSpacing/>
              <w:rPr>
                <w:rFonts w:ascii="Cambria" w:eastAsia="SimSun" w:hAnsi="Cambria" w:cs="Times New Roman"/>
                <w:b/>
                <w:bCs/>
                <w:sz w:val="22"/>
                <w:szCs w:val="22"/>
                <w:lang w:val="en-GB" w:eastAsia="zh-CN"/>
              </w:rPr>
            </w:pPr>
          </w:p>
          <w:p w:rsidR="008B359D" w:rsidRPr="00256AB9" w:rsidRDefault="008B359D" w:rsidP="008B359D">
            <w:pPr>
              <w:pStyle w:val="PlainText"/>
              <w:rPr>
                <w:rFonts w:ascii="Cambria" w:eastAsia="SimSun" w:hAnsi="Cambria" w:cs="Times New Roman"/>
                <w:b/>
                <w:bCs/>
                <w:sz w:val="22"/>
                <w:szCs w:val="22"/>
                <w:lang w:val="en-GB" w:eastAsia="zh-CN"/>
              </w:rPr>
            </w:pPr>
          </w:p>
        </w:tc>
        <w:tc>
          <w:tcPr>
            <w:tcW w:w="6662" w:type="dxa"/>
          </w:tcPr>
          <w:p w:rsidR="008B359D" w:rsidRPr="00B95BFA" w:rsidRDefault="008B359D" w:rsidP="008B359D">
            <w:pPr>
              <w:pStyle w:val="ListParagraph"/>
              <w:numPr>
                <w:ilvl w:val="0"/>
                <w:numId w:val="11"/>
              </w:numPr>
              <w:spacing w:after="0"/>
              <w:ind w:left="272" w:hanging="284"/>
              <w:rPr>
                <w:rFonts w:ascii="Cambria" w:hAnsi="Cambria"/>
              </w:rPr>
            </w:pPr>
            <w:r w:rsidRPr="00B95BFA">
              <w:rPr>
                <w:rFonts w:ascii="Cambria" w:hAnsi="Cambria"/>
              </w:rPr>
              <w:lastRenderedPageBreak/>
              <w:t xml:space="preserve">As per Section 17(5)(c) and (d) of CGST Act, ITC shall not be available on: </w:t>
            </w:r>
          </w:p>
          <w:p w:rsidR="008B359D" w:rsidRPr="00B95BFA" w:rsidRDefault="008B359D" w:rsidP="007A15A7">
            <w:pPr>
              <w:pStyle w:val="ListParagraph"/>
              <w:numPr>
                <w:ilvl w:val="0"/>
                <w:numId w:val="14"/>
              </w:numPr>
              <w:spacing w:afterLines="120"/>
              <w:ind w:left="697" w:hanging="425"/>
              <w:jc w:val="both"/>
              <w:rPr>
                <w:rFonts w:ascii="Cambria" w:hAnsi="Cambria"/>
              </w:rPr>
            </w:pPr>
            <w:r w:rsidRPr="00B95BFA">
              <w:rPr>
                <w:rFonts w:ascii="Cambria" w:hAnsi="Cambria"/>
              </w:rPr>
              <w:t xml:space="preserve">Works contract services in respect of immovable property except where it is an input service for further supply of works contract service; or </w:t>
            </w:r>
          </w:p>
          <w:p w:rsidR="008B359D" w:rsidRPr="00B95BFA" w:rsidRDefault="008B359D" w:rsidP="007A15A7">
            <w:pPr>
              <w:pStyle w:val="ListParagraph"/>
              <w:spacing w:afterLines="120"/>
              <w:ind w:left="697"/>
              <w:jc w:val="both"/>
              <w:rPr>
                <w:rFonts w:ascii="Cambria" w:hAnsi="Cambria"/>
                <w:sz w:val="14"/>
                <w:szCs w:val="14"/>
              </w:rPr>
            </w:pPr>
          </w:p>
          <w:p w:rsidR="008B359D" w:rsidRPr="00B95BFA" w:rsidRDefault="008B359D" w:rsidP="007A15A7">
            <w:pPr>
              <w:pStyle w:val="ListParagraph"/>
              <w:numPr>
                <w:ilvl w:val="0"/>
                <w:numId w:val="14"/>
              </w:numPr>
              <w:spacing w:afterLines="120"/>
              <w:ind w:left="697" w:hanging="425"/>
              <w:jc w:val="both"/>
              <w:rPr>
                <w:rFonts w:ascii="Cambria" w:hAnsi="Cambria"/>
              </w:rPr>
            </w:pPr>
            <w:proofErr w:type="gramStart"/>
            <w:r w:rsidRPr="00B95BFA">
              <w:rPr>
                <w:rFonts w:ascii="Cambria" w:hAnsi="Cambria"/>
              </w:rPr>
              <w:t>goods</w:t>
            </w:r>
            <w:proofErr w:type="gramEnd"/>
            <w:r w:rsidRPr="00B95BFA">
              <w:rPr>
                <w:rFonts w:ascii="Cambria" w:hAnsi="Cambria"/>
              </w:rPr>
              <w:t xml:space="preserve"> or services used for the construction of an immovable property on his account, including when such goods and services are used in the course of furtherance of business.</w:t>
            </w:r>
          </w:p>
          <w:p w:rsidR="008B359D" w:rsidRPr="00B95BFA" w:rsidRDefault="008B359D" w:rsidP="007A15A7">
            <w:pPr>
              <w:pStyle w:val="ListParagraph"/>
              <w:spacing w:afterLines="120"/>
              <w:ind w:left="697"/>
              <w:jc w:val="both"/>
              <w:rPr>
                <w:rFonts w:ascii="Cambria" w:hAnsi="Cambria"/>
                <w:sz w:val="14"/>
                <w:szCs w:val="14"/>
              </w:rPr>
            </w:pPr>
          </w:p>
          <w:p w:rsidR="008B359D" w:rsidRPr="00B95BFA" w:rsidRDefault="008B359D" w:rsidP="008B359D">
            <w:pPr>
              <w:pStyle w:val="ListParagraph"/>
              <w:numPr>
                <w:ilvl w:val="0"/>
                <w:numId w:val="11"/>
              </w:numPr>
              <w:spacing w:after="0"/>
              <w:ind w:left="272" w:hanging="284"/>
              <w:jc w:val="both"/>
              <w:rPr>
                <w:rFonts w:ascii="Cambria" w:hAnsi="Cambria"/>
              </w:rPr>
            </w:pPr>
            <w:r w:rsidRPr="00B95BFA">
              <w:rPr>
                <w:rFonts w:ascii="Cambria" w:hAnsi="Cambria"/>
              </w:rPr>
              <w:t>Further, ITC is restricted in case of works contract services only to the extent expenses are capitalized, as per accounting standard renovation of building such as office interior works are capitalized along with the building, and therefore, such credits are disallowed.</w:t>
            </w:r>
          </w:p>
          <w:p w:rsidR="008B359D" w:rsidRPr="00B95BFA" w:rsidRDefault="008B359D" w:rsidP="008B359D">
            <w:pPr>
              <w:pStyle w:val="ListParagraph"/>
              <w:spacing w:after="0"/>
              <w:ind w:left="272"/>
              <w:jc w:val="both"/>
              <w:rPr>
                <w:rFonts w:ascii="Cambria" w:hAnsi="Cambria"/>
                <w:sz w:val="16"/>
                <w:szCs w:val="16"/>
              </w:rPr>
            </w:pPr>
          </w:p>
          <w:p w:rsidR="008B359D" w:rsidRDefault="008B359D" w:rsidP="008B359D">
            <w:pPr>
              <w:pStyle w:val="ListParagraph"/>
              <w:numPr>
                <w:ilvl w:val="0"/>
                <w:numId w:val="11"/>
              </w:numPr>
              <w:spacing w:after="0"/>
              <w:ind w:left="272" w:hanging="284"/>
              <w:jc w:val="both"/>
              <w:rPr>
                <w:rFonts w:ascii="Cambria" w:hAnsi="Cambria"/>
              </w:rPr>
            </w:pPr>
            <w:r w:rsidRPr="00B95BFA">
              <w:rPr>
                <w:rFonts w:ascii="Cambria" w:hAnsi="Cambria"/>
              </w:rPr>
              <w:t>Denial of ITC when used for construction/renovation works of immovable property on own account, although the same is used in the course or furtherance of business, is against the philosophy of the GST law, which is aimed at reducing the cascading effect of taxes.</w:t>
            </w:r>
          </w:p>
          <w:p w:rsidR="008B359D" w:rsidRPr="006D4B92" w:rsidRDefault="008B359D" w:rsidP="008B359D">
            <w:pPr>
              <w:spacing w:after="0"/>
              <w:jc w:val="both"/>
              <w:rPr>
                <w:rFonts w:ascii="Cambria" w:hAnsi="Cambria"/>
                <w:sz w:val="14"/>
                <w:szCs w:val="12"/>
              </w:rPr>
            </w:pPr>
          </w:p>
          <w:p w:rsidR="008B359D" w:rsidRPr="00B95BFA" w:rsidRDefault="008B359D" w:rsidP="008B359D">
            <w:pPr>
              <w:pStyle w:val="ListParagraph"/>
              <w:numPr>
                <w:ilvl w:val="0"/>
                <w:numId w:val="11"/>
              </w:numPr>
              <w:spacing w:after="0"/>
              <w:ind w:left="272" w:hanging="284"/>
              <w:jc w:val="both"/>
              <w:rPr>
                <w:rFonts w:ascii="Cambria" w:hAnsi="Cambria"/>
              </w:rPr>
            </w:pPr>
            <w:r w:rsidRPr="00B95BFA">
              <w:rPr>
                <w:rFonts w:ascii="Cambria" w:hAnsi="Cambria"/>
              </w:rPr>
              <w:t>Allowing ITC where building is used in the course or furtherance of business (i.e., generating income liable to GST), such as renting, will keep the tax chain intact and serve the purposes of equity.</w:t>
            </w:r>
          </w:p>
          <w:p w:rsidR="008B359D" w:rsidRPr="00B95BFA" w:rsidRDefault="008B359D" w:rsidP="008B359D">
            <w:pPr>
              <w:pStyle w:val="ListParagraph"/>
              <w:spacing w:after="0"/>
              <w:ind w:left="272"/>
              <w:jc w:val="both"/>
              <w:rPr>
                <w:rFonts w:ascii="Cambria" w:hAnsi="Cambria"/>
                <w:sz w:val="12"/>
                <w:szCs w:val="12"/>
              </w:rPr>
            </w:pPr>
          </w:p>
          <w:p w:rsidR="008B359D" w:rsidRPr="00B95BFA" w:rsidRDefault="008B359D" w:rsidP="008B359D">
            <w:pPr>
              <w:pStyle w:val="ListParagraph"/>
              <w:numPr>
                <w:ilvl w:val="0"/>
                <w:numId w:val="11"/>
              </w:numPr>
              <w:spacing w:after="0"/>
              <w:ind w:left="272" w:hanging="284"/>
              <w:jc w:val="both"/>
              <w:rPr>
                <w:rFonts w:ascii="Cambria" w:hAnsi="Cambria"/>
              </w:rPr>
            </w:pPr>
            <w:r w:rsidRPr="00B95BFA">
              <w:rPr>
                <w:rFonts w:ascii="Cambria" w:hAnsi="Cambria"/>
              </w:rPr>
              <w:t xml:space="preserve">Additionally, it is an indisputable fact that immovable properties such as factory sheds, machine foundation, office premises, residential quarters, etc., are an integral part of business and have a direct nexus with the functioning of the business.  </w:t>
            </w:r>
          </w:p>
          <w:p w:rsidR="008B359D" w:rsidRPr="00B95BFA" w:rsidRDefault="008B359D" w:rsidP="008B359D">
            <w:pPr>
              <w:spacing w:after="0"/>
              <w:jc w:val="both"/>
              <w:rPr>
                <w:rFonts w:ascii="Cambria" w:hAnsi="Cambria"/>
                <w:sz w:val="12"/>
                <w:szCs w:val="12"/>
              </w:rPr>
            </w:pPr>
          </w:p>
          <w:p w:rsidR="008B359D" w:rsidRPr="00B95BFA" w:rsidRDefault="008B359D" w:rsidP="008B359D">
            <w:pPr>
              <w:pStyle w:val="ListParagraph"/>
              <w:numPr>
                <w:ilvl w:val="0"/>
                <w:numId w:val="11"/>
              </w:numPr>
              <w:spacing w:after="0"/>
              <w:ind w:left="272" w:hanging="284"/>
              <w:jc w:val="both"/>
              <w:rPr>
                <w:rFonts w:ascii="Cambria" w:hAnsi="Cambria"/>
              </w:rPr>
            </w:pPr>
            <w:r w:rsidRPr="00B95BFA">
              <w:rPr>
                <w:rFonts w:ascii="Cambria" w:hAnsi="Cambria"/>
              </w:rPr>
              <w:t xml:space="preserve">While credit may not be allowable if the immovable properties are intended for personal or non-business purposes, there appears to be no justification for disallowing credit on the construction/renovation of the immovable property exclusively for business purposes.  </w:t>
            </w:r>
          </w:p>
          <w:p w:rsidR="008B359D" w:rsidRPr="00B95BFA" w:rsidRDefault="008B359D" w:rsidP="008B359D">
            <w:pPr>
              <w:spacing w:after="0"/>
              <w:jc w:val="both"/>
              <w:rPr>
                <w:rFonts w:ascii="Cambria" w:hAnsi="Cambria"/>
                <w:sz w:val="12"/>
                <w:szCs w:val="12"/>
              </w:rPr>
            </w:pPr>
          </w:p>
          <w:p w:rsidR="008B359D" w:rsidRDefault="008B359D" w:rsidP="008B359D">
            <w:pPr>
              <w:pStyle w:val="ListParagraph"/>
              <w:numPr>
                <w:ilvl w:val="0"/>
                <w:numId w:val="11"/>
              </w:numPr>
              <w:spacing w:after="0"/>
              <w:ind w:left="272" w:hanging="284"/>
              <w:jc w:val="both"/>
              <w:rPr>
                <w:rFonts w:ascii="Cambria" w:hAnsi="Cambria"/>
              </w:rPr>
            </w:pPr>
            <w:r w:rsidRPr="00B95BFA">
              <w:rPr>
                <w:rFonts w:ascii="Cambria" w:hAnsi="Cambria"/>
              </w:rPr>
              <w:t>Also, there have been advance rulings wherein it has been observed that leasing of land for the construction of an immovable property (such as hotels, commercial establishments, and warehouses) is also regarded as services for construction and restriction under Section 17(5)(c) of CGST Act is made applicable on GST paid on leasing of land.</w:t>
            </w:r>
          </w:p>
          <w:p w:rsidR="008B359D" w:rsidRPr="007C0F3C" w:rsidRDefault="008B359D" w:rsidP="008B359D">
            <w:pPr>
              <w:pStyle w:val="ListParagraph"/>
              <w:rPr>
                <w:rFonts w:ascii="Cambria" w:hAnsi="Cambria"/>
              </w:rPr>
            </w:pPr>
          </w:p>
          <w:p w:rsidR="008B359D" w:rsidRPr="009B02E2" w:rsidRDefault="008B359D" w:rsidP="008B359D">
            <w:pPr>
              <w:pStyle w:val="ListParagraph"/>
              <w:numPr>
                <w:ilvl w:val="0"/>
                <w:numId w:val="11"/>
              </w:numPr>
              <w:spacing w:after="0"/>
              <w:ind w:left="272" w:hanging="284"/>
              <w:jc w:val="both"/>
              <w:rPr>
                <w:rFonts w:ascii="Cambria" w:hAnsi="Cambria"/>
              </w:rPr>
            </w:pPr>
            <w:r w:rsidRPr="009B02E2">
              <w:rPr>
                <w:rFonts w:ascii="Cambria" w:hAnsi="Cambria"/>
              </w:rPr>
              <w:t>Hence, there is a need to omit the provision of Section 17(5)(c) and (d) of CGST Act to allow ITC for construction/renovation of immovable property where such immovable property is intended to be used in the course or furtherance of business.</w:t>
            </w:r>
          </w:p>
          <w:p w:rsidR="008B359D" w:rsidRPr="00256AB9" w:rsidRDefault="008B359D" w:rsidP="00256AB9">
            <w:pPr>
              <w:spacing w:after="0"/>
              <w:jc w:val="both"/>
              <w:rPr>
                <w:rFonts w:ascii="Cambria" w:hAnsi="Cambria"/>
              </w:rPr>
            </w:pPr>
          </w:p>
        </w:tc>
        <w:tc>
          <w:tcPr>
            <w:tcW w:w="5245" w:type="dxa"/>
            <w:shd w:val="clear" w:color="auto" w:fill="auto"/>
          </w:tcPr>
          <w:p w:rsidR="008B359D" w:rsidRPr="0073458A" w:rsidRDefault="0073458A" w:rsidP="0073458A">
            <w:pPr>
              <w:spacing w:after="0"/>
              <w:jc w:val="both"/>
              <w:rPr>
                <w:rFonts w:ascii="Cambria" w:hAnsi="Cambria"/>
              </w:rPr>
            </w:pPr>
            <w:r>
              <w:rPr>
                <w:rFonts w:ascii="Cambria" w:hAnsi="Cambria"/>
              </w:rPr>
              <w:lastRenderedPageBreak/>
              <w:t xml:space="preserve">The </w:t>
            </w:r>
            <w:r w:rsidR="008B359D" w:rsidRPr="0073458A">
              <w:rPr>
                <w:rFonts w:ascii="Cambria" w:hAnsi="Cambria"/>
              </w:rPr>
              <w:t xml:space="preserve">Chamber recommends that Section 17(5)(c) and (d) of CGST Act should be omitted with retrospective effect.   </w:t>
            </w:r>
          </w:p>
          <w:p w:rsidR="008B359D" w:rsidRPr="00B95BFA" w:rsidRDefault="008B359D" w:rsidP="008B359D">
            <w:pPr>
              <w:pStyle w:val="ListParagraph"/>
              <w:spacing w:after="0"/>
              <w:ind w:left="0"/>
              <w:rPr>
                <w:rFonts w:ascii="Cambria" w:hAnsi="Cambria"/>
              </w:rPr>
            </w:pPr>
          </w:p>
          <w:p w:rsidR="008B359D" w:rsidRPr="00B95BFA" w:rsidRDefault="008B359D" w:rsidP="00256AB9">
            <w:pPr>
              <w:pStyle w:val="ListParagraph"/>
              <w:spacing w:after="0"/>
              <w:ind w:left="272"/>
              <w:jc w:val="both"/>
              <w:rPr>
                <w:rFonts w:ascii="Cambria" w:hAnsi="Cambria"/>
              </w:rPr>
            </w:pPr>
          </w:p>
        </w:tc>
      </w:tr>
      <w:tr w:rsidR="00FE3306" w:rsidRPr="00782FB0" w:rsidTr="00835F48">
        <w:trPr>
          <w:trHeight w:val="965"/>
        </w:trPr>
        <w:tc>
          <w:tcPr>
            <w:tcW w:w="562" w:type="dxa"/>
          </w:tcPr>
          <w:p w:rsidR="00FE3306" w:rsidRDefault="00256AB9"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1</w:t>
            </w:r>
            <w:r w:rsidR="00634644">
              <w:rPr>
                <w:rFonts w:ascii="Cambria" w:eastAsia="Calibri" w:hAnsi="Cambria" w:cs="Arial"/>
                <w:color w:val="000000"/>
                <w:sz w:val="22"/>
                <w:szCs w:val="22"/>
                <w:lang w:val="en-GB"/>
              </w:rPr>
              <w:t>5</w:t>
            </w:r>
            <w:r>
              <w:rPr>
                <w:rFonts w:ascii="Cambria" w:eastAsia="Calibri" w:hAnsi="Cambria" w:cs="Arial"/>
                <w:color w:val="000000"/>
                <w:sz w:val="22"/>
                <w:szCs w:val="22"/>
                <w:lang w:val="en-GB"/>
              </w:rPr>
              <w:t>.</w:t>
            </w:r>
          </w:p>
        </w:tc>
        <w:tc>
          <w:tcPr>
            <w:tcW w:w="2552" w:type="dxa"/>
            <w:shd w:val="clear" w:color="auto" w:fill="auto"/>
          </w:tcPr>
          <w:p w:rsidR="00FE3306" w:rsidRPr="00256AB9" w:rsidRDefault="00FE3306" w:rsidP="00FE3306">
            <w:pPr>
              <w:pStyle w:val="PlainText"/>
              <w:spacing w:line="276" w:lineRule="auto"/>
              <w:contextualSpacing/>
              <w:rPr>
                <w:rFonts w:ascii="Cambria" w:eastAsia="SimSun" w:hAnsi="Cambria" w:cs="Times New Roman"/>
                <w:b/>
                <w:bCs/>
                <w:sz w:val="22"/>
                <w:szCs w:val="22"/>
                <w:lang w:val="en-GB" w:eastAsia="zh-CN"/>
              </w:rPr>
            </w:pPr>
            <w:r w:rsidRPr="00256AB9">
              <w:rPr>
                <w:rFonts w:ascii="Cambria" w:eastAsia="SimSun" w:hAnsi="Cambria" w:cs="Times New Roman"/>
                <w:b/>
                <w:bCs/>
                <w:sz w:val="22"/>
                <w:szCs w:val="22"/>
                <w:lang w:val="en-GB" w:eastAsia="zh-CN"/>
              </w:rPr>
              <w:t>Relaxation in reversal of GST ITC for transactions in securities for life insurance, general insurance, and health insurance companies</w:t>
            </w:r>
          </w:p>
          <w:p w:rsidR="00FE3306" w:rsidRPr="00256AB9" w:rsidRDefault="00FE3306" w:rsidP="00FE3306">
            <w:pPr>
              <w:pStyle w:val="PlainText"/>
              <w:spacing w:line="276" w:lineRule="auto"/>
              <w:contextualSpacing/>
              <w:rPr>
                <w:rFonts w:ascii="Cambria" w:eastAsia="SimSun" w:hAnsi="Cambria" w:cs="Times New Roman"/>
                <w:b/>
                <w:bCs/>
                <w:sz w:val="22"/>
                <w:szCs w:val="22"/>
                <w:lang w:val="en-GB" w:eastAsia="zh-CN"/>
              </w:rPr>
            </w:pPr>
          </w:p>
          <w:p w:rsidR="00FE3306" w:rsidRPr="00256AB9" w:rsidRDefault="00FE3306" w:rsidP="00FE3306">
            <w:pPr>
              <w:pStyle w:val="PlainText"/>
              <w:rPr>
                <w:rFonts w:ascii="Cambria" w:eastAsia="SimSun" w:hAnsi="Cambria" w:cs="Times New Roman"/>
                <w:b/>
                <w:bCs/>
                <w:sz w:val="22"/>
                <w:szCs w:val="22"/>
                <w:lang w:val="en-GB" w:eastAsia="zh-CN"/>
              </w:rPr>
            </w:pPr>
          </w:p>
        </w:tc>
        <w:tc>
          <w:tcPr>
            <w:tcW w:w="6662" w:type="dxa"/>
          </w:tcPr>
          <w:p w:rsidR="00FE3306" w:rsidRPr="00B95BFA" w:rsidRDefault="00FE3306" w:rsidP="00FE3306">
            <w:pPr>
              <w:pStyle w:val="ListParagraph"/>
              <w:numPr>
                <w:ilvl w:val="0"/>
                <w:numId w:val="11"/>
              </w:numPr>
              <w:spacing w:after="0"/>
              <w:ind w:left="272" w:hanging="284"/>
              <w:jc w:val="both"/>
              <w:rPr>
                <w:rFonts w:ascii="Cambria" w:hAnsi="Cambria"/>
              </w:rPr>
            </w:pPr>
            <w:r w:rsidRPr="00B95BFA">
              <w:rPr>
                <w:rFonts w:ascii="Cambria" w:hAnsi="Cambria"/>
              </w:rPr>
              <w:t xml:space="preserve">Life Insurance Companies invest in securities as a statutory obligation to provide life insurance services. In the case of Shriram Life Insurance Company Limited, CESTAT Hyderabad has held that no reversal of CENVAT credit is required for statutory investments mandated under IRDA. </w:t>
            </w:r>
          </w:p>
          <w:p w:rsidR="00FE3306" w:rsidRPr="00B775C7" w:rsidRDefault="00FE3306" w:rsidP="00FE3306">
            <w:pPr>
              <w:pStyle w:val="ListParagraph"/>
              <w:spacing w:after="0"/>
              <w:ind w:left="0"/>
              <w:jc w:val="both"/>
              <w:rPr>
                <w:rFonts w:ascii="Cambria" w:hAnsi="Cambria"/>
                <w:sz w:val="14"/>
                <w:szCs w:val="14"/>
              </w:rPr>
            </w:pPr>
          </w:p>
          <w:p w:rsidR="00FE3306" w:rsidRPr="00B95BFA" w:rsidRDefault="00FE3306" w:rsidP="00FE3306">
            <w:pPr>
              <w:pStyle w:val="ListParagraph"/>
              <w:numPr>
                <w:ilvl w:val="0"/>
                <w:numId w:val="11"/>
              </w:numPr>
              <w:spacing w:after="0"/>
              <w:ind w:left="272" w:hanging="284"/>
              <w:jc w:val="both"/>
              <w:rPr>
                <w:rFonts w:ascii="Cambria" w:hAnsi="Cambria"/>
              </w:rPr>
            </w:pPr>
            <w:r w:rsidRPr="00B95BFA">
              <w:rPr>
                <w:rFonts w:ascii="Cambria" w:hAnsi="Cambria"/>
              </w:rPr>
              <w:t xml:space="preserve">Explanation to Chapter V of CGST Rules states that for determining the value of exempt supply under section 17(3) of the CGST Act, the value of security shall be taken as 1 percent of the sale value of such security. </w:t>
            </w:r>
          </w:p>
          <w:p w:rsidR="00FE3306" w:rsidRPr="00B95BFA" w:rsidRDefault="00FE3306" w:rsidP="00256AB9">
            <w:pPr>
              <w:pStyle w:val="ListParagraph"/>
              <w:spacing w:after="0"/>
              <w:ind w:left="272"/>
              <w:jc w:val="both"/>
              <w:rPr>
                <w:rFonts w:ascii="Cambria" w:hAnsi="Cambria"/>
              </w:rPr>
            </w:pPr>
          </w:p>
        </w:tc>
        <w:tc>
          <w:tcPr>
            <w:tcW w:w="5245" w:type="dxa"/>
            <w:shd w:val="clear" w:color="auto" w:fill="auto"/>
          </w:tcPr>
          <w:p w:rsidR="00FE3306" w:rsidRPr="00837221" w:rsidRDefault="00FE3306" w:rsidP="00837221">
            <w:pPr>
              <w:spacing w:after="0"/>
              <w:jc w:val="both"/>
              <w:rPr>
                <w:rFonts w:ascii="Cambria" w:hAnsi="Cambria"/>
              </w:rPr>
            </w:pPr>
            <w:r w:rsidRPr="00837221">
              <w:rPr>
                <w:rFonts w:ascii="Cambria" w:hAnsi="Cambria"/>
              </w:rPr>
              <w:t>The Chamber recommends that the obligation of proportionate reversal of common ITC to the extent they pertain to the transaction in securities in the case of life insurance, general insurance, and health insurance business should be removed.</w:t>
            </w:r>
          </w:p>
          <w:p w:rsidR="00FE3306" w:rsidRPr="00B95BFA" w:rsidRDefault="00FE3306" w:rsidP="00256AB9">
            <w:pPr>
              <w:pStyle w:val="ListParagraph"/>
              <w:spacing w:after="0"/>
              <w:ind w:left="272"/>
              <w:jc w:val="both"/>
              <w:rPr>
                <w:rFonts w:ascii="Cambria" w:hAnsi="Cambria"/>
              </w:rPr>
            </w:pPr>
          </w:p>
        </w:tc>
      </w:tr>
      <w:tr w:rsidR="00FE3306" w:rsidRPr="00782FB0" w:rsidTr="00835F48">
        <w:trPr>
          <w:trHeight w:val="965"/>
        </w:trPr>
        <w:tc>
          <w:tcPr>
            <w:tcW w:w="562" w:type="dxa"/>
          </w:tcPr>
          <w:p w:rsidR="00FE3306" w:rsidRDefault="00256AB9"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1</w:t>
            </w:r>
            <w:r w:rsidR="00634644">
              <w:rPr>
                <w:rFonts w:ascii="Cambria" w:eastAsia="Calibri" w:hAnsi="Cambria" w:cs="Arial"/>
                <w:color w:val="000000"/>
                <w:sz w:val="22"/>
                <w:szCs w:val="22"/>
                <w:lang w:val="en-GB"/>
              </w:rPr>
              <w:t>6</w:t>
            </w:r>
            <w:r>
              <w:rPr>
                <w:rFonts w:ascii="Cambria" w:eastAsia="Calibri" w:hAnsi="Cambria" w:cs="Arial"/>
                <w:color w:val="000000"/>
                <w:sz w:val="22"/>
                <w:szCs w:val="22"/>
                <w:lang w:val="en-GB"/>
              </w:rPr>
              <w:t>.</w:t>
            </w:r>
          </w:p>
        </w:tc>
        <w:tc>
          <w:tcPr>
            <w:tcW w:w="2552" w:type="dxa"/>
            <w:shd w:val="clear" w:color="auto" w:fill="auto"/>
          </w:tcPr>
          <w:p w:rsidR="00FE3306" w:rsidRPr="00256AB9" w:rsidRDefault="00FE3306" w:rsidP="00FE3306">
            <w:pPr>
              <w:pStyle w:val="PlainText"/>
              <w:contextualSpacing/>
              <w:rPr>
                <w:rFonts w:ascii="Cambria" w:eastAsia="SimSun" w:hAnsi="Cambria" w:cs="Times New Roman"/>
                <w:b/>
                <w:bCs/>
                <w:sz w:val="22"/>
                <w:szCs w:val="22"/>
                <w:lang w:val="en-GB" w:eastAsia="zh-CN"/>
              </w:rPr>
            </w:pPr>
            <w:r w:rsidRPr="00256AB9">
              <w:rPr>
                <w:rFonts w:ascii="Cambria" w:eastAsia="SimSun" w:hAnsi="Cambria" w:cs="Times New Roman"/>
                <w:b/>
                <w:bCs/>
                <w:sz w:val="22"/>
                <w:szCs w:val="22"/>
                <w:lang w:val="en-GB" w:eastAsia="zh-CN"/>
              </w:rPr>
              <w:t>Health insurance companies be allowed to avail ITC on the cost of medicine/room rent reimbursed to its policyholders.</w:t>
            </w:r>
          </w:p>
          <w:p w:rsidR="00FE3306" w:rsidRPr="00256AB9" w:rsidRDefault="00FE3306" w:rsidP="00FE3306">
            <w:pPr>
              <w:pStyle w:val="PlainText"/>
              <w:contextualSpacing/>
              <w:rPr>
                <w:rFonts w:ascii="Cambria" w:eastAsia="SimSun" w:hAnsi="Cambria" w:cs="Times New Roman"/>
                <w:b/>
                <w:bCs/>
                <w:sz w:val="22"/>
                <w:szCs w:val="22"/>
                <w:lang w:val="en-GB" w:eastAsia="zh-CN"/>
              </w:rPr>
            </w:pPr>
          </w:p>
          <w:p w:rsidR="00FE3306" w:rsidRPr="00256AB9" w:rsidRDefault="00FE3306" w:rsidP="00FE3306">
            <w:pPr>
              <w:pStyle w:val="PlainText"/>
              <w:contextualSpacing/>
              <w:rPr>
                <w:rFonts w:ascii="Cambria" w:eastAsia="SimSun" w:hAnsi="Cambria" w:cs="Times New Roman"/>
                <w:b/>
                <w:bCs/>
                <w:sz w:val="22"/>
                <w:szCs w:val="22"/>
                <w:lang w:val="en-GB" w:eastAsia="zh-CN"/>
              </w:rPr>
            </w:pPr>
          </w:p>
          <w:p w:rsidR="00FE3306" w:rsidRPr="00256AB9" w:rsidRDefault="00FE3306" w:rsidP="00FE3306">
            <w:pPr>
              <w:pStyle w:val="PlainText"/>
              <w:rPr>
                <w:rFonts w:ascii="Cambria" w:eastAsia="SimSun" w:hAnsi="Cambria" w:cs="Times New Roman"/>
                <w:b/>
                <w:bCs/>
                <w:sz w:val="22"/>
                <w:szCs w:val="22"/>
                <w:lang w:val="en-GB" w:eastAsia="zh-CN"/>
              </w:rPr>
            </w:pPr>
          </w:p>
        </w:tc>
        <w:tc>
          <w:tcPr>
            <w:tcW w:w="6662" w:type="dxa"/>
          </w:tcPr>
          <w:p w:rsidR="00FE3306" w:rsidRPr="00B95BFA" w:rsidRDefault="00FE3306" w:rsidP="00FE3306">
            <w:pPr>
              <w:pStyle w:val="ListParagraph"/>
              <w:numPr>
                <w:ilvl w:val="0"/>
                <w:numId w:val="11"/>
              </w:numPr>
              <w:spacing w:after="0"/>
              <w:ind w:left="272" w:hanging="284"/>
              <w:jc w:val="both"/>
              <w:rPr>
                <w:rFonts w:ascii="Cambria" w:hAnsi="Cambria"/>
              </w:rPr>
            </w:pPr>
            <w:r w:rsidRPr="00B95BFA">
              <w:rPr>
                <w:rFonts w:ascii="Cambria" w:hAnsi="Cambria"/>
              </w:rPr>
              <w:lastRenderedPageBreak/>
              <w:t xml:space="preserve">Cost of medicines is a major component incurred by health insurance companies towards reimbursement of Mediclaim policies. Further, room rent over INR 5,000 per day is subject to GST from 18 July 2022. However, insurance companies cannot avail ITC of medicines and room rent charges as hospitals and </w:t>
            </w:r>
            <w:r w:rsidRPr="00B95BFA">
              <w:rPr>
                <w:rFonts w:ascii="Cambria" w:hAnsi="Cambria"/>
              </w:rPr>
              <w:lastRenderedPageBreak/>
              <w:t>pharmacists issue the invoices in the insured person's name, i.e., the patient and not the insurance company.</w:t>
            </w:r>
          </w:p>
          <w:p w:rsidR="00FE3306" w:rsidRPr="00B95BFA" w:rsidRDefault="00FE3306" w:rsidP="00FE3306">
            <w:pPr>
              <w:spacing w:after="0"/>
              <w:jc w:val="both"/>
              <w:rPr>
                <w:rFonts w:ascii="Cambria" w:hAnsi="Cambria"/>
              </w:rPr>
            </w:pPr>
          </w:p>
          <w:p w:rsidR="00FE3306" w:rsidRPr="00B95BFA" w:rsidRDefault="00FE3306" w:rsidP="00FE3306">
            <w:pPr>
              <w:pStyle w:val="ListParagraph"/>
              <w:numPr>
                <w:ilvl w:val="0"/>
                <w:numId w:val="11"/>
              </w:numPr>
              <w:spacing w:after="0"/>
              <w:ind w:left="272" w:hanging="284"/>
              <w:jc w:val="both"/>
              <w:rPr>
                <w:rFonts w:ascii="Cambria" w:hAnsi="Cambria"/>
              </w:rPr>
            </w:pPr>
            <w:r w:rsidRPr="00B95BFA">
              <w:rPr>
                <w:rFonts w:ascii="Cambria" w:hAnsi="Cambria"/>
              </w:rPr>
              <w:t>Claim towards Health Insurance policies can be done either by cashless or reimbursement model. In both cases, invoices are generated by hospitals and pharmacists in the name of the insured person/patient.</w:t>
            </w:r>
          </w:p>
          <w:p w:rsidR="00FE3306" w:rsidRPr="00B95BFA" w:rsidRDefault="00FE3306" w:rsidP="00FE3306">
            <w:pPr>
              <w:pStyle w:val="ListParagraph"/>
              <w:spacing w:after="0"/>
              <w:jc w:val="both"/>
              <w:rPr>
                <w:rFonts w:ascii="Cambria" w:hAnsi="Cambria"/>
              </w:rPr>
            </w:pPr>
          </w:p>
          <w:p w:rsidR="00FE3306" w:rsidRPr="00B95BFA" w:rsidRDefault="00FE3306" w:rsidP="00FE3306">
            <w:pPr>
              <w:pStyle w:val="ListParagraph"/>
              <w:numPr>
                <w:ilvl w:val="0"/>
                <w:numId w:val="11"/>
              </w:numPr>
              <w:spacing w:after="0"/>
              <w:ind w:left="272" w:hanging="284"/>
              <w:jc w:val="both"/>
              <w:rPr>
                <w:rFonts w:ascii="Cambria" w:hAnsi="Cambria"/>
              </w:rPr>
            </w:pPr>
            <w:r w:rsidRPr="00B95BFA">
              <w:rPr>
                <w:rFonts w:ascii="Cambria" w:hAnsi="Cambria"/>
              </w:rPr>
              <w:t>All the condition to avail ITC under Section 16 of CGST Act is fulfilled by the insurance company's policyholder, i.e., invoice is in the name of the insured person, medicine/room is received, and the insured person makes payment. Before finalizing the claim, the insurance company also ensures that invoices are in the policyholder's name and expenditure is incurred based on doctor advisory and treatment. The only exception is pharmacists and hospitals will raise B2C invoices that will not be reflected in GSTR-2B of the insurance company, thereby denying ITC claim to the health insurance company.</w:t>
            </w:r>
          </w:p>
          <w:p w:rsidR="00FE3306" w:rsidRPr="00B95BFA" w:rsidRDefault="00FE3306" w:rsidP="00FE3306">
            <w:pPr>
              <w:pStyle w:val="ListParagraph"/>
              <w:spacing w:after="0"/>
              <w:jc w:val="both"/>
              <w:rPr>
                <w:rFonts w:ascii="Cambria" w:hAnsi="Cambria"/>
              </w:rPr>
            </w:pPr>
            <w:r w:rsidRPr="00B95BFA">
              <w:rPr>
                <w:rFonts w:ascii="Cambria" w:hAnsi="Cambria"/>
              </w:rPr>
              <w:t xml:space="preserve"> </w:t>
            </w:r>
          </w:p>
          <w:p w:rsidR="00FE3306" w:rsidRPr="00B95BFA" w:rsidRDefault="00FE3306" w:rsidP="00FE3306">
            <w:pPr>
              <w:pStyle w:val="ListParagraph"/>
              <w:numPr>
                <w:ilvl w:val="0"/>
                <w:numId w:val="11"/>
              </w:numPr>
              <w:spacing w:after="0"/>
              <w:ind w:left="272" w:hanging="284"/>
              <w:jc w:val="both"/>
              <w:rPr>
                <w:rFonts w:ascii="Cambria" w:hAnsi="Cambria"/>
              </w:rPr>
            </w:pPr>
            <w:r w:rsidRPr="00B95BFA">
              <w:rPr>
                <w:rFonts w:ascii="Cambria" w:hAnsi="Cambria"/>
              </w:rPr>
              <w:t>Non-availability of ITC of GST paid to Hospitals and pharmacists is adding to the insurance company's cost. However, the same is incurred for providing output service to the policyholders.</w:t>
            </w:r>
          </w:p>
          <w:p w:rsidR="00FE3306" w:rsidRPr="00B95BFA" w:rsidRDefault="00FE3306" w:rsidP="00256AB9">
            <w:pPr>
              <w:pStyle w:val="ListParagraph"/>
              <w:spacing w:after="0"/>
              <w:ind w:left="272"/>
              <w:jc w:val="both"/>
              <w:rPr>
                <w:rFonts w:ascii="Cambria" w:hAnsi="Cambria"/>
              </w:rPr>
            </w:pPr>
          </w:p>
        </w:tc>
        <w:tc>
          <w:tcPr>
            <w:tcW w:w="5245" w:type="dxa"/>
            <w:shd w:val="clear" w:color="auto" w:fill="auto"/>
          </w:tcPr>
          <w:p w:rsidR="00FE3306" w:rsidRPr="00837221" w:rsidRDefault="00FE3306" w:rsidP="00837221">
            <w:pPr>
              <w:spacing w:after="0"/>
              <w:jc w:val="both"/>
              <w:rPr>
                <w:rFonts w:ascii="Cambria" w:hAnsi="Cambria"/>
              </w:rPr>
            </w:pPr>
            <w:r w:rsidRPr="00837221">
              <w:rPr>
                <w:rFonts w:ascii="Cambria" w:hAnsi="Cambria"/>
              </w:rPr>
              <w:lastRenderedPageBreak/>
              <w:t>The Chamber recommends Health Insurance companies be allowed to avail ITC for claims settled towards the cost of medicines and room rent charges for its policyholders by amending the condition laid down under section 16 of CGST Act.</w:t>
            </w:r>
          </w:p>
          <w:p w:rsidR="00FE3306" w:rsidRPr="00B95BFA" w:rsidRDefault="00FE3306" w:rsidP="00256AB9">
            <w:pPr>
              <w:pStyle w:val="ListParagraph"/>
              <w:spacing w:after="0"/>
              <w:ind w:left="272"/>
              <w:jc w:val="both"/>
              <w:rPr>
                <w:rFonts w:ascii="Cambria" w:hAnsi="Cambria"/>
              </w:rPr>
            </w:pPr>
          </w:p>
        </w:tc>
      </w:tr>
      <w:tr w:rsidR="008260A6" w:rsidRPr="00782FB0" w:rsidTr="00835F48">
        <w:trPr>
          <w:trHeight w:val="965"/>
        </w:trPr>
        <w:tc>
          <w:tcPr>
            <w:tcW w:w="562" w:type="dxa"/>
          </w:tcPr>
          <w:p w:rsidR="008260A6" w:rsidRDefault="00256AB9"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1</w:t>
            </w:r>
            <w:r w:rsidR="00634644">
              <w:rPr>
                <w:rFonts w:ascii="Cambria" w:eastAsia="Calibri" w:hAnsi="Cambria" w:cs="Arial"/>
                <w:color w:val="000000"/>
                <w:sz w:val="22"/>
                <w:szCs w:val="22"/>
                <w:lang w:val="en-GB"/>
              </w:rPr>
              <w:t>7</w:t>
            </w:r>
            <w:r>
              <w:rPr>
                <w:rFonts w:ascii="Cambria" w:eastAsia="Calibri" w:hAnsi="Cambria" w:cs="Arial"/>
                <w:color w:val="000000"/>
                <w:sz w:val="22"/>
                <w:szCs w:val="22"/>
                <w:lang w:val="en-GB"/>
              </w:rPr>
              <w:t>.</w:t>
            </w:r>
          </w:p>
        </w:tc>
        <w:tc>
          <w:tcPr>
            <w:tcW w:w="2552" w:type="dxa"/>
            <w:shd w:val="clear" w:color="auto" w:fill="auto"/>
          </w:tcPr>
          <w:p w:rsidR="008260A6" w:rsidRPr="00256AB9" w:rsidRDefault="008260A6" w:rsidP="008260A6">
            <w:pPr>
              <w:pStyle w:val="PlainText"/>
              <w:rPr>
                <w:rFonts w:ascii="Cambria" w:eastAsia="SimSun" w:hAnsi="Cambria" w:cs="Times New Roman"/>
                <w:b/>
                <w:bCs/>
                <w:sz w:val="22"/>
                <w:szCs w:val="22"/>
                <w:lang w:val="en-GB" w:eastAsia="zh-CN"/>
              </w:rPr>
            </w:pPr>
            <w:r w:rsidRPr="00256AB9">
              <w:rPr>
                <w:rFonts w:ascii="Cambria" w:eastAsia="SimSun" w:hAnsi="Cambria" w:cs="Times New Roman"/>
                <w:b/>
                <w:bCs/>
                <w:sz w:val="22"/>
                <w:szCs w:val="22"/>
                <w:lang w:val="en-GB" w:eastAsia="zh-CN"/>
              </w:rPr>
              <w:t>Allowing ITC of GST paid on advances for services</w:t>
            </w:r>
          </w:p>
          <w:p w:rsidR="008260A6" w:rsidRPr="00256AB9" w:rsidRDefault="008260A6" w:rsidP="008260A6">
            <w:pPr>
              <w:pStyle w:val="PlainText"/>
              <w:spacing w:line="276" w:lineRule="auto"/>
              <w:contextualSpacing/>
              <w:rPr>
                <w:rFonts w:ascii="Cambria" w:eastAsia="SimSun" w:hAnsi="Cambria" w:cs="Times New Roman"/>
                <w:b/>
                <w:bCs/>
                <w:sz w:val="22"/>
                <w:szCs w:val="22"/>
                <w:lang w:val="en-GB" w:eastAsia="zh-CN"/>
              </w:rPr>
            </w:pPr>
          </w:p>
          <w:p w:rsidR="008260A6" w:rsidRPr="00256AB9" w:rsidRDefault="008260A6" w:rsidP="008260A6">
            <w:pPr>
              <w:pStyle w:val="PlainText"/>
              <w:spacing w:line="276" w:lineRule="auto"/>
              <w:contextualSpacing/>
              <w:rPr>
                <w:rFonts w:ascii="Cambria" w:eastAsia="SimSun" w:hAnsi="Cambria" w:cs="Times New Roman"/>
                <w:b/>
                <w:bCs/>
                <w:sz w:val="22"/>
                <w:szCs w:val="22"/>
                <w:lang w:val="en-GB" w:eastAsia="zh-CN"/>
              </w:rPr>
            </w:pPr>
          </w:p>
          <w:p w:rsidR="008260A6" w:rsidRPr="00256AB9" w:rsidRDefault="008260A6" w:rsidP="008260A6">
            <w:pPr>
              <w:pStyle w:val="PlainText"/>
              <w:rPr>
                <w:rFonts w:ascii="Cambria" w:eastAsia="SimSun" w:hAnsi="Cambria" w:cs="Times New Roman"/>
                <w:b/>
                <w:bCs/>
                <w:sz w:val="22"/>
                <w:szCs w:val="22"/>
                <w:lang w:val="en-GB" w:eastAsia="zh-CN"/>
              </w:rPr>
            </w:pPr>
          </w:p>
        </w:tc>
        <w:tc>
          <w:tcPr>
            <w:tcW w:w="6662" w:type="dxa"/>
          </w:tcPr>
          <w:p w:rsidR="008260A6" w:rsidRPr="00B95BFA" w:rsidRDefault="008260A6" w:rsidP="008260A6">
            <w:pPr>
              <w:pStyle w:val="ListParagraph"/>
              <w:numPr>
                <w:ilvl w:val="0"/>
                <w:numId w:val="11"/>
              </w:numPr>
              <w:spacing w:after="0"/>
              <w:ind w:left="272" w:hanging="284"/>
              <w:jc w:val="both"/>
              <w:rPr>
                <w:rFonts w:ascii="Cambria" w:hAnsi="Cambria"/>
              </w:rPr>
            </w:pPr>
            <w:r w:rsidRPr="00B95BFA">
              <w:rPr>
                <w:rFonts w:ascii="Cambria" w:hAnsi="Cambria"/>
              </w:rPr>
              <w:t>As per section 13(2)</w:t>
            </w:r>
            <w:r>
              <w:rPr>
                <w:rFonts w:ascii="Cambria" w:hAnsi="Cambria"/>
              </w:rPr>
              <w:t xml:space="preserve"> of CGST Act</w:t>
            </w:r>
            <w:proofErr w:type="gramStart"/>
            <w:r w:rsidRPr="00B95BFA">
              <w:rPr>
                <w:rFonts w:ascii="Cambria" w:hAnsi="Cambria"/>
              </w:rPr>
              <w:t>,  the</w:t>
            </w:r>
            <w:proofErr w:type="gramEnd"/>
            <w:r w:rsidRPr="00B95BFA">
              <w:rPr>
                <w:rFonts w:ascii="Cambria" w:hAnsi="Cambria"/>
              </w:rPr>
              <w:t xml:space="preserve"> liability to pay GST for services is trigged on receipt of advances by the supplier. Further, as per explanation to section 13(2)</w:t>
            </w:r>
            <w:r>
              <w:rPr>
                <w:rFonts w:ascii="Cambria" w:hAnsi="Cambria"/>
              </w:rPr>
              <w:t xml:space="preserve"> of CGST Act</w:t>
            </w:r>
            <w:r w:rsidRPr="00B95BFA">
              <w:rPr>
                <w:rFonts w:ascii="Cambria" w:hAnsi="Cambria"/>
              </w:rPr>
              <w:t xml:space="preserve">, supply shall be deemed to have been made to the extent it is covered by the payment, i.e., advance. </w:t>
            </w:r>
          </w:p>
          <w:p w:rsidR="008260A6" w:rsidRPr="00B95BFA" w:rsidRDefault="008260A6" w:rsidP="008260A6">
            <w:pPr>
              <w:pStyle w:val="ListParagraph"/>
              <w:numPr>
                <w:ilvl w:val="0"/>
                <w:numId w:val="11"/>
              </w:numPr>
              <w:spacing w:after="0"/>
              <w:ind w:left="272" w:hanging="284"/>
              <w:jc w:val="both"/>
              <w:rPr>
                <w:rFonts w:ascii="Cambria" w:hAnsi="Cambria"/>
              </w:rPr>
            </w:pPr>
            <w:r w:rsidRPr="00B95BFA">
              <w:rPr>
                <w:rFonts w:ascii="Cambria" w:hAnsi="Cambria"/>
              </w:rPr>
              <w:lastRenderedPageBreak/>
              <w:t xml:space="preserve">However, as per section 16(2) of CGST Act, one pre-condition for claiming ITC is that the recipient of services should have received services. </w:t>
            </w:r>
          </w:p>
          <w:p w:rsidR="008260A6" w:rsidRPr="00B95BFA" w:rsidRDefault="008260A6" w:rsidP="008260A6">
            <w:pPr>
              <w:pStyle w:val="ListParagraph"/>
              <w:spacing w:after="0"/>
              <w:ind w:left="272"/>
              <w:jc w:val="both"/>
              <w:rPr>
                <w:rFonts w:ascii="Cambria" w:hAnsi="Cambria"/>
              </w:rPr>
            </w:pPr>
          </w:p>
          <w:p w:rsidR="008260A6" w:rsidRPr="006912DA" w:rsidRDefault="008260A6" w:rsidP="006912DA">
            <w:pPr>
              <w:pStyle w:val="ListParagraph"/>
              <w:numPr>
                <w:ilvl w:val="0"/>
                <w:numId w:val="11"/>
              </w:numPr>
              <w:spacing w:after="0"/>
              <w:ind w:left="272" w:hanging="284"/>
              <w:jc w:val="both"/>
              <w:rPr>
                <w:rFonts w:ascii="Cambria" w:hAnsi="Cambria"/>
              </w:rPr>
            </w:pPr>
            <w:r w:rsidRPr="00B95BFA">
              <w:rPr>
                <w:rFonts w:ascii="Cambria" w:hAnsi="Cambria"/>
              </w:rPr>
              <w:t xml:space="preserve">The said restriction read with time restriction placed on taking credit under section 16(4) of CGST Act would cause operational difficulties to capital-intensive businesses due to projects having a long gestation period comprising advance payments. There doesn't seem to be any revenue leakage if ITC is allowed to be claimed on advances for services in the hands of the recipient. </w:t>
            </w:r>
          </w:p>
        </w:tc>
        <w:tc>
          <w:tcPr>
            <w:tcW w:w="5245" w:type="dxa"/>
            <w:shd w:val="clear" w:color="auto" w:fill="auto"/>
          </w:tcPr>
          <w:p w:rsidR="008260A6" w:rsidRPr="00A7758E" w:rsidRDefault="00A7758E" w:rsidP="00A7758E">
            <w:pPr>
              <w:spacing w:after="0"/>
              <w:jc w:val="both"/>
              <w:rPr>
                <w:rFonts w:ascii="Cambria" w:hAnsi="Cambria"/>
              </w:rPr>
            </w:pPr>
            <w:r>
              <w:rPr>
                <w:rFonts w:ascii="Cambria" w:hAnsi="Cambria"/>
              </w:rPr>
              <w:lastRenderedPageBreak/>
              <w:t xml:space="preserve">The </w:t>
            </w:r>
            <w:r w:rsidR="008260A6" w:rsidRPr="00A7758E">
              <w:rPr>
                <w:rFonts w:ascii="Cambria" w:hAnsi="Cambria"/>
              </w:rPr>
              <w:t xml:space="preserve">Chamber recommends that section 16(2) of CGST Act be amended to allow service recipients to claim ITC of GST paid on advances. </w:t>
            </w:r>
          </w:p>
          <w:p w:rsidR="008260A6" w:rsidRPr="00B95BFA" w:rsidRDefault="008260A6" w:rsidP="008260A6">
            <w:pPr>
              <w:pStyle w:val="ListParagraph"/>
              <w:spacing w:after="0"/>
              <w:ind w:left="272"/>
              <w:jc w:val="both"/>
              <w:rPr>
                <w:rFonts w:ascii="Cambria" w:hAnsi="Cambria"/>
              </w:rPr>
            </w:pPr>
          </w:p>
          <w:p w:rsidR="008260A6" w:rsidRPr="00A7758E" w:rsidRDefault="008260A6" w:rsidP="00A7758E">
            <w:pPr>
              <w:spacing w:after="0"/>
              <w:jc w:val="both"/>
              <w:rPr>
                <w:rFonts w:ascii="Cambria" w:hAnsi="Cambria"/>
              </w:rPr>
            </w:pPr>
            <w:r w:rsidRPr="00A7758E">
              <w:rPr>
                <w:rFonts w:ascii="Cambria" w:hAnsi="Cambria"/>
              </w:rPr>
              <w:t xml:space="preserve">The above can be achieved through the insertion of an explanation in section 16(2)(b) of CGST Act to </w:t>
            </w:r>
            <w:r w:rsidRPr="00A7758E">
              <w:rPr>
                <w:rFonts w:ascii="Cambria" w:hAnsi="Cambria"/>
              </w:rPr>
              <w:lastRenderedPageBreak/>
              <w:t xml:space="preserve">provide that services shall be deemed to have been received to the extent it is covered by advance, similar to section 13(2) of CGST Act. </w:t>
            </w:r>
          </w:p>
          <w:p w:rsidR="008260A6" w:rsidRPr="00B95BFA" w:rsidRDefault="008260A6" w:rsidP="00256AB9">
            <w:pPr>
              <w:pStyle w:val="ListParagraph"/>
              <w:spacing w:after="0"/>
              <w:ind w:left="272"/>
              <w:jc w:val="both"/>
              <w:rPr>
                <w:rFonts w:ascii="Cambria" w:hAnsi="Cambria"/>
              </w:rPr>
            </w:pPr>
          </w:p>
        </w:tc>
      </w:tr>
      <w:tr w:rsidR="0062365B" w:rsidRPr="00782FB0" w:rsidTr="00835F48">
        <w:trPr>
          <w:trHeight w:val="965"/>
        </w:trPr>
        <w:tc>
          <w:tcPr>
            <w:tcW w:w="562" w:type="dxa"/>
          </w:tcPr>
          <w:p w:rsidR="0062365B" w:rsidRDefault="00634644"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18.</w:t>
            </w:r>
          </w:p>
        </w:tc>
        <w:tc>
          <w:tcPr>
            <w:tcW w:w="2552" w:type="dxa"/>
            <w:shd w:val="clear" w:color="auto" w:fill="auto"/>
          </w:tcPr>
          <w:p w:rsidR="0062365B" w:rsidRPr="00256AB9" w:rsidRDefault="005F053B" w:rsidP="008260A6">
            <w:pPr>
              <w:pStyle w:val="PlainText"/>
              <w:rPr>
                <w:rFonts w:ascii="Cambria" w:eastAsia="SimSun" w:hAnsi="Cambria" w:cs="Times New Roman"/>
                <w:b/>
                <w:bCs/>
                <w:sz w:val="22"/>
                <w:szCs w:val="22"/>
                <w:lang w:val="en-GB" w:eastAsia="zh-CN"/>
              </w:rPr>
            </w:pPr>
            <w:r>
              <w:rPr>
                <w:rFonts w:ascii="Cambria" w:eastAsia="SimSun" w:hAnsi="Cambria" w:cs="Times New Roman"/>
                <w:b/>
                <w:bCs/>
                <w:sz w:val="22"/>
                <w:szCs w:val="22"/>
                <w:lang w:val="en-GB" w:eastAsia="zh-CN"/>
              </w:rPr>
              <w:t>Onus on supplier to provide certificate in case of ITC mismatch</w:t>
            </w:r>
          </w:p>
        </w:tc>
        <w:tc>
          <w:tcPr>
            <w:tcW w:w="6662" w:type="dxa"/>
          </w:tcPr>
          <w:p w:rsidR="00A903CF" w:rsidRDefault="00F05B09" w:rsidP="008260A6">
            <w:pPr>
              <w:pStyle w:val="ListParagraph"/>
              <w:numPr>
                <w:ilvl w:val="0"/>
                <w:numId w:val="11"/>
              </w:numPr>
              <w:spacing w:after="0"/>
              <w:ind w:left="272" w:hanging="284"/>
              <w:jc w:val="both"/>
              <w:rPr>
                <w:rFonts w:ascii="Cambria" w:hAnsi="Cambria"/>
              </w:rPr>
            </w:pPr>
            <w:r>
              <w:rPr>
                <w:rFonts w:ascii="Cambria" w:hAnsi="Cambria"/>
              </w:rPr>
              <w:t xml:space="preserve">Circular </w:t>
            </w:r>
            <w:r w:rsidR="00E12932" w:rsidRPr="00E12932">
              <w:rPr>
                <w:rFonts w:ascii="Cambria" w:hAnsi="Cambria"/>
              </w:rPr>
              <w:t>No. 183/15/2022-GST</w:t>
            </w:r>
            <w:r w:rsidR="00E12932">
              <w:rPr>
                <w:rFonts w:ascii="Cambria" w:hAnsi="Cambria"/>
              </w:rPr>
              <w:t xml:space="preserve"> dated 27 December 2022 provided </w:t>
            </w:r>
            <w:r w:rsidR="00A903CF">
              <w:rPr>
                <w:rFonts w:ascii="Cambria" w:hAnsi="Cambria"/>
              </w:rPr>
              <w:t xml:space="preserve">manner to </w:t>
            </w:r>
            <w:r w:rsidR="00A903CF" w:rsidRPr="00A903CF">
              <w:rPr>
                <w:rFonts w:ascii="Cambria" w:hAnsi="Cambria"/>
              </w:rPr>
              <w:t>deal  with</w:t>
            </w:r>
            <w:r w:rsidR="00A903CF">
              <w:rPr>
                <w:rFonts w:ascii="Cambria" w:hAnsi="Cambria"/>
              </w:rPr>
              <w:t xml:space="preserve"> </w:t>
            </w:r>
            <w:r w:rsidR="00A903CF" w:rsidRPr="00A903CF">
              <w:rPr>
                <w:rFonts w:ascii="Cambria" w:hAnsi="Cambria"/>
              </w:rPr>
              <w:t xml:space="preserve">difference  in  ITC  availed  in </w:t>
            </w:r>
            <w:r w:rsidR="00A903CF">
              <w:rPr>
                <w:rFonts w:ascii="Cambria" w:hAnsi="Cambria"/>
              </w:rPr>
              <w:t xml:space="preserve">Form </w:t>
            </w:r>
            <w:r w:rsidR="00A903CF" w:rsidRPr="00A903CF">
              <w:rPr>
                <w:rFonts w:ascii="Cambria" w:hAnsi="Cambria"/>
              </w:rPr>
              <w:t xml:space="preserve">GSTR-3B  as  compared  to  that  detailed  in  </w:t>
            </w:r>
            <w:r w:rsidR="00A903CF">
              <w:rPr>
                <w:rFonts w:ascii="Cambria" w:hAnsi="Cambria"/>
              </w:rPr>
              <w:t xml:space="preserve">Form </w:t>
            </w:r>
            <w:r w:rsidR="00A903CF" w:rsidRPr="00A903CF">
              <w:rPr>
                <w:rFonts w:ascii="Cambria" w:hAnsi="Cambria"/>
              </w:rPr>
              <w:t>GSTR-2A  for  FY  2017-18  and 2018-19</w:t>
            </w:r>
            <w:r w:rsidR="00A903CF">
              <w:rPr>
                <w:rFonts w:ascii="Cambria" w:hAnsi="Cambria"/>
              </w:rPr>
              <w:t>.</w:t>
            </w:r>
          </w:p>
          <w:p w:rsidR="00272F15" w:rsidRDefault="00272F15" w:rsidP="00272F15">
            <w:pPr>
              <w:pStyle w:val="ListParagraph"/>
              <w:spacing w:after="0"/>
              <w:ind w:left="272"/>
              <w:jc w:val="both"/>
              <w:rPr>
                <w:rFonts w:ascii="Cambria" w:hAnsi="Cambria"/>
              </w:rPr>
            </w:pPr>
          </w:p>
          <w:p w:rsidR="00A903CF" w:rsidRDefault="00A903CF" w:rsidP="008260A6">
            <w:pPr>
              <w:pStyle w:val="ListParagraph"/>
              <w:numPr>
                <w:ilvl w:val="0"/>
                <w:numId w:val="11"/>
              </w:numPr>
              <w:spacing w:after="0"/>
              <w:ind w:left="272" w:hanging="284"/>
              <w:jc w:val="both"/>
              <w:rPr>
                <w:rFonts w:ascii="Cambria" w:hAnsi="Cambria"/>
              </w:rPr>
            </w:pPr>
            <w:r>
              <w:rPr>
                <w:rFonts w:ascii="Cambria" w:hAnsi="Cambria"/>
              </w:rPr>
              <w:t xml:space="preserve">As per the said Circular, </w:t>
            </w:r>
            <w:r w:rsidR="00095F26">
              <w:rPr>
                <w:rFonts w:ascii="Cambria" w:hAnsi="Cambria"/>
              </w:rPr>
              <w:t>i</w:t>
            </w:r>
            <w:r w:rsidR="00095F26" w:rsidRPr="00095F26">
              <w:rPr>
                <w:rFonts w:ascii="Cambria" w:hAnsi="Cambria"/>
              </w:rPr>
              <w:t xml:space="preserve">n  case,  where  </w:t>
            </w:r>
            <w:r w:rsidR="00095F26">
              <w:rPr>
                <w:rFonts w:ascii="Cambria" w:hAnsi="Cambria"/>
              </w:rPr>
              <w:t xml:space="preserve">ITC mis-match </w:t>
            </w:r>
            <w:r w:rsidR="00095F26" w:rsidRPr="00095F26">
              <w:rPr>
                <w:rFonts w:ascii="Cambria" w:hAnsi="Cambria"/>
              </w:rPr>
              <w:t xml:space="preserve">in  respect  of  a  supplier  exceeds </w:t>
            </w:r>
            <w:r w:rsidR="00095F26">
              <w:rPr>
                <w:rFonts w:ascii="Cambria" w:hAnsi="Cambria"/>
              </w:rPr>
              <w:t>INR</w:t>
            </w:r>
            <w:r w:rsidR="00095F26" w:rsidRPr="00095F26">
              <w:rPr>
                <w:rFonts w:ascii="Cambria" w:hAnsi="Cambria"/>
              </w:rPr>
              <w:t xml:space="preserve"> 5 lakh, the proper officer shall ask the </w:t>
            </w:r>
            <w:r w:rsidR="00095F26">
              <w:rPr>
                <w:rFonts w:ascii="Cambria" w:hAnsi="Cambria"/>
              </w:rPr>
              <w:t xml:space="preserve">recipient </w:t>
            </w:r>
            <w:r w:rsidR="00095F26" w:rsidRPr="00095F26">
              <w:rPr>
                <w:rFonts w:ascii="Cambria" w:hAnsi="Cambria"/>
              </w:rPr>
              <w:t>to produce a  certificate  for  the  concerned  supplier</w:t>
            </w:r>
            <w:r w:rsidR="00095F26">
              <w:rPr>
                <w:rFonts w:ascii="Cambria" w:hAnsi="Cambria"/>
              </w:rPr>
              <w:t xml:space="preserve"> </w:t>
            </w:r>
            <w:r w:rsidR="00095F26" w:rsidRPr="00095F26">
              <w:rPr>
                <w:rFonts w:ascii="Cambria" w:hAnsi="Cambria"/>
              </w:rPr>
              <w:t xml:space="preserve">from  the Chartered Accountant or the Cost Accountant,  certifying  that supplies  in  respect  of  the  said  invoices  have actually been made by the supplier and the tax on such supplies has been paid by the said supplier in his return in </w:t>
            </w:r>
            <w:r w:rsidR="00095F26">
              <w:rPr>
                <w:rFonts w:ascii="Cambria" w:hAnsi="Cambria"/>
              </w:rPr>
              <w:t xml:space="preserve">Form </w:t>
            </w:r>
            <w:r w:rsidR="00095F26" w:rsidRPr="00095F26">
              <w:rPr>
                <w:rFonts w:ascii="Cambria" w:hAnsi="Cambria"/>
              </w:rPr>
              <w:t>GSTR</w:t>
            </w:r>
            <w:r w:rsidR="00095F26">
              <w:rPr>
                <w:rFonts w:ascii="Cambria" w:hAnsi="Cambria"/>
              </w:rPr>
              <w:t>-</w:t>
            </w:r>
            <w:r w:rsidR="00095F26" w:rsidRPr="00095F26">
              <w:rPr>
                <w:rFonts w:ascii="Cambria" w:hAnsi="Cambria"/>
              </w:rPr>
              <w:t>3B.</w:t>
            </w:r>
          </w:p>
          <w:p w:rsidR="00272F15" w:rsidRPr="0041482F" w:rsidRDefault="00272F15" w:rsidP="00272F15">
            <w:pPr>
              <w:pStyle w:val="ListParagraph"/>
              <w:spacing w:after="0"/>
              <w:ind w:left="272"/>
              <w:jc w:val="both"/>
              <w:rPr>
                <w:rFonts w:ascii="Cambria" w:hAnsi="Cambria"/>
                <w:sz w:val="14"/>
                <w:szCs w:val="14"/>
              </w:rPr>
            </w:pPr>
          </w:p>
          <w:p w:rsidR="00095F26" w:rsidRDefault="00095F26" w:rsidP="008260A6">
            <w:pPr>
              <w:pStyle w:val="ListParagraph"/>
              <w:numPr>
                <w:ilvl w:val="0"/>
                <w:numId w:val="11"/>
              </w:numPr>
              <w:spacing w:after="0"/>
              <w:ind w:left="272" w:hanging="284"/>
              <w:jc w:val="both"/>
              <w:rPr>
                <w:rFonts w:ascii="Cambria" w:hAnsi="Cambria"/>
              </w:rPr>
            </w:pPr>
            <w:r>
              <w:rPr>
                <w:rFonts w:ascii="Cambria" w:hAnsi="Cambria"/>
              </w:rPr>
              <w:t xml:space="preserve">Further, </w:t>
            </w:r>
            <w:r w:rsidR="0025190D">
              <w:rPr>
                <w:rFonts w:ascii="Cambria" w:hAnsi="Cambria"/>
              </w:rPr>
              <w:t>i</w:t>
            </w:r>
            <w:r w:rsidR="0025190D" w:rsidRPr="0025190D">
              <w:rPr>
                <w:rFonts w:ascii="Cambria" w:hAnsi="Cambria"/>
              </w:rPr>
              <w:t xml:space="preserve">n cases, where </w:t>
            </w:r>
            <w:r w:rsidR="0025190D">
              <w:rPr>
                <w:rFonts w:ascii="Cambria" w:hAnsi="Cambria"/>
              </w:rPr>
              <w:t xml:space="preserve">ITC mismatch </w:t>
            </w:r>
            <w:r w:rsidR="0025190D" w:rsidRPr="0025190D">
              <w:rPr>
                <w:rFonts w:ascii="Cambria" w:hAnsi="Cambria"/>
              </w:rPr>
              <w:t xml:space="preserve">in respect of a supplier </w:t>
            </w:r>
            <w:r w:rsidR="0025190D">
              <w:rPr>
                <w:rFonts w:ascii="Cambria" w:hAnsi="Cambria"/>
              </w:rPr>
              <w:t xml:space="preserve">is up to INR </w:t>
            </w:r>
            <w:r w:rsidR="0025190D" w:rsidRPr="0025190D">
              <w:rPr>
                <w:rFonts w:ascii="Cambria" w:hAnsi="Cambria"/>
              </w:rPr>
              <w:t xml:space="preserve">5 lakh, </w:t>
            </w:r>
            <w:r w:rsidR="00272F15">
              <w:rPr>
                <w:rFonts w:ascii="Cambria" w:hAnsi="Cambria"/>
              </w:rPr>
              <w:t>self-certification by the supplier will suffice.</w:t>
            </w:r>
          </w:p>
          <w:p w:rsidR="00272F15" w:rsidRPr="0041482F" w:rsidRDefault="00272F15" w:rsidP="00272F15">
            <w:pPr>
              <w:pStyle w:val="ListParagraph"/>
              <w:spacing w:after="0"/>
              <w:ind w:left="272"/>
              <w:jc w:val="both"/>
              <w:rPr>
                <w:rFonts w:ascii="Cambria" w:hAnsi="Cambria"/>
                <w:sz w:val="14"/>
                <w:szCs w:val="14"/>
              </w:rPr>
            </w:pPr>
          </w:p>
          <w:p w:rsidR="00A76561" w:rsidRDefault="00A76561" w:rsidP="008260A6">
            <w:pPr>
              <w:pStyle w:val="ListParagraph"/>
              <w:numPr>
                <w:ilvl w:val="0"/>
                <w:numId w:val="11"/>
              </w:numPr>
              <w:spacing w:after="0"/>
              <w:ind w:left="272" w:hanging="284"/>
              <w:jc w:val="both"/>
              <w:rPr>
                <w:rFonts w:ascii="Cambria" w:hAnsi="Cambria"/>
              </w:rPr>
            </w:pPr>
            <w:r>
              <w:rPr>
                <w:rFonts w:ascii="Cambria" w:hAnsi="Cambria"/>
              </w:rPr>
              <w:t>Practically, we understand that some of the suppliers are not providing such certificates due to which ITC is being disallowed to the recipients.</w:t>
            </w:r>
          </w:p>
          <w:p w:rsidR="00F94629" w:rsidRDefault="00272F15" w:rsidP="008260A6">
            <w:pPr>
              <w:pStyle w:val="ListParagraph"/>
              <w:numPr>
                <w:ilvl w:val="0"/>
                <w:numId w:val="11"/>
              </w:numPr>
              <w:spacing w:after="0"/>
              <w:ind w:left="272" w:hanging="284"/>
              <w:jc w:val="both"/>
              <w:rPr>
                <w:rFonts w:ascii="Cambria" w:hAnsi="Cambria"/>
              </w:rPr>
            </w:pPr>
            <w:r>
              <w:rPr>
                <w:rFonts w:ascii="Cambria" w:hAnsi="Cambria"/>
              </w:rPr>
              <w:lastRenderedPageBreak/>
              <w:t xml:space="preserve">The same </w:t>
            </w:r>
            <w:r w:rsidR="00A71D09">
              <w:rPr>
                <w:rFonts w:ascii="Cambria" w:hAnsi="Cambria"/>
              </w:rPr>
              <w:t xml:space="preserve">is likely to </w:t>
            </w:r>
            <w:r w:rsidR="00F720BE">
              <w:rPr>
                <w:rFonts w:ascii="Cambria" w:hAnsi="Cambria"/>
              </w:rPr>
              <w:t xml:space="preserve">increase the </w:t>
            </w:r>
            <w:r w:rsidR="00F94629">
              <w:rPr>
                <w:rFonts w:ascii="Cambria" w:hAnsi="Cambria"/>
              </w:rPr>
              <w:t xml:space="preserve">commercial litigation </w:t>
            </w:r>
            <w:r w:rsidR="00A71D09">
              <w:rPr>
                <w:rFonts w:ascii="Cambria" w:hAnsi="Cambria"/>
              </w:rPr>
              <w:t xml:space="preserve">between the supplier and the recipient </w:t>
            </w:r>
            <w:r w:rsidR="00F720BE">
              <w:rPr>
                <w:rFonts w:ascii="Cambria" w:hAnsi="Cambria"/>
              </w:rPr>
              <w:t>since credit is denied to the recipient for supplier’s fault.</w:t>
            </w:r>
          </w:p>
          <w:p w:rsidR="00F720BE" w:rsidRPr="0041482F" w:rsidRDefault="00F720BE" w:rsidP="00F720BE">
            <w:pPr>
              <w:pStyle w:val="ListParagraph"/>
              <w:spacing w:after="0"/>
              <w:ind w:left="272"/>
              <w:jc w:val="both"/>
              <w:rPr>
                <w:rFonts w:ascii="Cambria" w:hAnsi="Cambria"/>
                <w:sz w:val="14"/>
                <w:szCs w:val="14"/>
              </w:rPr>
            </w:pPr>
          </w:p>
          <w:p w:rsidR="00AD31D9" w:rsidRPr="00A90DB5" w:rsidRDefault="00EE75DF" w:rsidP="00A90DB5">
            <w:pPr>
              <w:pStyle w:val="ListParagraph"/>
              <w:numPr>
                <w:ilvl w:val="0"/>
                <w:numId w:val="11"/>
              </w:numPr>
              <w:spacing w:after="0"/>
              <w:ind w:left="272" w:hanging="284"/>
              <w:jc w:val="both"/>
              <w:rPr>
                <w:rFonts w:ascii="Cambria" w:hAnsi="Cambria"/>
              </w:rPr>
            </w:pPr>
            <w:r>
              <w:rPr>
                <w:rFonts w:ascii="Cambria" w:hAnsi="Cambria"/>
              </w:rPr>
              <w:t>Thus, there is a need to put a mandate on the supplier to provide such certificates in order to enable the recipient to claim credit.</w:t>
            </w:r>
          </w:p>
        </w:tc>
        <w:tc>
          <w:tcPr>
            <w:tcW w:w="5245" w:type="dxa"/>
            <w:shd w:val="clear" w:color="auto" w:fill="auto"/>
          </w:tcPr>
          <w:p w:rsidR="0062365B" w:rsidRDefault="002C3A91" w:rsidP="00A7758E">
            <w:pPr>
              <w:spacing w:after="0"/>
              <w:jc w:val="both"/>
              <w:rPr>
                <w:rFonts w:ascii="Cambria" w:hAnsi="Cambria"/>
              </w:rPr>
            </w:pPr>
            <w:r>
              <w:rPr>
                <w:rFonts w:ascii="Cambria" w:hAnsi="Cambria"/>
              </w:rPr>
              <w:lastRenderedPageBreak/>
              <w:t xml:space="preserve">The Chamber recommends that </w:t>
            </w:r>
            <w:r w:rsidR="00A168DC">
              <w:rPr>
                <w:rFonts w:ascii="Cambria" w:hAnsi="Cambria"/>
              </w:rPr>
              <w:t xml:space="preserve">certifications for ITC mismatch as </w:t>
            </w:r>
            <w:r>
              <w:rPr>
                <w:rFonts w:ascii="Cambria" w:hAnsi="Cambria"/>
              </w:rPr>
              <w:t>provided in the C</w:t>
            </w:r>
            <w:r w:rsidR="009C7E08">
              <w:rPr>
                <w:rFonts w:ascii="Cambria" w:hAnsi="Cambria"/>
              </w:rPr>
              <w:t>i</w:t>
            </w:r>
            <w:r>
              <w:rPr>
                <w:rFonts w:ascii="Cambria" w:hAnsi="Cambria"/>
              </w:rPr>
              <w:t xml:space="preserve">rcular should form part of the GST law. Further, penal </w:t>
            </w:r>
            <w:r w:rsidR="009F47AB">
              <w:rPr>
                <w:rFonts w:ascii="Cambria" w:hAnsi="Cambria"/>
              </w:rPr>
              <w:t xml:space="preserve">provisions </w:t>
            </w:r>
            <w:r>
              <w:rPr>
                <w:rFonts w:ascii="Cambria" w:hAnsi="Cambria"/>
              </w:rPr>
              <w:t xml:space="preserve">should be </w:t>
            </w:r>
            <w:r w:rsidR="009A2AAD">
              <w:rPr>
                <w:rFonts w:ascii="Cambria" w:hAnsi="Cambria"/>
              </w:rPr>
              <w:t>contemplated</w:t>
            </w:r>
            <w:r w:rsidR="00D86D65">
              <w:rPr>
                <w:rFonts w:ascii="Cambria" w:hAnsi="Cambria"/>
              </w:rPr>
              <w:t xml:space="preserve"> if </w:t>
            </w:r>
            <w:r w:rsidR="009A2AAD">
              <w:rPr>
                <w:rFonts w:ascii="Cambria" w:hAnsi="Cambria"/>
              </w:rPr>
              <w:t>supplier</w:t>
            </w:r>
            <w:r w:rsidR="00D86D65">
              <w:rPr>
                <w:rFonts w:ascii="Cambria" w:hAnsi="Cambria"/>
              </w:rPr>
              <w:t xml:space="preserve"> fails to provide </w:t>
            </w:r>
            <w:r>
              <w:rPr>
                <w:rFonts w:ascii="Cambria" w:hAnsi="Cambria"/>
              </w:rPr>
              <w:t xml:space="preserve">the </w:t>
            </w:r>
            <w:r w:rsidR="00F83B34">
              <w:rPr>
                <w:rFonts w:ascii="Cambria" w:hAnsi="Cambria"/>
              </w:rPr>
              <w:t xml:space="preserve">relevant </w:t>
            </w:r>
            <w:r>
              <w:rPr>
                <w:rFonts w:ascii="Cambria" w:hAnsi="Cambria"/>
              </w:rPr>
              <w:t xml:space="preserve">certificate. </w:t>
            </w:r>
          </w:p>
        </w:tc>
      </w:tr>
      <w:tr w:rsidR="00BD2345" w:rsidRPr="00782FB0" w:rsidTr="00835F48">
        <w:trPr>
          <w:trHeight w:val="965"/>
        </w:trPr>
        <w:tc>
          <w:tcPr>
            <w:tcW w:w="562" w:type="dxa"/>
          </w:tcPr>
          <w:p w:rsidR="00BD2345" w:rsidRDefault="00BD2345"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19.</w:t>
            </w:r>
          </w:p>
        </w:tc>
        <w:tc>
          <w:tcPr>
            <w:tcW w:w="2552" w:type="dxa"/>
            <w:shd w:val="clear" w:color="auto" w:fill="auto"/>
          </w:tcPr>
          <w:p w:rsidR="00BD2345" w:rsidRDefault="005A5A39" w:rsidP="008260A6">
            <w:pPr>
              <w:pStyle w:val="PlainText"/>
              <w:rPr>
                <w:rFonts w:ascii="Cambria" w:eastAsia="SimSun" w:hAnsi="Cambria" w:cs="Times New Roman"/>
                <w:b/>
                <w:bCs/>
                <w:sz w:val="22"/>
                <w:szCs w:val="22"/>
                <w:lang w:val="en-GB" w:eastAsia="zh-CN"/>
              </w:rPr>
            </w:pPr>
            <w:r>
              <w:rPr>
                <w:rFonts w:ascii="Cambria" w:eastAsia="SimSun" w:hAnsi="Cambria" w:cs="Times New Roman"/>
                <w:b/>
                <w:bCs/>
                <w:sz w:val="22"/>
                <w:szCs w:val="22"/>
                <w:lang w:val="en-GB" w:eastAsia="zh-CN"/>
              </w:rPr>
              <w:t xml:space="preserve">Issuance of </w:t>
            </w:r>
            <w:r w:rsidR="00BD2345" w:rsidRPr="00BD2345">
              <w:rPr>
                <w:rFonts w:ascii="Cambria" w:eastAsia="SimSun" w:hAnsi="Cambria" w:cs="Times New Roman"/>
                <w:b/>
                <w:bCs/>
                <w:sz w:val="22"/>
                <w:szCs w:val="22"/>
                <w:lang w:val="en-GB" w:eastAsia="zh-CN"/>
              </w:rPr>
              <w:t>summons</w:t>
            </w:r>
          </w:p>
        </w:tc>
        <w:tc>
          <w:tcPr>
            <w:tcW w:w="6662" w:type="dxa"/>
          </w:tcPr>
          <w:p w:rsidR="003D6F6A" w:rsidRPr="003D6F6A" w:rsidRDefault="003D6F6A" w:rsidP="005B6001">
            <w:pPr>
              <w:pStyle w:val="ListParagraph"/>
              <w:numPr>
                <w:ilvl w:val="0"/>
                <w:numId w:val="11"/>
              </w:numPr>
              <w:spacing w:after="0"/>
              <w:ind w:left="272" w:hanging="284"/>
              <w:jc w:val="both"/>
              <w:rPr>
                <w:rFonts w:ascii="Cambria" w:hAnsi="Cambria"/>
              </w:rPr>
            </w:pPr>
            <w:r w:rsidRPr="003D6F6A">
              <w:rPr>
                <w:rFonts w:ascii="Cambria" w:hAnsi="Cambria"/>
              </w:rPr>
              <w:t>Section 70 of the CGST Act,</w:t>
            </w:r>
            <w:r w:rsidR="00704497">
              <w:rPr>
                <w:rFonts w:ascii="Cambria" w:hAnsi="Cambria"/>
              </w:rPr>
              <w:t xml:space="preserve"> </w:t>
            </w:r>
            <w:r w:rsidRPr="003D6F6A">
              <w:rPr>
                <w:rFonts w:ascii="Cambria" w:hAnsi="Cambria"/>
              </w:rPr>
              <w:t xml:space="preserve">2017, and Instruction No. 03/2022-23 (GST-Investigation) has laid down various guidelines for issuance of summons, however there are certain aspects which have not been dealt with in the aforesaid instructions. Some of the important issues faced by the taxpayers with regards to issuance of summons are </w:t>
            </w:r>
            <w:r w:rsidR="00B15FD9">
              <w:rPr>
                <w:rFonts w:ascii="Cambria" w:hAnsi="Cambria"/>
              </w:rPr>
              <w:t xml:space="preserve">as </w:t>
            </w:r>
            <w:r w:rsidRPr="003D6F6A">
              <w:rPr>
                <w:rFonts w:ascii="Cambria" w:hAnsi="Cambria"/>
              </w:rPr>
              <w:t>below:</w:t>
            </w:r>
          </w:p>
          <w:p w:rsidR="003D6F6A" w:rsidRPr="0041482F" w:rsidRDefault="003D6F6A" w:rsidP="00B15FD9">
            <w:pPr>
              <w:pStyle w:val="ListParagraph"/>
              <w:spacing w:after="0"/>
              <w:jc w:val="both"/>
              <w:rPr>
                <w:rFonts w:ascii="Cambria" w:hAnsi="Cambria"/>
                <w:sz w:val="14"/>
                <w:szCs w:val="14"/>
              </w:rPr>
            </w:pPr>
          </w:p>
          <w:p w:rsidR="003D6F6A" w:rsidRPr="00B15FD9" w:rsidRDefault="003D6F6A" w:rsidP="003D6F6A">
            <w:pPr>
              <w:pStyle w:val="ListParagraph"/>
              <w:numPr>
                <w:ilvl w:val="0"/>
                <w:numId w:val="11"/>
              </w:numPr>
              <w:spacing w:after="0"/>
              <w:jc w:val="both"/>
              <w:rPr>
                <w:rFonts w:ascii="Cambria" w:hAnsi="Cambria"/>
                <w:b/>
                <w:bCs/>
              </w:rPr>
            </w:pPr>
            <w:r w:rsidRPr="00B15FD9">
              <w:rPr>
                <w:rFonts w:ascii="Cambria" w:hAnsi="Cambria"/>
                <w:b/>
                <w:bCs/>
              </w:rPr>
              <w:t>Time to appear in a summon</w:t>
            </w:r>
          </w:p>
          <w:p w:rsidR="003D6F6A" w:rsidRPr="003D6F6A" w:rsidRDefault="003D6F6A" w:rsidP="00B15FD9">
            <w:pPr>
              <w:pStyle w:val="ListParagraph"/>
              <w:spacing w:after="0"/>
              <w:jc w:val="both"/>
              <w:rPr>
                <w:rFonts w:ascii="Cambria" w:hAnsi="Cambria"/>
              </w:rPr>
            </w:pPr>
            <w:r w:rsidRPr="003D6F6A">
              <w:rPr>
                <w:rFonts w:ascii="Cambria" w:hAnsi="Cambria"/>
              </w:rPr>
              <w:t xml:space="preserve">It is generally observed that summons </w:t>
            </w:r>
            <w:r w:rsidR="008C2F3B">
              <w:rPr>
                <w:rFonts w:ascii="Cambria" w:hAnsi="Cambria"/>
              </w:rPr>
              <w:t>is</w:t>
            </w:r>
            <w:r w:rsidRPr="003D6F6A">
              <w:rPr>
                <w:rFonts w:ascii="Cambria" w:hAnsi="Cambria"/>
              </w:rPr>
              <w:t xml:space="preserve"> being issued in a haphazard manner</w:t>
            </w:r>
            <w:r w:rsidR="00C1040B">
              <w:rPr>
                <w:rFonts w:ascii="Cambria" w:hAnsi="Cambria"/>
              </w:rPr>
              <w:t>. Few of the scenarios are as follows:</w:t>
            </w:r>
          </w:p>
          <w:p w:rsidR="003D6F6A" w:rsidRPr="00704497" w:rsidRDefault="003D6F6A" w:rsidP="00704497">
            <w:pPr>
              <w:pStyle w:val="ListParagraph"/>
              <w:numPr>
                <w:ilvl w:val="0"/>
                <w:numId w:val="11"/>
              </w:numPr>
              <w:spacing w:after="0"/>
              <w:ind w:left="1023"/>
              <w:jc w:val="both"/>
              <w:rPr>
                <w:rFonts w:ascii="Cambria" w:hAnsi="Cambria"/>
              </w:rPr>
            </w:pPr>
            <w:r w:rsidRPr="00704497">
              <w:rPr>
                <w:rFonts w:ascii="Cambria" w:hAnsi="Cambria"/>
              </w:rPr>
              <w:t>To appear in person within less than 24 hours</w:t>
            </w:r>
            <w:r w:rsidR="0041482F">
              <w:rPr>
                <w:rFonts w:ascii="Cambria" w:hAnsi="Cambria"/>
              </w:rPr>
              <w:t>,</w:t>
            </w:r>
          </w:p>
          <w:p w:rsidR="003D6F6A" w:rsidRPr="00704497" w:rsidRDefault="003D6F6A" w:rsidP="00704497">
            <w:pPr>
              <w:pStyle w:val="ListParagraph"/>
              <w:numPr>
                <w:ilvl w:val="0"/>
                <w:numId w:val="11"/>
              </w:numPr>
              <w:spacing w:after="0"/>
              <w:ind w:left="1023"/>
              <w:jc w:val="both"/>
              <w:rPr>
                <w:rFonts w:ascii="Cambria" w:hAnsi="Cambria"/>
              </w:rPr>
            </w:pPr>
            <w:r w:rsidRPr="00704497">
              <w:rPr>
                <w:rFonts w:ascii="Cambria" w:hAnsi="Cambria"/>
              </w:rPr>
              <w:t>To appear at non-working hours</w:t>
            </w:r>
            <w:r w:rsidR="0041482F">
              <w:rPr>
                <w:rFonts w:ascii="Cambria" w:hAnsi="Cambria"/>
              </w:rPr>
              <w:t>,</w:t>
            </w:r>
          </w:p>
          <w:p w:rsidR="003D6F6A" w:rsidRPr="00704497" w:rsidRDefault="003D6F6A" w:rsidP="00704497">
            <w:pPr>
              <w:pStyle w:val="ListParagraph"/>
              <w:numPr>
                <w:ilvl w:val="0"/>
                <w:numId w:val="11"/>
              </w:numPr>
              <w:spacing w:after="0"/>
              <w:ind w:left="1023"/>
              <w:jc w:val="both"/>
              <w:rPr>
                <w:rFonts w:ascii="Cambria" w:hAnsi="Cambria"/>
              </w:rPr>
            </w:pPr>
            <w:r w:rsidRPr="00704497">
              <w:rPr>
                <w:rFonts w:ascii="Cambria" w:hAnsi="Cambria"/>
              </w:rPr>
              <w:t>To appear over the weekends</w:t>
            </w:r>
            <w:r w:rsidR="0041482F">
              <w:rPr>
                <w:rFonts w:ascii="Cambria" w:hAnsi="Cambria"/>
              </w:rPr>
              <w:t>,</w:t>
            </w:r>
          </w:p>
          <w:p w:rsidR="003D6F6A" w:rsidRPr="00704497" w:rsidRDefault="003D6F6A" w:rsidP="00704497">
            <w:pPr>
              <w:pStyle w:val="ListParagraph"/>
              <w:numPr>
                <w:ilvl w:val="0"/>
                <w:numId w:val="11"/>
              </w:numPr>
              <w:spacing w:after="0"/>
              <w:ind w:left="1023"/>
              <w:jc w:val="both"/>
              <w:rPr>
                <w:rFonts w:ascii="Cambria" w:hAnsi="Cambria"/>
              </w:rPr>
            </w:pPr>
            <w:r w:rsidRPr="00704497">
              <w:rPr>
                <w:rFonts w:ascii="Cambria" w:hAnsi="Cambria"/>
              </w:rPr>
              <w:t>Back dated summons to appear at a time way before the</w:t>
            </w:r>
            <w:r w:rsidR="00B15FD9" w:rsidRPr="00704497">
              <w:rPr>
                <w:rFonts w:ascii="Cambria" w:hAnsi="Cambria"/>
              </w:rPr>
              <w:t xml:space="preserve"> </w:t>
            </w:r>
            <w:r w:rsidRPr="00704497">
              <w:rPr>
                <w:rFonts w:ascii="Cambria" w:hAnsi="Cambria"/>
              </w:rPr>
              <w:t>service of actual summons.</w:t>
            </w:r>
          </w:p>
          <w:p w:rsidR="00B15FD9" w:rsidRPr="00CF250D" w:rsidRDefault="00B15FD9" w:rsidP="00B15FD9">
            <w:pPr>
              <w:pStyle w:val="ListParagraph"/>
              <w:spacing w:after="0"/>
              <w:jc w:val="both"/>
              <w:rPr>
                <w:rFonts w:ascii="Cambria" w:hAnsi="Cambria"/>
                <w:sz w:val="14"/>
                <w:szCs w:val="14"/>
              </w:rPr>
            </w:pPr>
          </w:p>
          <w:p w:rsidR="001D52E7" w:rsidRDefault="003D6F6A" w:rsidP="001D52E7">
            <w:pPr>
              <w:pStyle w:val="ListParagraph"/>
              <w:spacing w:after="0"/>
              <w:jc w:val="both"/>
              <w:rPr>
                <w:rFonts w:ascii="Cambria" w:hAnsi="Cambria"/>
              </w:rPr>
            </w:pPr>
            <w:r w:rsidRPr="003D6F6A">
              <w:rPr>
                <w:rFonts w:ascii="Cambria" w:hAnsi="Cambria"/>
              </w:rPr>
              <w:t>The above hampers taxpayer</w:t>
            </w:r>
            <w:r w:rsidR="00704497">
              <w:rPr>
                <w:rFonts w:ascii="Cambria" w:hAnsi="Cambria"/>
              </w:rPr>
              <w:t>’</w:t>
            </w:r>
            <w:r w:rsidRPr="003D6F6A">
              <w:rPr>
                <w:rFonts w:ascii="Cambria" w:hAnsi="Cambria"/>
              </w:rPr>
              <w:t xml:space="preserve">s ability to appear for every summon proceedings, thus automatically making the taxpayer non-compliant of the provisions of Sections 172 and 174 of Indian Penal Code. Further, it also affects the ability of the taxpayers to be well prepared for the summons proceedings leading to ineffective summons proceedings on a large number of instances. </w:t>
            </w:r>
          </w:p>
          <w:p w:rsidR="001D52E7" w:rsidRPr="00CF250D" w:rsidRDefault="001D52E7" w:rsidP="001D52E7">
            <w:pPr>
              <w:pStyle w:val="ListParagraph"/>
              <w:spacing w:after="0"/>
              <w:jc w:val="both"/>
              <w:rPr>
                <w:rFonts w:ascii="Cambria" w:hAnsi="Cambria"/>
                <w:sz w:val="14"/>
                <w:szCs w:val="14"/>
              </w:rPr>
            </w:pPr>
          </w:p>
          <w:p w:rsidR="001D52E7" w:rsidRDefault="001D52E7" w:rsidP="001D52E7">
            <w:pPr>
              <w:pStyle w:val="ListParagraph"/>
              <w:spacing w:after="0"/>
              <w:jc w:val="both"/>
              <w:rPr>
                <w:rFonts w:ascii="Cambria" w:hAnsi="Cambria"/>
              </w:rPr>
            </w:pPr>
            <w:r w:rsidRPr="005B6001">
              <w:rPr>
                <w:rFonts w:ascii="Cambria" w:hAnsi="Cambria"/>
              </w:rPr>
              <w:lastRenderedPageBreak/>
              <w:t xml:space="preserve">Summon proceedings in GST are as per the provisions of the Code of Civil Procedure, 1908 (CPC). </w:t>
            </w:r>
          </w:p>
          <w:p w:rsidR="001D52E7" w:rsidRPr="00CF250D" w:rsidRDefault="001D52E7" w:rsidP="001D52E7">
            <w:pPr>
              <w:pStyle w:val="ListParagraph"/>
              <w:spacing w:after="0"/>
              <w:jc w:val="both"/>
              <w:rPr>
                <w:rFonts w:ascii="Cambria" w:hAnsi="Cambria"/>
                <w:sz w:val="14"/>
                <w:szCs w:val="14"/>
              </w:rPr>
            </w:pPr>
          </w:p>
          <w:p w:rsidR="001D52E7" w:rsidRPr="003D6F6A" w:rsidRDefault="001D52E7" w:rsidP="001D52E7">
            <w:pPr>
              <w:pStyle w:val="ListParagraph"/>
              <w:spacing w:after="0"/>
              <w:jc w:val="both"/>
              <w:rPr>
                <w:rFonts w:ascii="Cambria" w:hAnsi="Cambria"/>
              </w:rPr>
            </w:pPr>
            <w:r w:rsidRPr="005B6001">
              <w:rPr>
                <w:rFonts w:ascii="Cambria" w:hAnsi="Cambria"/>
              </w:rPr>
              <w:t>In CPC</w:t>
            </w:r>
            <w:r>
              <w:rPr>
                <w:rFonts w:ascii="Cambria" w:hAnsi="Cambria"/>
              </w:rPr>
              <w:t>,</w:t>
            </w:r>
            <w:r w:rsidRPr="005B6001">
              <w:rPr>
                <w:rFonts w:ascii="Cambria" w:hAnsi="Cambria"/>
              </w:rPr>
              <w:t xml:space="preserve"> </w:t>
            </w:r>
            <w:r>
              <w:rPr>
                <w:rFonts w:ascii="Cambria" w:hAnsi="Cambria"/>
              </w:rPr>
              <w:t>a</w:t>
            </w:r>
            <w:r w:rsidRPr="005B6001">
              <w:rPr>
                <w:rFonts w:ascii="Cambria" w:hAnsi="Cambria"/>
              </w:rPr>
              <w:t xml:space="preserve">s per Rule 1 of Order V, whenever a lawsuit is instituted by a plaintiff, </w:t>
            </w:r>
            <w:r w:rsidR="00CF250D">
              <w:rPr>
                <w:rFonts w:ascii="Cambria" w:hAnsi="Cambria"/>
              </w:rPr>
              <w:t xml:space="preserve">the </w:t>
            </w:r>
            <w:r w:rsidRPr="005B6001">
              <w:rPr>
                <w:rFonts w:ascii="Cambria" w:hAnsi="Cambria"/>
              </w:rPr>
              <w:t>defendant has to file a written statement within 30 days of issuance of the summons to him.</w:t>
            </w:r>
          </w:p>
          <w:p w:rsidR="003D6F6A" w:rsidRPr="00D747F5" w:rsidRDefault="003D6F6A" w:rsidP="00B15FD9">
            <w:pPr>
              <w:pStyle w:val="ListParagraph"/>
              <w:spacing w:after="0"/>
              <w:jc w:val="both"/>
              <w:rPr>
                <w:rFonts w:ascii="Cambria" w:hAnsi="Cambria"/>
                <w:sz w:val="14"/>
                <w:szCs w:val="14"/>
              </w:rPr>
            </w:pPr>
            <w:r w:rsidRPr="003D6F6A">
              <w:rPr>
                <w:rFonts w:ascii="Cambria" w:hAnsi="Cambria"/>
              </w:rPr>
              <w:t xml:space="preserve"> </w:t>
            </w:r>
          </w:p>
          <w:p w:rsidR="003D6F6A" w:rsidRPr="00B15FD9" w:rsidRDefault="003D6F6A" w:rsidP="003D6F6A">
            <w:pPr>
              <w:pStyle w:val="ListParagraph"/>
              <w:numPr>
                <w:ilvl w:val="0"/>
                <w:numId w:val="11"/>
              </w:numPr>
              <w:spacing w:after="0"/>
              <w:jc w:val="both"/>
              <w:rPr>
                <w:rFonts w:ascii="Cambria" w:hAnsi="Cambria"/>
                <w:b/>
                <w:bCs/>
              </w:rPr>
            </w:pPr>
            <w:r w:rsidRPr="00B15FD9">
              <w:rPr>
                <w:rFonts w:ascii="Cambria" w:hAnsi="Cambria"/>
                <w:b/>
                <w:bCs/>
              </w:rPr>
              <w:t xml:space="preserve">Attendance in a summon </w:t>
            </w:r>
          </w:p>
          <w:p w:rsidR="00704497" w:rsidRDefault="003D6F6A" w:rsidP="00704497">
            <w:pPr>
              <w:pStyle w:val="ListParagraph"/>
              <w:spacing w:after="0"/>
              <w:jc w:val="both"/>
              <w:rPr>
                <w:rFonts w:ascii="Cambria" w:hAnsi="Cambria"/>
              </w:rPr>
            </w:pPr>
            <w:r w:rsidRPr="003D6F6A">
              <w:rPr>
                <w:rFonts w:ascii="Cambria" w:hAnsi="Cambria"/>
              </w:rPr>
              <w:t>The officers issue summons requiring the person summoned to attend personally on every occasion, thereby not allowing appearance through authorized representative. The officers do not allow attendance or even presence of legal representative in a summon proceedings.</w:t>
            </w:r>
          </w:p>
          <w:p w:rsidR="00704497" w:rsidRPr="00D747F5" w:rsidRDefault="00704497" w:rsidP="00704497">
            <w:pPr>
              <w:pStyle w:val="ListParagraph"/>
              <w:spacing w:after="0"/>
              <w:jc w:val="both"/>
              <w:rPr>
                <w:rFonts w:ascii="Cambria" w:hAnsi="Cambria"/>
                <w:sz w:val="14"/>
                <w:szCs w:val="14"/>
              </w:rPr>
            </w:pPr>
          </w:p>
          <w:p w:rsidR="00704497" w:rsidRPr="005B6001" w:rsidRDefault="00704497" w:rsidP="00704497">
            <w:pPr>
              <w:pStyle w:val="ListParagraph"/>
              <w:spacing w:after="0"/>
              <w:jc w:val="both"/>
              <w:rPr>
                <w:rFonts w:ascii="Cambria" w:hAnsi="Cambria"/>
              </w:rPr>
            </w:pPr>
            <w:r w:rsidRPr="005B6001">
              <w:rPr>
                <w:rFonts w:ascii="Cambria" w:hAnsi="Cambria"/>
              </w:rPr>
              <w:t>As per Rule 1 of Order III of CPC, any appearance, application or act in or to any Court, may, except where otherwise expressly provided by any law for the time being in force, be made or done by the party in person, or by his recognized agent, or by a pleader appearing, applying or acting, as the case may be, on his behalf.</w:t>
            </w:r>
          </w:p>
          <w:p w:rsidR="00704497" w:rsidRPr="00CB0C55" w:rsidRDefault="00704497" w:rsidP="00B15FD9">
            <w:pPr>
              <w:pStyle w:val="ListParagraph"/>
              <w:spacing w:after="0"/>
              <w:jc w:val="both"/>
              <w:rPr>
                <w:rFonts w:ascii="Cambria" w:hAnsi="Cambria"/>
                <w:sz w:val="14"/>
                <w:szCs w:val="14"/>
              </w:rPr>
            </w:pPr>
          </w:p>
        </w:tc>
        <w:tc>
          <w:tcPr>
            <w:tcW w:w="5245" w:type="dxa"/>
            <w:shd w:val="clear" w:color="auto" w:fill="auto"/>
          </w:tcPr>
          <w:p w:rsidR="00704497" w:rsidRDefault="00704497" w:rsidP="005B6001">
            <w:pPr>
              <w:spacing w:after="0"/>
              <w:jc w:val="both"/>
              <w:rPr>
                <w:rFonts w:ascii="Cambria" w:hAnsi="Cambria"/>
              </w:rPr>
            </w:pPr>
            <w:r>
              <w:rPr>
                <w:rFonts w:ascii="Cambria" w:hAnsi="Cambria"/>
              </w:rPr>
              <w:lastRenderedPageBreak/>
              <w:t>The Chamber recommends that:</w:t>
            </w:r>
          </w:p>
          <w:p w:rsidR="005B6001" w:rsidRPr="005B6001" w:rsidRDefault="002104B2" w:rsidP="00B03C16">
            <w:pPr>
              <w:pStyle w:val="ListParagraph"/>
              <w:numPr>
                <w:ilvl w:val="0"/>
                <w:numId w:val="11"/>
              </w:numPr>
              <w:spacing w:after="0"/>
              <w:ind w:left="272" w:hanging="284"/>
              <w:jc w:val="both"/>
              <w:rPr>
                <w:rFonts w:ascii="Cambria" w:hAnsi="Cambria"/>
              </w:rPr>
            </w:pPr>
            <w:r>
              <w:rPr>
                <w:rFonts w:ascii="Cambria" w:hAnsi="Cambria"/>
              </w:rPr>
              <w:t xml:space="preserve">The timelines </w:t>
            </w:r>
            <w:r w:rsidR="005B6001" w:rsidRPr="005B6001">
              <w:rPr>
                <w:rFonts w:ascii="Cambria" w:hAnsi="Cambria"/>
              </w:rPr>
              <w:t xml:space="preserve">must be set out to appear for summons </w:t>
            </w:r>
            <w:r w:rsidRPr="005B6001">
              <w:rPr>
                <w:rFonts w:ascii="Cambria" w:hAnsi="Cambria"/>
              </w:rPr>
              <w:t xml:space="preserve">under the GST laws </w:t>
            </w:r>
            <w:r w:rsidR="005B6001" w:rsidRPr="005B6001">
              <w:rPr>
                <w:rFonts w:ascii="Cambria" w:hAnsi="Cambria"/>
              </w:rPr>
              <w:t>which must be in line with CPC</w:t>
            </w:r>
            <w:r w:rsidR="000B3740">
              <w:rPr>
                <w:rFonts w:ascii="Cambria" w:hAnsi="Cambria"/>
              </w:rPr>
              <w:t>,</w:t>
            </w:r>
            <w:r w:rsidR="005B6001" w:rsidRPr="005B6001">
              <w:rPr>
                <w:rFonts w:ascii="Cambria" w:hAnsi="Cambria"/>
              </w:rPr>
              <w:t xml:space="preserve"> in order to enable the taxpayer to prepare for the summons proceedings.</w:t>
            </w:r>
          </w:p>
          <w:p w:rsidR="005B6001" w:rsidRPr="005B6001" w:rsidRDefault="002104B2" w:rsidP="00B03C16">
            <w:pPr>
              <w:pStyle w:val="ListParagraph"/>
              <w:numPr>
                <w:ilvl w:val="0"/>
                <w:numId w:val="11"/>
              </w:numPr>
              <w:spacing w:after="0"/>
              <w:ind w:left="272" w:hanging="284"/>
              <w:jc w:val="both"/>
              <w:rPr>
                <w:rFonts w:ascii="Cambria" w:hAnsi="Cambria"/>
              </w:rPr>
            </w:pPr>
            <w:r>
              <w:rPr>
                <w:rFonts w:ascii="Cambria" w:hAnsi="Cambria"/>
              </w:rPr>
              <w:t>N</w:t>
            </w:r>
            <w:r w:rsidR="005B6001" w:rsidRPr="005B6001">
              <w:rPr>
                <w:rFonts w:ascii="Cambria" w:hAnsi="Cambria"/>
              </w:rPr>
              <w:t>o summon should be issued to appear on a public holidays or Sundays otherwise in an exceptional situation.</w:t>
            </w:r>
          </w:p>
          <w:p w:rsidR="005B6001" w:rsidRDefault="002104B2" w:rsidP="00B03C16">
            <w:pPr>
              <w:pStyle w:val="ListParagraph"/>
              <w:numPr>
                <w:ilvl w:val="0"/>
                <w:numId w:val="11"/>
              </w:numPr>
              <w:spacing w:after="0"/>
              <w:ind w:left="272" w:hanging="284"/>
              <w:jc w:val="both"/>
              <w:rPr>
                <w:rFonts w:ascii="Cambria" w:hAnsi="Cambria"/>
              </w:rPr>
            </w:pPr>
            <w:r>
              <w:rPr>
                <w:rFonts w:ascii="Cambria" w:hAnsi="Cambria"/>
              </w:rPr>
              <w:t>T</w:t>
            </w:r>
            <w:r w:rsidR="005B6001" w:rsidRPr="005B6001">
              <w:rPr>
                <w:rFonts w:ascii="Cambria" w:hAnsi="Cambria"/>
              </w:rPr>
              <w:t xml:space="preserve">axpayer </w:t>
            </w:r>
            <w:r>
              <w:rPr>
                <w:rFonts w:ascii="Cambria" w:hAnsi="Cambria"/>
              </w:rPr>
              <w:t xml:space="preserve">should not </w:t>
            </w:r>
            <w:r w:rsidR="005B6001" w:rsidRPr="005B6001">
              <w:rPr>
                <w:rFonts w:ascii="Cambria" w:hAnsi="Cambria"/>
              </w:rPr>
              <w:t xml:space="preserve">be called upon to stay for indefinite period during a summon proceeding. The officers should ensure that summons proceedings </w:t>
            </w:r>
            <w:r w:rsidR="001413E0">
              <w:rPr>
                <w:rFonts w:ascii="Cambria" w:hAnsi="Cambria"/>
              </w:rPr>
              <w:t xml:space="preserve">begin </w:t>
            </w:r>
            <w:r w:rsidR="005B6001" w:rsidRPr="005B6001">
              <w:rPr>
                <w:rFonts w:ascii="Cambria" w:hAnsi="Cambria"/>
              </w:rPr>
              <w:t xml:space="preserve">at the time mentioned in the </w:t>
            </w:r>
            <w:r w:rsidR="00195B8C">
              <w:rPr>
                <w:rFonts w:ascii="Cambria" w:hAnsi="Cambria"/>
              </w:rPr>
              <w:t>s</w:t>
            </w:r>
            <w:r w:rsidR="005B6001" w:rsidRPr="005B6001">
              <w:rPr>
                <w:rFonts w:ascii="Cambria" w:hAnsi="Cambria"/>
              </w:rPr>
              <w:t xml:space="preserve">ummons and </w:t>
            </w:r>
            <w:r w:rsidR="001413E0">
              <w:rPr>
                <w:rFonts w:ascii="Cambria" w:hAnsi="Cambria"/>
              </w:rPr>
              <w:t xml:space="preserve">the </w:t>
            </w:r>
            <w:r w:rsidR="005B6001" w:rsidRPr="005B6001">
              <w:rPr>
                <w:rFonts w:ascii="Cambria" w:hAnsi="Cambria"/>
              </w:rPr>
              <w:t>proceedings are being conducted during the normal business hours of a working day.</w:t>
            </w:r>
          </w:p>
          <w:p w:rsidR="00D505DD" w:rsidRPr="00D505DD" w:rsidRDefault="00D505DD" w:rsidP="00D505DD">
            <w:pPr>
              <w:pStyle w:val="ListParagraph"/>
              <w:spacing w:after="0"/>
              <w:ind w:left="272"/>
              <w:jc w:val="both"/>
              <w:rPr>
                <w:rFonts w:ascii="Cambria" w:hAnsi="Cambria"/>
                <w:sz w:val="14"/>
                <w:szCs w:val="14"/>
              </w:rPr>
            </w:pPr>
          </w:p>
          <w:p w:rsidR="00BD2345" w:rsidRDefault="00195B8C" w:rsidP="00B03C16">
            <w:pPr>
              <w:pStyle w:val="ListParagraph"/>
              <w:numPr>
                <w:ilvl w:val="0"/>
                <w:numId w:val="11"/>
              </w:numPr>
              <w:spacing w:after="0"/>
              <w:ind w:left="272" w:hanging="284"/>
              <w:jc w:val="both"/>
              <w:rPr>
                <w:rFonts w:ascii="Cambria" w:hAnsi="Cambria"/>
              </w:rPr>
            </w:pPr>
            <w:r>
              <w:rPr>
                <w:rFonts w:ascii="Cambria" w:hAnsi="Cambria"/>
              </w:rPr>
              <w:t>I</w:t>
            </w:r>
            <w:r w:rsidR="005B6001" w:rsidRPr="005B6001">
              <w:rPr>
                <w:rFonts w:ascii="Cambria" w:hAnsi="Cambria"/>
              </w:rPr>
              <w:t xml:space="preserve">n order to be in consonance with the CPC, </w:t>
            </w:r>
            <w:r>
              <w:rPr>
                <w:rFonts w:ascii="Cambria" w:hAnsi="Cambria"/>
              </w:rPr>
              <w:t xml:space="preserve">rules should be </w:t>
            </w:r>
            <w:r w:rsidR="005B6001" w:rsidRPr="005B6001">
              <w:rPr>
                <w:rFonts w:ascii="Cambria" w:hAnsi="Cambria"/>
              </w:rPr>
              <w:t>incorporate</w:t>
            </w:r>
            <w:r>
              <w:rPr>
                <w:rFonts w:ascii="Cambria" w:hAnsi="Cambria"/>
              </w:rPr>
              <w:t>d</w:t>
            </w:r>
            <w:r w:rsidR="005B6001" w:rsidRPr="005B6001">
              <w:rPr>
                <w:rFonts w:ascii="Cambria" w:hAnsi="Cambria"/>
              </w:rPr>
              <w:t xml:space="preserve"> </w:t>
            </w:r>
            <w:r w:rsidR="001413E0">
              <w:rPr>
                <w:rFonts w:ascii="Cambria" w:hAnsi="Cambria"/>
              </w:rPr>
              <w:t xml:space="preserve">under GST Rules </w:t>
            </w:r>
            <w:r w:rsidR="005B6001" w:rsidRPr="005B6001">
              <w:rPr>
                <w:rFonts w:ascii="Cambria" w:hAnsi="Cambria"/>
              </w:rPr>
              <w:t>to allow appearance in a summon proceedings through an authorised representative i.e., lawyer/</w:t>
            </w:r>
            <w:r w:rsidR="001413E0">
              <w:rPr>
                <w:rFonts w:ascii="Cambria" w:hAnsi="Cambria"/>
              </w:rPr>
              <w:t xml:space="preserve"> </w:t>
            </w:r>
            <w:r w:rsidR="005B6001" w:rsidRPr="005B6001">
              <w:rPr>
                <w:rFonts w:ascii="Cambria" w:hAnsi="Cambria"/>
              </w:rPr>
              <w:t>chartered accountant/</w:t>
            </w:r>
            <w:r w:rsidR="001413E0">
              <w:rPr>
                <w:rFonts w:ascii="Cambria" w:hAnsi="Cambria"/>
              </w:rPr>
              <w:t xml:space="preserve"> </w:t>
            </w:r>
            <w:r w:rsidR="005B6001" w:rsidRPr="005B6001">
              <w:rPr>
                <w:rFonts w:ascii="Cambria" w:hAnsi="Cambria"/>
              </w:rPr>
              <w:t>any company personnel etc.</w:t>
            </w:r>
          </w:p>
        </w:tc>
      </w:tr>
      <w:tr w:rsidR="005A5A39" w:rsidRPr="00782FB0" w:rsidTr="00835F48">
        <w:trPr>
          <w:trHeight w:val="965"/>
        </w:trPr>
        <w:tc>
          <w:tcPr>
            <w:tcW w:w="562" w:type="dxa"/>
          </w:tcPr>
          <w:p w:rsidR="005A5A39" w:rsidRDefault="005A5A39"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20.</w:t>
            </w:r>
          </w:p>
        </w:tc>
        <w:tc>
          <w:tcPr>
            <w:tcW w:w="2552" w:type="dxa"/>
            <w:shd w:val="clear" w:color="auto" w:fill="auto"/>
          </w:tcPr>
          <w:p w:rsidR="005A5A39" w:rsidRPr="00BD2345" w:rsidRDefault="005A5A39" w:rsidP="008260A6">
            <w:pPr>
              <w:pStyle w:val="PlainText"/>
              <w:rPr>
                <w:rFonts w:ascii="Cambria" w:eastAsia="SimSun" w:hAnsi="Cambria" w:cs="Times New Roman"/>
                <w:b/>
                <w:bCs/>
                <w:sz w:val="22"/>
                <w:szCs w:val="22"/>
                <w:lang w:val="en-GB" w:eastAsia="zh-CN"/>
              </w:rPr>
            </w:pPr>
            <w:r w:rsidRPr="005A5A39">
              <w:rPr>
                <w:rFonts w:ascii="Cambria" w:eastAsia="SimSun" w:hAnsi="Cambria" w:cs="Times New Roman"/>
                <w:b/>
                <w:bCs/>
                <w:sz w:val="22"/>
                <w:szCs w:val="22"/>
                <w:lang w:val="en-GB" w:eastAsia="zh-CN"/>
              </w:rPr>
              <w:t>Revocation of a statement made during a summon proceedings</w:t>
            </w:r>
          </w:p>
        </w:tc>
        <w:tc>
          <w:tcPr>
            <w:tcW w:w="6662" w:type="dxa"/>
          </w:tcPr>
          <w:p w:rsidR="005A5A39" w:rsidRPr="003D6F6A" w:rsidRDefault="005A5A39" w:rsidP="005B6001">
            <w:pPr>
              <w:pStyle w:val="ListParagraph"/>
              <w:numPr>
                <w:ilvl w:val="0"/>
                <w:numId w:val="11"/>
              </w:numPr>
              <w:spacing w:after="0"/>
              <w:ind w:left="272" w:hanging="284"/>
              <w:jc w:val="both"/>
              <w:rPr>
                <w:rFonts w:ascii="Cambria" w:hAnsi="Cambria"/>
              </w:rPr>
            </w:pPr>
            <w:r w:rsidRPr="005A5A39">
              <w:rPr>
                <w:rFonts w:ascii="Cambria" w:hAnsi="Cambria"/>
              </w:rPr>
              <w:t xml:space="preserve">In several instances, during the summon </w:t>
            </w:r>
            <w:proofErr w:type="gramStart"/>
            <w:r w:rsidRPr="005A5A39">
              <w:rPr>
                <w:rFonts w:ascii="Cambria" w:hAnsi="Cambria"/>
              </w:rPr>
              <w:t>proceedings,</w:t>
            </w:r>
            <w:proofErr w:type="gramEnd"/>
            <w:r w:rsidRPr="005A5A39">
              <w:rPr>
                <w:rFonts w:ascii="Cambria" w:hAnsi="Cambria"/>
              </w:rPr>
              <w:t xml:space="preserve"> statements of taxpayer </w:t>
            </w:r>
            <w:r w:rsidR="00F16622">
              <w:rPr>
                <w:rFonts w:ascii="Cambria" w:hAnsi="Cambria"/>
              </w:rPr>
              <w:t>are</w:t>
            </w:r>
            <w:r w:rsidRPr="005A5A39">
              <w:rPr>
                <w:rFonts w:ascii="Cambria" w:hAnsi="Cambria"/>
              </w:rPr>
              <w:t xml:space="preserve"> being recorded by using threat, coercion or force. However, there is no provisions under the GST law to revoke the statements being recorded under undue influence at a later stage.</w:t>
            </w:r>
          </w:p>
        </w:tc>
        <w:tc>
          <w:tcPr>
            <w:tcW w:w="5245" w:type="dxa"/>
            <w:shd w:val="clear" w:color="auto" w:fill="auto"/>
          </w:tcPr>
          <w:p w:rsidR="003C6E0C" w:rsidRPr="003C6E0C" w:rsidRDefault="003C6E0C" w:rsidP="003C6E0C">
            <w:pPr>
              <w:spacing w:after="0"/>
              <w:jc w:val="both"/>
              <w:rPr>
                <w:rFonts w:ascii="Cambria" w:hAnsi="Cambria"/>
              </w:rPr>
            </w:pPr>
            <w:r>
              <w:rPr>
                <w:rFonts w:ascii="Cambria" w:hAnsi="Cambria"/>
              </w:rPr>
              <w:t xml:space="preserve">The Chamber </w:t>
            </w:r>
            <w:r w:rsidRPr="003C6E0C">
              <w:rPr>
                <w:rFonts w:ascii="Cambria" w:hAnsi="Cambria"/>
              </w:rPr>
              <w:t>recommend</w:t>
            </w:r>
            <w:r>
              <w:rPr>
                <w:rFonts w:ascii="Cambria" w:hAnsi="Cambria"/>
              </w:rPr>
              <w:t>s</w:t>
            </w:r>
            <w:r w:rsidRPr="003C6E0C">
              <w:rPr>
                <w:rFonts w:ascii="Cambria" w:hAnsi="Cambria"/>
              </w:rPr>
              <w:t xml:space="preserve"> </w:t>
            </w:r>
            <w:proofErr w:type="gramStart"/>
            <w:r w:rsidRPr="003C6E0C">
              <w:rPr>
                <w:rFonts w:ascii="Cambria" w:hAnsi="Cambria"/>
              </w:rPr>
              <w:t>to constitute</w:t>
            </w:r>
            <w:proofErr w:type="gramEnd"/>
            <w:r w:rsidRPr="003C6E0C">
              <w:rPr>
                <w:rFonts w:ascii="Cambria" w:hAnsi="Cambria"/>
              </w:rPr>
              <w:t xml:space="preserve"> </w:t>
            </w:r>
            <w:r>
              <w:rPr>
                <w:rFonts w:ascii="Cambria" w:hAnsi="Cambria"/>
              </w:rPr>
              <w:t>a</w:t>
            </w:r>
            <w:r w:rsidRPr="003C6E0C">
              <w:rPr>
                <w:rFonts w:ascii="Cambria" w:hAnsi="Cambria"/>
              </w:rPr>
              <w:t>uthority under the GST law where a taxpayer can file an application for revocation of a statement recorded by use of threat, coercion or force.</w:t>
            </w:r>
          </w:p>
          <w:p w:rsidR="003C6E0C" w:rsidRPr="009E36E5" w:rsidRDefault="003C6E0C" w:rsidP="003C6E0C">
            <w:pPr>
              <w:spacing w:after="0"/>
              <w:jc w:val="both"/>
              <w:rPr>
                <w:rFonts w:ascii="Cambria" w:hAnsi="Cambria"/>
                <w:sz w:val="14"/>
                <w:szCs w:val="14"/>
              </w:rPr>
            </w:pPr>
            <w:r w:rsidRPr="003C6E0C">
              <w:rPr>
                <w:rFonts w:ascii="Cambria" w:hAnsi="Cambria"/>
              </w:rPr>
              <w:t xml:space="preserve"> </w:t>
            </w:r>
          </w:p>
          <w:p w:rsidR="005A5A39" w:rsidRDefault="003C6E0C" w:rsidP="003C6E0C">
            <w:pPr>
              <w:spacing w:after="0"/>
              <w:jc w:val="both"/>
              <w:rPr>
                <w:rFonts w:ascii="Cambria" w:hAnsi="Cambria"/>
              </w:rPr>
            </w:pPr>
            <w:r w:rsidRPr="003C6E0C">
              <w:rPr>
                <w:rFonts w:ascii="Cambria" w:hAnsi="Cambria"/>
              </w:rPr>
              <w:t>Further, rules and procedures may be set out prescribing the manner in which the taxpayer can revoke their statement recorded during the summons proceedings by use of threat, coercion or force.</w:t>
            </w:r>
          </w:p>
        </w:tc>
      </w:tr>
    </w:tbl>
    <w:p w:rsidR="002A4E7A" w:rsidRDefault="00E44C7B" w:rsidP="007A15A7">
      <w:pPr>
        <w:pStyle w:val="ListParagraph"/>
        <w:numPr>
          <w:ilvl w:val="0"/>
          <w:numId w:val="2"/>
        </w:numPr>
        <w:pBdr>
          <w:bottom w:val="single" w:sz="4" w:space="1" w:color="auto"/>
        </w:pBdr>
        <w:shd w:val="clear" w:color="auto" w:fill="D9D9D9" w:themeFill="background1" w:themeFillShade="D9"/>
        <w:spacing w:afterLines="120" w:line="360" w:lineRule="auto"/>
        <w:ind w:left="426"/>
        <w:jc w:val="both"/>
        <w:rPr>
          <w:rFonts w:ascii="Cambria" w:hAnsi="Cambria" w:cs="Arial"/>
          <w:b/>
          <w:color w:val="000000"/>
          <w:lang w:val="en-US"/>
        </w:rPr>
      </w:pPr>
      <w:r>
        <w:rPr>
          <w:rFonts w:ascii="Cambria" w:hAnsi="Cambria" w:cs="Arial"/>
          <w:b/>
          <w:color w:val="000000"/>
          <w:lang w:val="en-US"/>
        </w:rPr>
        <w:lastRenderedPageBreak/>
        <w:t xml:space="preserve">GST - SUGGESTIONS ON POLICY MEASURES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6662"/>
        <w:gridCol w:w="5245"/>
      </w:tblGrid>
      <w:tr w:rsidR="008E20DC" w:rsidRPr="00475852" w:rsidTr="005B5461">
        <w:trPr>
          <w:trHeight w:val="360"/>
          <w:tblHeader/>
        </w:trPr>
        <w:tc>
          <w:tcPr>
            <w:tcW w:w="567" w:type="dxa"/>
            <w:shd w:val="clear" w:color="auto" w:fill="D9D9D9" w:themeFill="background1" w:themeFillShade="D9"/>
            <w:vAlign w:val="center"/>
          </w:tcPr>
          <w:p w:rsidR="008E20DC" w:rsidRPr="00475852" w:rsidRDefault="008E20DC" w:rsidP="00A8015A">
            <w:pPr>
              <w:spacing w:after="0" w:line="240" w:lineRule="auto"/>
              <w:jc w:val="center"/>
              <w:rPr>
                <w:rFonts w:ascii="Cambria" w:eastAsia="Calibri" w:hAnsi="Cambria" w:cs="Arial"/>
                <w:color w:val="000000"/>
                <w:lang w:val="en-GB"/>
              </w:rPr>
            </w:pPr>
            <w:r w:rsidRPr="006423FA">
              <w:rPr>
                <w:rFonts w:ascii="Cambria" w:hAnsi="Cambria" w:cs="Arial"/>
                <w:b/>
                <w:color w:val="000000"/>
              </w:rPr>
              <w:t>Sl.</w:t>
            </w:r>
          </w:p>
        </w:tc>
        <w:tc>
          <w:tcPr>
            <w:tcW w:w="2552" w:type="dxa"/>
            <w:shd w:val="clear" w:color="auto" w:fill="D9D9D9" w:themeFill="background1" w:themeFillShade="D9"/>
            <w:vAlign w:val="center"/>
          </w:tcPr>
          <w:p w:rsidR="008E20DC" w:rsidRPr="00475852" w:rsidRDefault="008E20DC" w:rsidP="005B5461">
            <w:pPr>
              <w:spacing w:after="0" w:line="240" w:lineRule="auto"/>
              <w:jc w:val="center"/>
              <w:rPr>
                <w:rFonts w:ascii="Cambria" w:hAnsi="Cambria" w:cs="Arial"/>
                <w:color w:val="000000"/>
              </w:rPr>
            </w:pPr>
            <w:r>
              <w:rPr>
                <w:rFonts w:ascii="Cambria" w:hAnsi="Cambria" w:cs="Arial"/>
                <w:b/>
                <w:color w:val="000000"/>
              </w:rPr>
              <w:t>Subject</w:t>
            </w:r>
          </w:p>
        </w:tc>
        <w:tc>
          <w:tcPr>
            <w:tcW w:w="6662" w:type="dxa"/>
            <w:shd w:val="clear" w:color="auto" w:fill="D9D9D9" w:themeFill="background1" w:themeFillShade="D9"/>
            <w:vAlign w:val="center"/>
          </w:tcPr>
          <w:p w:rsidR="008E20DC" w:rsidRPr="00A8015A" w:rsidRDefault="008E20DC" w:rsidP="00A8015A">
            <w:pPr>
              <w:spacing w:after="0" w:line="240" w:lineRule="auto"/>
              <w:jc w:val="center"/>
              <w:rPr>
                <w:rFonts w:ascii="Cambria" w:hAnsi="Cambria" w:cs="Arial"/>
                <w:b/>
                <w:color w:val="000000"/>
              </w:rPr>
            </w:pPr>
            <w:r w:rsidRPr="00475852">
              <w:rPr>
                <w:rFonts w:ascii="Cambria" w:hAnsi="Cambria" w:cs="Arial"/>
                <w:b/>
                <w:color w:val="000000"/>
              </w:rPr>
              <w:t>Issues and Rationale</w:t>
            </w:r>
          </w:p>
        </w:tc>
        <w:tc>
          <w:tcPr>
            <w:tcW w:w="5245" w:type="dxa"/>
            <w:shd w:val="clear" w:color="auto" w:fill="D9D9D9" w:themeFill="background1" w:themeFillShade="D9"/>
            <w:vAlign w:val="center"/>
          </w:tcPr>
          <w:p w:rsidR="008E20DC" w:rsidRPr="00A8015A" w:rsidRDefault="008E20DC" w:rsidP="00A8015A">
            <w:pPr>
              <w:pStyle w:val="ListParagraph"/>
              <w:spacing w:after="0" w:line="240" w:lineRule="auto"/>
              <w:ind w:left="0"/>
              <w:contextualSpacing w:val="0"/>
              <w:jc w:val="center"/>
              <w:rPr>
                <w:rFonts w:ascii="Cambria" w:eastAsiaTheme="minorHAnsi" w:hAnsi="Cambria" w:cs="Arial"/>
                <w:b/>
                <w:color w:val="000000"/>
                <w:lang w:val="en-IN" w:eastAsia="en-US"/>
              </w:rPr>
            </w:pPr>
            <w:r w:rsidRPr="00A8015A">
              <w:rPr>
                <w:rFonts w:ascii="Cambria" w:eastAsiaTheme="minorHAnsi" w:hAnsi="Cambria" w:cs="Arial"/>
                <w:b/>
                <w:color w:val="000000"/>
                <w:lang w:val="en-IN" w:eastAsia="en-US"/>
              </w:rPr>
              <w:t>Recommendations</w:t>
            </w:r>
          </w:p>
        </w:tc>
      </w:tr>
      <w:tr w:rsidR="00B716D1" w:rsidRPr="00475852" w:rsidTr="00844451">
        <w:trPr>
          <w:trHeight w:val="965"/>
        </w:trPr>
        <w:tc>
          <w:tcPr>
            <w:tcW w:w="567" w:type="dxa"/>
          </w:tcPr>
          <w:p w:rsidR="00B716D1" w:rsidRPr="00475852" w:rsidRDefault="00B716D1"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1.</w:t>
            </w:r>
          </w:p>
        </w:tc>
        <w:tc>
          <w:tcPr>
            <w:tcW w:w="2552" w:type="dxa"/>
            <w:shd w:val="clear" w:color="auto" w:fill="auto"/>
          </w:tcPr>
          <w:p w:rsidR="00B716D1" w:rsidRPr="00B95BFA" w:rsidRDefault="00B716D1" w:rsidP="00B716D1">
            <w:pPr>
              <w:pStyle w:val="PlainText"/>
              <w:spacing w:line="276" w:lineRule="auto"/>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Rationalization of GST rates to reduce dispute on classification</w:t>
            </w:r>
          </w:p>
          <w:p w:rsidR="00B716D1" w:rsidRPr="00B95BFA" w:rsidRDefault="00B716D1" w:rsidP="00B716D1">
            <w:pPr>
              <w:pStyle w:val="PlainText"/>
              <w:spacing w:line="276" w:lineRule="auto"/>
              <w:contextualSpacing/>
              <w:rPr>
                <w:rFonts w:ascii="Cambria" w:eastAsia="SimSun" w:hAnsi="Cambria" w:cs="Times New Roman"/>
                <w:b/>
                <w:bCs/>
                <w:sz w:val="22"/>
                <w:szCs w:val="22"/>
                <w:lang w:val="en-GB" w:eastAsia="zh-CN"/>
              </w:rPr>
            </w:pPr>
          </w:p>
          <w:p w:rsidR="00B716D1" w:rsidRPr="00B95BFA" w:rsidRDefault="00B716D1" w:rsidP="00B716D1">
            <w:pPr>
              <w:pStyle w:val="PlainText"/>
              <w:spacing w:line="276" w:lineRule="auto"/>
              <w:contextualSpacing/>
              <w:rPr>
                <w:rFonts w:ascii="Cambria" w:eastAsia="SimSun" w:hAnsi="Cambria" w:cs="Times New Roman"/>
                <w:b/>
                <w:bCs/>
                <w:sz w:val="22"/>
                <w:szCs w:val="22"/>
                <w:lang w:val="en-GB" w:eastAsia="zh-CN"/>
              </w:rPr>
            </w:pPr>
          </w:p>
          <w:p w:rsidR="00B716D1" w:rsidRPr="00B95BFA" w:rsidRDefault="00B716D1" w:rsidP="00B716D1">
            <w:pPr>
              <w:pStyle w:val="PlainText"/>
              <w:spacing w:line="276" w:lineRule="auto"/>
              <w:contextualSpacing/>
              <w:rPr>
                <w:rFonts w:ascii="Cambria" w:eastAsia="SimSun" w:hAnsi="Cambria" w:cs="Times New Roman"/>
                <w:b/>
                <w:bCs/>
                <w:sz w:val="22"/>
                <w:szCs w:val="22"/>
                <w:lang w:val="en-GB" w:eastAsia="zh-CN"/>
              </w:rPr>
            </w:pPr>
          </w:p>
          <w:p w:rsidR="00B716D1" w:rsidRPr="00B95BFA" w:rsidRDefault="00B716D1" w:rsidP="00B716D1">
            <w:pPr>
              <w:pStyle w:val="PlainText"/>
              <w:spacing w:line="276" w:lineRule="auto"/>
              <w:contextualSpacing/>
              <w:rPr>
                <w:rFonts w:ascii="Cambria" w:eastAsia="SimSun" w:hAnsi="Cambria" w:cs="Times New Roman"/>
                <w:b/>
                <w:bCs/>
                <w:sz w:val="22"/>
                <w:szCs w:val="22"/>
                <w:lang w:val="en-GB" w:eastAsia="zh-CN"/>
              </w:rPr>
            </w:pPr>
          </w:p>
          <w:p w:rsidR="00B716D1" w:rsidRPr="00475852" w:rsidRDefault="00B716D1" w:rsidP="00B716D1">
            <w:pPr>
              <w:spacing w:after="0" w:line="276" w:lineRule="auto"/>
              <w:contextualSpacing/>
              <w:jc w:val="both"/>
              <w:rPr>
                <w:rFonts w:ascii="Cambria" w:hAnsi="Cambria" w:cs="Arial"/>
                <w:b/>
                <w:bCs/>
                <w:color w:val="000000"/>
              </w:rPr>
            </w:pPr>
          </w:p>
        </w:tc>
        <w:tc>
          <w:tcPr>
            <w:tcW w:w="6662" w:type="dxa"/>
          </w:tcPr>
          <w:p w:rsidR="00B716D1" w:rsidRPr="00B95BFA" w:rsidRDefault="00B716D1" w:rsidP="00B716D1">
            <w:pPr>
              <w:pStyle w:val="ListParagraph"/>
              <w:numPr>
                <w:ilvl w:val="0"/>
                <w:numId w:val="11"/>
              </w:numPr>
              <w:spacing w:after="0"/>
              <w:ind w:left="272" w:hanging="284"/>
              <w:jc w:val="both"/>
              <w:rPr>
                <w:rFonts w:ascii="Cambria" w:hAnsi="Cambria"/>
              </w:rPr>
            </w:pPr>
            <w:r w:rsidRPr="00B95BFA">
              <w:rPr>
                <w:rFonts w:ascii="Cambria" w:hAnsi="Cambria"/>
              </w:rPr>
              <w:t>There are seven (7) rates of GST for goods, viz. 0%, 0.25%, 3%, 5%, 12%, 18%, and 28%; for services, there are five (5) rates viz. 0%, 5%, 12%, 18% and 28%. Besides, there is a Compensation Cess on some select supplies.</w:t>
            </w:r>
          </w:p>
          <w:p w:rsidR="00B716D1" w:rsidRPr="00B95BFA" w:rsidRDefault="00B716D1" w:rsidP="00B716D1">
            <w:pPr>
              <w:pStyle w:val="ListParagraph"/>
              <w:spacing w:after="0"/>
              <w:ind w:left="0"/>
              <w:jc w:val="both"/>
              <w:rPr>
                <w:rFonts w:ascii="Cambria" w:hAnsi="Cambria"/>
                <w:sz w:val="12"/>
                <w:szCs w:val="12"/>
              </w:rPr>
            </w:pPr>
          </w:p>
          <w:p w:rsidR="00B716D1" w:rsidRPr="00B95BFA" w:rsidRDefault="00CF355B" w:rsidP="00B716D1">
            <w:pPr>
              <w:pStyle w:val="ListParagraph"/>
              <w:numPr>
                <w:ilvl w:val="0"/>
                <w:numId w:val="11"/>
              </w:numPr>
              <w:spacing w:after="0"/>
              <w:ind w:left="272" w:hanging="284"/>
              <w:jc w:val="both"/>
              <w:rPr>
                <w:rFonts w:ascii="Cambria" w:hAnsi="Cambria"/>
              </w:rPr>
            </w:pPr>
            <w:r>
              <w:rPr>
                <w:rFonts w:ascii="Cambria" w:hAnsi="Cambria"/>
              </w:rPr>
              <w:t>T</w:t>
            </w:r>
            <w:r w:rsidR="00B716D1" w:rsidRPr="00B95BFA">
              <w:rPr>
                <w:rFonts w:ascii="Cambria" w:hAnsi="Cambria"/>
              </w:rPr>
              <w:t xml:space="preserve">axpayers are finding it difficult to pay proper taxes due to </w:t>
            </w:r>
            <w:r w:rsidR="00570937">
              <w:rPr>
                <w:rFonts w:ascii="Cambria" w:hAnsi="Cambria"/>
              </w:rPr>
              <w:t xml:space="preserve">the </w:t>
            </w:r>
            <w:r w:rsidR="00B716D1" w:rsidRPr="00B95BFA">
              <w:rPr>
                <w:rFonts w:ascii="Cambria" w:hAnsi="Cambria"/>
              </w:rPr>
              <w:t xml:space="preserve">multiple tax rates. If tax is paid at a lesser rate, there will be an upside differential tax along with interest and penalty. On the other hand, if tax is paid at a higher rate, business may become uncompetitive compared to peers, who classify </w:t>
            </w:r>
            <w:r w:rsidR="00570937">
              <w:rPr>
                <w:rFonts w:ascii="Cambria" w:hAnsi="Cambria"/>
              </w:rPr>
              <w:t xml:space="preserve">the </w:t>
            </w:r>
            <w:r w:rsidR="00B716D1" w:rsidRPr="00B95BFA">
              <w:rPr>
                <w:rFonts w:ascii="Cambria" w:hAnsi="Cambria"/>
              </w:rPr>
              <w:t xml:space="preserve">supply at lower rates. </w:t>
            </w:r>
          </w:p>
          <w:p w:rsidR="00B716D1" w:rsidRPr="00B95BFA" w:rsidRDefault="00B716D1" w:rsidP="00B716D1">
            <w:pPr>
              <w:pStyle w:val="ListParagraph"/>
              <w:spacing w:after="0"/>
              <w:ind w:left="0"/>
              <w:jc w:val="both"/>
              <w:rPr>
                <w:rFonts w:ascii="Cambria" w:hAnsi="Cambria"/>
                <w:sz w:val="12"/>
                <w:szCs w:val="12"/>
              </w:rPr>
            </w:pPr>
          </w:p>
          <w:p w:rsidR="00B716D1" w:rsidRDefault="00B716D1" w:rsidP="00587FE1">
            <w:pPr>
              <w:pStyle w:val="ListParagraph"/>
              <w:numPr>
                <w:ilvl w:val="0"/>
                <w:numId w:val="11"/>
              </w:numPr>
              <w:spacing w:after="0"/>
              <w:ind w:left="272" w:hanging="284"/>
              <w:jc w:val="both"/>
              <w:rPr>
                <w:rFonts w:ascii="Cambria" w:hAnsi="Cambria"/>
              </w:rPr>
            </w:pPr>
            <w:r w:rsidRPr="00B95BFA">
              <w:rPr>
                <w:rFonts w:ascii="Cambria" w:hAnsi="Cambria"/>
              </w:rPr>
              <w:t>Industry is approaching AARs to address the rate ambiguity, which involves cost and, at times, is time-consuming. Also, there are instances where AAR of different states has pronounced different rulings for the same supply. This increases confusion among the trade and industry.</w:t>
            </w:r>
          </w:p>
          <w:p w:rsidR="005B6A44" w:rsidRPr="009F3A2F" w:rsidRDefault="005B6A44" w:rsidP="005B6A44">
            <w:pPr>
              <w:spacing w:after="0"/>
              <w:jc w:val="both"/>
              <w:rPr>
                <w:rFonts w:ascii="Cambria" w:hAnsi="Cambria"/>
                <w:sz w:val="14"/>
                <w:szCs w:val="14"/>
              </w:rPr>
            </w:pPr>
          </w:p>
        </w:tc>
        <w:tc>
          <w:tcPr>
            <w:tcW w:w="5245" w:type="dxa"/>
            <w:shd w:val="clear" w:color="auto" w:fill="auto"/>
          </w:tcPr>
          <w:p w:rsidR="00B716D1" w:rsidRPr="005B6A44" w:rsidRDefault="00B716D1" w:rsidP="005B6A44">
            <w:pPr>
              <w:spacing w:after="0"/>
              <w:jc w:val="both"/>
              <w:rPr>
                <w:rFonts w:ascii="Cambria" w:hAnsi="Cambria"/>
              </w:rPr>
            </w:pPr>
            <w:r w:rsidRPr="005B6A44">
              <w:rPr>
                <w:rFonts w:ascii="Cambria" w:hAnsi="Cambria"/>
              </w:rPr>
              <w:t>The Chamber recommends shifting to a three-tier rate structure of 8 percent (merit rate) – 15 percent (standard rate) – 30 percent (demerit rate) by merging 12 percent and 18 percent into a 15 percent slab and increasing the demerit rate from the current 28 percent to 30 percent.</w:t>
            </w:r>
          </w:p>
          <w:p w:rsidR="00B716D1" w:rsidRPr="00B95BFA" w:rsidRDefault="00B716D1" w:rsidP="00B716D1">
            <w:pPr>
              <w:pStyle w:val="ListParagraph"/>
              <w:spacing w:after="0"/>
              <w:ind w:left="0"/>
              <w:rPr>
                <w:rFonts w:ascii="Cambria" w:hAnsi="Cambria"/>
              </w:rPr>
            </w:pPr>
          </w:p>
          <w:p w:rsidR="00B716D1" w:rsidRPr="00475852" w:rsidRDefault="00B716D1" w:rsidP="007A15A7">
            <w:pPr>
              <w:pStyle w:val="ListParagraph"/>
              <w:spacing w:afterLines="120"/>
              <w:ind w:left="0"/>
              <w:jc w:val="both"/>
              <w:rPr>
                <w:rFonts w:ascii="Cambria" w:hAnsi="Cambria" w:cs="Arial"/>
                <w:color w:val="000000"/>
              </w:rPr>
            </w:pPr>
          </w:p>
        </w:tc>
      </w:tr>
    </w:tbl>
    <w:p w:rsidR="008202C9" w:rsidRDefault="008202C9" w:rsidP="007A15A7">
      <w:pPr>
        <w:pStyle w:val="ListParagraph"/>
        <w:spacing w:afterLines="120" w:line="360" w:lineRule="auto"/>
        <w:ind w:left="927"/>
        <w:jc w:val="both"/>
        <w:rPr>
          <w:rFonts w:ascii="Cambria" w:hAnsi="Cambria" w:cs="Arial"/>
          <w:b/>
          <w:color w:val="000000"/>
          <w:lang w:val="en-US"/>
        </w:rPr>
      </w:pPr>
    </w:p>
    <w:p w:rsidR="006912DA" w:rsidRDefault="006912DA" w:rsidP="007A15A7">
      <w:pPr>
        <w:pStyle w:val="ListParagraph"/>
        <w:spacing w:afterLines="120" w:line="360" w:lineRule="auto"/>
        <w:ind w:left="927"/>
        <w:jc w:val="both"/>
        <w:rPr>
          <w:rFonts w:ascii="Cambria" w:hAnsi="Cambria" w:cs="Arial"/>
          <w:b/>
          <w:color w:val="000000"/>
          <w:lang w:val="en-US"/>
        </w:rPr>
      </w:pPr>
    </w:p>
    <w:p w:rsidR="006912DA" w:rsidRDefault="006912DA" w:rsidP="007A15A7">
      <w:pPr>
        <w:pStyle w:val="ListParagraph"/>
        <w:spacing w:afterLines="120" w:line="360" w:lineRule="auto"/>
        <w:ind w:left="927"/>
        <w:jc w:val="both"/>
        <w:rPr>
          <w:rFonts w:ascii="Cambria" w:hAnsi="Cambria" w:cs="Arial"/>
          <w:b/>
          <w:color w:val="000000"/>
          <w:lang w:val="en-US"/>
        </w:rPr>
      </w:pPr>
    </w:p>
    <w:p w:rsidR="006912DA" w:rsidRDefault="006912DA" w:rsidP="007A15A7">
      <w:pPr>
        <w:pStyle w:val="ListParagraph"/>
        <w:spacing w:afterLines="120" w:line="360" w:lineRule="auto"/>
        <w:ind w:left="927"/>
        <w:jc w:val="both"/>
        <w:rPr>
          <w:rFonts w:ascii="Cambria" w:hAnsi="Cambria" w:cs="Arial"/>
          <w:b/>
          <w:color w:val="000000"/>
          <w:lang w:val="en-US"/>
        </w:rPr>
      </w:pPr>
    </w:p>
    <w:p w:rsidR="006912DA" w:rsidRDefault="006912DA" w:rsidP="007A15A7">
      <w:pPr>
        <w:pStyle w:val="ListParagraph"/>
        <w:spacing w:afterLines="120" w:line="360" w:lineRule="auto"/>
        <w:ind w:left="927"/>
        <w:jc w:val="both"/>
        <w:rPr>
          <w:rFonts w:ascii="Cambria" w:hAnsi="Cambria" w:cs="Arial"/>
          <w:b/>
          <w:color w:val="000000"/>
          <w:lang w:val="en-US"/>
        </w:rPr>
      </w:pPr>
    </w:p>
    <w:p w:rsidR="006912DA" w:rsidRDefault="006912DA" w:rsidP="007A15A7">
      <w:pPr>
        <w:pStyle w:val="ListParagraph"/>
        <w:spacing w:afterLines="120" w:line="360" w:lineRule="auto"/>
        <w:ind w:left="927"/>
        <w:jc w:val="both"/>
        <w:rPr>
          <w:rFonts w:ascii="Cambria" w:hAnsi="Cambria" w:cs="Arial"/>
          <w:b/>
          <w:color w:val="000000"/>
          <w:lang w:val="en-US"/>
        </w:rPr>
      </w:pPr>
    </w:p>
    <w:p w:rsidR="006C361D" w:rsidRDefault="006C361D" w:rsidP="007A15A7">
      <w:pPr>
        <w:pStyle w:val="ListParagraph"/>
        <w:spacing w:afterLines="120" w:line="360" w:lineRule="auto"/>
        <w:ind w:left="927"/>
        <w:jc w:val="both"/>
        <w:rPr>
          <w:rFonts w:ascii="Cambria" w:hAnsi="Cambria" w:cs="Arial"/>
          <w:b/>
          <w:color w:val="000000"/>
          <w:lang w:val="en-US"/>
        </w:rPr>
      </w:pPr>
    </w:p>
    <w:p w:rsidR="00636DC3" w:rsidRPr="00475852" w:rsidRDefault="00636DC3" w:rsidP="007A15A7">
      <w:pPr>
        <w:pStyle w:val="ListParagraph"/>
        <w:numPr>
          <w:ilvl w:val="0"/>
          <w:numId w:val="2"/>
        </w:numPr>
        <w:pBdr>
          <w:bottom w:val="single" w:sz="4" w:space="1" w:color="auto"/>
        </w:pBdr>
        <w:shd w:val="clear" w:color="auto" w:fill="D9D9D9" w:themeFill="background1" w:themeFillShade="D9"/>
        <w:spacing w:afterLines="120" w:line="360" w:lineRule="auto"/>
        <w:ind w:left="426"/>
        <w:jc w:val="both"/>
        <w:rPr>
          <w:rFonts w:ascii="Cambria" w:hAnsi="Cambria" w:cs="Arial"/>
          <w:b/>
          <w:color w:val="000000"/>
          <w:lang w:val="en-US"/>
        </w:rPr>
      </w:pPr>
      <w:r w:rsidRPr="00475852">
        <w:rPr>
          <w:rFonts w:ascii="Cambria" w:hAnsi="Cambria" w:cs="Arial"/>
          <w:b/>
          <w:color w:val="000000"/>
          <w:lang w:val="en-US"/>
        </w:rPr>
        <w:lastRenderedPageBreak/>
        <w:t>CUSTOMS</w:t>
      </w:r>
      <w:r w:rsidR="00DD5D55">
        <w:rPr>
          <w:rFonts w:ascii="Cambria" w:hAnsi="Cambria" w:cs="Arial"/>
          <w:b/>
          <w:color w:val="000000"/>
          <w:lang w:val="en-US"/>
        </w:rPr>
        <w:t xml:space="preserve"> - ISSUES ARISING OUT OF BUDGET PROPOSALS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616"/>
        <w:gridCol w:w="1984"/>
        <w:gridCol w:w="5387"/>
        <w:gridCol w:w="5386"/>
      </w:tblGrid>
      <w:tr w:rsidR="00A8015A" w:rsidRPr="00475852" w:rsidTr="00A8015A">
        <w:trPr>
          <w:trHeight w:val="676"/>
          <w:tblHeader/>
        </w:trPr>
        <w:tc>
          <w:tcPr>
            <w:tcW w:w="511" w:type="dxa"/>
            <w:shd w:val="clear" w:color="auto" w:fill="D9D9D9" w:themeFill="background1" w:themeFillShade="D9"/>
            <w:vAlign w:val="center"/>
          </w:tcPr>
          <w:p w:rsidR="00A8015A" w:rsidRPr="00A8015A" w:rsidRDefault="00A8015A" w:rsidP="00A8015A">
            <w:pPr>
              <w:spacing w:after="0"/>
              <w:jc w:val="center"/>
              <w:rPr>
                <w:rFonts w:ascii="Cambria" w:hAnsi="Cambria"/>
                <w:b/>
                <w:bCs/>
              </w:rPr>
            </w:pPr>
            <w:r w:rsidRPr="00A8015A">
              <w:rPr>
                <w:rFonts w:ascii="Cambria" w:hAnsi="Cambria"/>
                <w:b/>
                <w:bCs/>
              </w:rPr>
              <w:t>Sl.</w:t>
            </w:r>
          </w:p>
        </w:tc>
        <w:tc>
          <w:tcPr>
            <w:tcW w:w="1616" w:type="dxa"/>
            <w:shd w:val="clear" w:color="auto" w:fill="D9D9D9" w:themeFill="background1" w:themeFillShade="D9"/>
            <w:vAlign w:val="center"/>
          </w:tcPr>
          <w:p w:rsidR="00A8015A" w:rsidRPr="00A8015A" w:rsidRDefault="00A8015A" w:rsidP="00A8015A">
            <w:pPr>
              <w:spacing w:after="0"/>
              <w:jc w:val="center"/>
              <w:rPr>
                <w:rFonts w:ascii="Cambria" w:hAnsi="Cambria"/>
                <w:b/>
                <w:bCs/>
              </w:rPr>
            </w:pPr>
            <w:r w:rsidRPr="00A8015A">
              <w:rPr>
                <w:rFonts w:ascii="Cambria" w:hAnsi="Cambria"/>
                <w:b/>
                <w:bCs/>
              </w:rPr>
              <w:t>Finance Bill Clause</w:t>
            </w:r>
          </w:p>
        </w:tc>
        <w:tc>
          <w:tcPr>
            <w:tcW w:w="1984" w:type="dxa"/>
            <w:shd w:val="clear" w:color="auto" w:fill="D9D9D9" w:themeFill="background1" w:themeFillShade="D9"/>
            <w:vAlign w:val="center"/>
          </w:tcPr>
          <w:p w:rsidR="00A8015A" w:rsidRPr="00A8015A" w:rsidRDefault="00A8015A" w:rsidP="00A8015A">
            <w:pPr>
              <w:spacing w:after="0"/>
              <w:jc w:val="center"/>
              <w:rPr>
                <w:rFonts w:ascii="Cambria" w:hAnsi="Cambria" w:cs="Arial"/>
                <w:b/>
                <w:bCs/>
                <w:color w:val="000000"/>
              </w:rPr>
            </w:pPr>
            <w:r w:rsidRPr="00A8015A">
              <w:rPr>
                <w:rFonts w:ascii="Cambria" w:hAnsi="Cambria"/>
                <w:b/>
                <w:bCs/>
              </w:rPr>
              <w:t>Budget Proposals</w:t>
            </w:r>
          </w:p>
        </w:tc>
        <w:tc>
          <w:tcPr>
            <w:tcW w:w="5387" w:type="dxa"/>
            <w:shd w:val="clear" w:color="auto" w:fill="D9D9D9" w:themeFill="background1" w:themeFillShade="D9"/>
            <w:vAlign w:val="center"/>
          </w:tcPr>
          <w:p w:rsidR="00A8015A" w:rsidRPr="00A8015A" w:rsidRDefault="00A8015A" w:rsidP="00A8015A">
            <w:pPr>
              <w:spacing w:after="0"/>
              <w:jc w:val="center"/>
              <w:rPr>
                <w:rFonts w:ascii="Cambria" w:hAnsi="Cambria"/>
                <w:b/>
                <w:bCs/>
              </w:rPr>
            </w:pPr>
            <w:r w:rsidRPr="00A8015A">
              <w:rPr>
                <w:rFonts w:ascii="Cambria" w:hAnsi="Cambria"/>
                <w:b/>
                <w:bCs/>
              </w:rPr>
              <w:t>Issues and Rationale</w:t>
            </w:r>
          </w:p>
        </w:tc>
        <w:tc>
          <w:tcPr>
            <w:tcW w:w="5386" w:type="dxa"/>
            <w:shd w:val="clear" w:color="auto" w:fill="D9D9D9" w:themeFill="background1" w:themeFillShade="D9"/>
            <w:vAlign w:val="center"/>
          </w:tcPr>
          <w:p w:rsidR="00A8015A" w:rsidRPr="00A8015A" w:rsidRDefault="00A8015A" w:rsidP="00A8015A">
            <w:pPr>
              <w:pStyle w:val="ListParagraph"/>
              <w:spacing w:after="0" w:line="259" w:lineRule="auto"/>
              <w:ind w:left="0"/>
              <w:contextualSpacing w:val="0"/>
              <w:jc w:val="center"/>
              <w:rPr>
                <w:rFonts w:ascii="Cambria" w:eastAsiaTheme="minorHAnsi" w:hAnsi="Cambria" w:cstheme="minorBidi"/>
                <w:b/>
                <w:bCs/>
                <w:lang w:val="en-IN" w:eastAsia="en-US"/>
              </w:rPr>
            </w:pPr>
            <w:r w:rsidRPr="00A8015A">
              <w:rPr>
                <w:rFonts w:ascii="Cambria" w:eastAsiaTheme="minorHAnsi" w:hAnsi="Cambria" w:cstheme="minorBidi"/>
                <w:b/>
                <w:bCs/>
                <w:lang w:val="en-IN" w:eastAsia="en-US"/>
              </w:rPr>
              <w:t>Recommendations</w:t>
            </w:r>
          </w:p>
        </w:tc>
      </w:tr>
      <w:tr w:rsidR="00EB0DB1" w:rsidRPr="00475852" w:rsidTr="0074074E">
        <w:trPr>
          <w:trHeight w:val="965"/>
        </w:trPr>
        <w:tc>
          <w:tcPr>
            <w:tcW w:w="511" w:type="dxa"/>
          </w:tcPr>
          <w:p w:rsidR="00EB0DB1" w:rsidRPr="00475852" w:rsidRDefault="00EB0DB1" w:rsidP="007A15A7">
            <w:pPr>
              <w:pStyle w:val="PlainText"/>
              <w:spacing w:afterLines="120" w:line="276" w:lineRule="auto"/>
              <w:contextualSpacing/>
              <w:jc w:val="both"/>
              <w:rPr>
                <w:rFonts w:ascii="Cambria" w:eastAsia="Calibri" w:hAnsi="Cambria" w:cs="Arial"/>
                <w:color w:val="000000"/>
                <w:sz w:val="22"/>
                <w:szCs w:val="22"/>
                <w:lang w:val="en-GB"/>
              </w:rPr>
            </w:pPr>
            <w:r w:rsidRPr="00475852">
              <w:rPr>
                <w:rFonts w:ascii="Cambria" w:eastAsia="Calibri" w:hAnsi="Cambria" w:cs="Arial"/>
                <w:color w:val="000000"/>
                <w:sz w:val="22"/>
                <w:szCs w:val="22"/>
                <w:lang w:val="en-GB"/>
              </w:rPr>
              <w:t>1</w:t>
            </w:r>
            <w:r w:rsidR="00165F48">
              <w:rPr>
                <w:rFonts w:ascii="Cambria" w:eastAsia="Calibri" w:hAnsi="Cambria" w:cs="Arial"/>
                <w:color w:val="000000"/>
                <w:sz w:val="22"/>
                <w:szCs w:val="22"/>
                <w:lang w:val="en-GB"/>
              </w:rPr>
              <w:t>.</w:t>
            </w:r>
          </w:p>
        </w:tc>
        <w:tc>
          <w:tcPr>
            <w:tcW w:w="1616" w:type="dxa"/>
          </w:tcPr>
          <w:p w:rsidR="00EB0DB1" w:rsidRPr="00475852" w:rsidRDefault="00EB0DB1" w:rsidP="007A15A7">
            <w:pPr>
              <w:pStyle w:val="PlainText"/>
              <w:spacing w:afterLines="120" w:line="276" w:lineRule="auto"/>
              <w:contextualSpacing/>
              <w:jc w:val="both"/>
              <w:rPr>
                <w:rFonts w:ascii="Cambria" w:eastAsia="Calibri" w:hAnsi="Cambria" w:cs="Arial"/>
                <w:color w:val="000000"/>
                <w:sz w:val="22"/>
                <w:szCs w:val="22"/>
                <w:lang w:val="en-GB"/>
              </w:rPr>
            </w:pPr>
            <w:r w:rsidRPr="00475852">
              <w:rPr>
                <w:rFonts w:ascii="Cambria" w:eastAsia="Calibri" w:hAnsi="Cambria" w:cs="Arial"/>
                <w:color w:val="000000"/>
                <w:sz w:val="22"/>
                <w:szCs w:val="22"/>
                <w:lang w:val="en-GB"/>
              </w:rPr>
              <w:t>84</w:t>
            </w:r>
          </w:p>
        </w:tc>
        <w:tc>
          <w:tcPr>
            <w:tcW w:w="1984" w:type="dxa"/>
            <w:shd w:val="clear" w:color="auto" w:fill="auto"/>
          </w:tcPr>
          <w:p w:rsidR="00EB0DB1" w:rsidRPr="00475852" w:rsidRDefault="00C91ABD" w:rsidP="005F63A9">
            <w:pPr>
              <w:spacing w:after="0" w:line="276" w:lineRule="auto"/>
              <w:contextualSpacing/>
              <w:rPr>
                <w:rFonts w:ascii="Cambria" w:hAnsi="Cambria" w:cs="Arial"/>
                <w:b/>
                <w:bCs/>
                <w:color w:val="000000"/>
              </w:rPr>
            </w:pPr>
            <w:r>
              <w:rPr>
                <w:rFonts w:ascii="Cambria" w:hAnsi="Cambria" w:cs="Arial"/>
                <w:b/>
                <w:bCs/>
                <w:color w:val="000000"/>
                <w:lang w:val="en-GB"/>
              </w:rPr>
              <w:t>Validity of conditional exemption</w:t>
            </w:r>
          </w:p>
        </w:tc>
        <w:tc>
          <w:tcPr>
            <w:tcW w:w="5387" w:type="dxa"/>
          </w:tcPr>
          <w:p w:rsidR="00235E03" w:rsidRDefault="00235E03" w:rsidP="007A15A7">
            <w:pPr>
              <w:pStyle w:val="ListParagraph"/>
              <w:numPr>
                <w:ilvl w:val="0"/>
                <w:numId w:val="6"/>
              </w:numPr>
              <w:spacing w:afterLines="120"/>
              <w:ind w:left="358"/>
              <w:jc w:val="both"/>
              <w:rPr>
                <w:rFonts w:ascii="Cambria" w:hAnsi="Cambria" w:cs="Arial"/>
                <w:color w:val="000000"/>
              </w:rPr>
            </w:pPr>
            <w:r w:rsidRPr="00235E03">
              <w:rPr>
                <w:rFonts w:ascii="Cambria" w:hAnsi="Cambria" w:cs="Arial"/>
                <w:color w:val="000000"/>
              </w:rPr>
              <w:t>Vide Finance Act 2021, Section 25(4A) was inserted to provide that all the conditional exemptions granted under Section 25(1) shall be valid upto 31 March falling immediately after two years from the date of such grant, unless otherwise specified or varied or rescinded.</w:t>
            </w:r>
          </w:p>
          <w:p w:rsidR="00235E03" w:rsidRPr="00C74841" w:rsidRDefault="00235E03" w:rsidP="007A15A7">
            <w:pPr>
              <w:pStyle w:val="ListParagraph"/>
              <w:spacing w:afterLines="120"/>
              <w:ind w:left="358"/>
              <w:jc w:val="both"/>
              <w:rPr>
                <w:rFonts w:ascii="Cambria" w:hAnsi="Cambria" w:cs="Arial"/>
                <w:color w:val="000000"/>
                <w:sz w:val="14"/>
                <w:szCs w:val="14"/>
              </w:rPr>
            </w:pPr>
          </w:p>
          <w:p w:rsidR="004E3592" w:rsidRPr="004E3592" w:rsidRDefault="004E3592" w:rsidP="007A15A7">
            <w:pPr>
              <w:pStyle w:val="ListParagraph"/>
              <w:numPr>
                <w:ilvl w:val="0"/>
                <w:numId w:val="6"/>
              </w:numPr>
              <w:spacing w:afterLines="120"/>
              <w:ind w:left="358" w:hanging="357"/>
              <w:jc w:val="both"/>
              <w:rPr>
                <w:rFonts w:ascii="Cambria" w:hAnsi="Cambria" w:cs="Arial"/>
                <w:color w:val="000000"/>
                <w:lang w:val="en-IN"/>
              </w:rPr>
            </w:pPr>
            <w:r w:rsidRPr="004E3592">
              <w:rPr>
                <w:rFonts w:ascii="Cambria" w:hAnsi="Cambria" w:cs="Arial"/>
                <w:color w:val="000000"/>
                <w:lang w:val="en-IN"/>
              </w:rPr>
              <w:t xml:space="preserve">A proviso </w:t>
            </w:r>
            <w:r>
              <w:rPr>
                <w:rFonts w:ascii="Cambria" w:hAnsi="Cambria" w:cs="Arial"/>
                <w:color w:val="000000"/>
                <w:lang w:val="en-IN"/>
              </w:rPr>
              <w:t xml:space="preserve">is proposed to be </w:t>
            </w:r>
            <w:r w:rsidRPr="004E3592">
              <w:rPr>
                <w:rFonts w:ascii="Cambria" w:hAnsi="Cambria" w:cs="Arial"/>
                <w:color w:val="000000"/>
                <w:lang w:val="en-IN"/>
              </w:rPr>
              <w:t>added to the above section which restricts its applicability to exemptions issued in relation to:</w:t>
            </w:r>
          </w:p>
          <w:p w:rsidR="004E3592" w:rsidRPr="004E3592" w:rsidRDefault="004E3592" w:rsidP="001F78DA">
            <w:pPr>
              <w:pStyle w:val="xmsonormal"/>
              <w:numPr>
                <w:ilvl w:val="0"/>
                <w:numId w:val="7"/>
              </w:numPr>
              <w:spacing w:after="0"/>
              <w:ind w:left="741" w:hanging="357"/>
              <w:jc w:val="both"/>
              <w:rPr>
                <w:rFonts w:ascii="Cambria" w:hAnsi="Cambria"/>
                <w:color w:val="000000"/>
              </w:rPr>
            </w:pPr>
            <w:r w:rsidRPr="004E3592">
              <w:rPr>
                <w:rFonts w:ascii="Cambria" w:hAnsi="Cambria"/>
                <w:color w:val="000000"/>
              </w:rPr>
              <w:t>Multilateral or bilateral trade agreements</w:t>
            </w:r>
          </w:p>
          <w:p w:rsidR="004E3592" w:rsidRPr="004E3592" w:rsidRDefault="004E3592" w:rsidP="001F78DA">
            <w:pPr>
              <w:pStyle w:val="xmsonormal"/>
              <w:numPr>
                <w:ilvl w:val="0"/>
                <w:numId w:val="7"/>
              </w:numPr>
              <w:spacing w:after="0"/>
              <w:ind w:left="741" w:hanging="357"/>
              <w:jc w:val="both"/>
              <w:rPr>
                <w:rFonts w:ascii="Cambria" w:hAnsi="Cambria"/>
                <w:color w:val="000000"/>
              </w:rPr>
            </w:pPr>
            <w:r w:rsidRPr="004E3592">
              <w:rPr>
                <w:rFonts w:ascii="Cambria" w:hAnsi="Cambria"/>
                <w:color w:val="000000"/>
              </w:rPr>
              <w:t xml:space="preserve">Obligations under international agreements, treaties, conventions including with respect to United Nations agencies, diplomats and international organizations </w:t>
            </w:r>
          </w:p>
          <w:p w:rsidR="004E3592" w:rsidRPr="004E3592" w:rsidRDefault="004E3592" w:rsidP="00637C28">
            <w:pPr>
              <w:pStyle w:val="xmsonormal"/>
              <w:numPr>
                <w:ilvl w:val="0"/>
                <w:numId w:val="7"/>
              </w:numPr>
              <w:spacing w:after="0"/>
              <w:ind w:left="741"/>
              <w:jc w:val="both"/>
              <w:rPr>
                <w:rFonts w:ascii="Cambria" w:hAnsi="Cambria"/>
                <w:color w:val="000000"/>
              </w:rPr>
            </w:pPr>
            <w:r w:rsidRPr="004E3592">
              <w:rPr>
                <w:rFonts w:ascii="Cambria" w:hAnsi="Cambria"/>
                <w:color w:val="000000"/>
              </w:rPr>
              <w:t>Privileges of constitutional authorities,</w:t>
            </w:r>
          </w:p>
          <w:p w:rsidR="004E3592" w:rsidRPr="004E3592" w:rsidRDefault="004E3592" w:rsidP="00637C28">
            <w:pPr>
              <w:pStyle w:val="xmsonormal"/>
              <w:numPr>
                <w:ilvl w:val="0"/>
                <w:numId w:val="7"/>
              </w:numPr>
              <w:spacing w:after="0"/>
              <w:ind w:left="741"/>
              <w:jc w:val="both"/>
              <w:rPr>
                <w:rFonts w:ascii="Cambria" w:hAnsi="Cambria"/>
                <w:color w:val="000000"/>
              </w:rPr>
            </w:pPr>
            <w:r w:rsidRPr="004E3592">
              <w:rPr>
                <w:rFonts w:ascii="Cambria" w:hAnsi="Cambria"/>
                <w:color w:val="000000"/>
              </w:rPr>
              <w:t>Schemes under Foreign Trade Policy,</w:t>
            </w:r>
          </w:p>
          <w:p w:rsidR="004E3592" w:rsidRPr="004E3592" w:rsidRDefault="004E3592" w:rsidP="00637C28">
            <w:pPr>
              <w:pStyle w:val="xmsonormal"/>
              <w:numPr>
                <w:ilvl w:val="0"/>
                <w:numId w:val="7"/>
              </w:numPr>
              <w:spacing w:after="0"/>
              <w:ind w:left="741"/>
              <w:jc w:val="both"/>
              <w:rPr>
                <w:rFonts w:ascii="Cambria" w:hAnsi="Cambria"/>
                <w:color w:val="000000"/>
              </w:rPr>
            </w:pPr>
            <w:r w:rsidRPr="004E3592">
              <w:rPr>
                <w:rFonts w:ascii="Cambria" w:hAnsi="Cambria"/>
                <w:color w:val="000000"/>
              </w:rPr>
              <w:t>Central Government schemes having validity period of more than two years,</w:t>
            </w:r>
          </w:p>
          <w:p w:rsidR="004E3592" w:rsidRPr="004E3592" w:rsidRDefault="004E3592" w:rsidP="00637C28">
            <w:pPr>
              <w:pStyle w:val="xmsonormal"/>
              <w:numPr>
                <w:ilvl w:val="0"/>
                <w:numId w:val="7"/>
              </w:numPr>
              <w:spacing w:after="0"/>
              <w:ind w:left="741"/>
              <w:jc w:val="both"/>
              <w:rPr>
                <w:rFonts w:ascii="Cambria" w:hAnsi="Cambria"/>
                <w:color w:val="000000"/>
              </w:rPr>
            </w:pPr>
            <w:r w:rsidRPr="004E3592">
              <w:rPr>
                <w:rFonts w:ascii="Cambria" w:hAnsi="Cambria"/>
                <w:color w:val="000000"/>
              </w:rPr>
              <w:t xml:space="preserve">Re-imports, temporary imports, goods imported as gifts or personal baggage, and </w:t>
            </w:r>
          </w:p>
          <w:p w:rsidR="00764C4D" w:rsidRDefault="004E3592" w:rsidP="00637C28">
            <w:pPr>
              <w:pStyle w:val="xmsonormal"/>
              <w:numPr>
                <w:ilvl w:val="0"/>
                <w:numId w:val="7"/>
              </w:numPr>
              <w:spacing w:after="0"/>
              <w:ind w:left="741"/>
              <w:jc w:val="both"/>
              <w:rPr>
                <w:rFonts w:ascii="Cambria" w:eastAsia="SimSun" w:hAnsi="Cambria" w:cs="Arial"/>
                <w:color w:val="000000"/>
                <w:lang w:eastAsia="zh-CN"/>
              </w:rPr>
            </w:pPr>
            <w:r w:rsidRPr="004E3592">
              <w:rPr>
                <w:rFonts w:ascii="Cambria" w:hAnsi="Cambria"/>
                <w:color w:val="000000"/>
              </w:rPr>
              <w:t>All duty of customs including IGST other than BCD</w:t>
            </w:r>
            <w:r w:rsidRPr="004E3592">
              <w:rPr>
                <w:rFonts w:ascii="Cambria" w:eastAsia="SimSun" w:hAnsi="Cambria" w:cs="Arial"/>
                <w:color w:val="000000"/>
                <w:lang w:eastAsia="zh-CN"/>
              </w:rPr>
              <w:t>.</w:t>
            </w:r>
          </w:p>
          <w:p w:rsidR="00A54798" w:rsidRPr="00A54798" w:rsidRDefault="00A54798" w:rsidP="00A54798">
            <w:pPr>
              <w:pStyle w:val="xmsonormal"/>
              <w:spacing w:after="0"/>
              <w:ind w:left="741"/>
              <w:jc w:val="both"/>
              <w:rPr>
                <w:rFonts w:ascii="Cambria" w:eastAsia="SimSun" w:hAnsi="Cambria" w:cs="Arial"/>
                <w:color w:val="000000"/>
                <w:lang w:eastAsia="zh-CN"/>
              </w:rPr>
            </w:pPr>
          </w:p>
        </w:tc>
        <w:tc>
          <w:tcPr>
            <w:tcW w:w="5386" w:type="dxa"/>
            <w:shd w:val="clear" w:color="auto" w:fill="auto"/>
          </w:tcPr>
          <w:p w:rsidR="00C91ABD" w:rsidRDefault="00C30255" w:rsidP="007A15A7">
            <w:pPr>
              <w:pStyle w:val="ListParagraph"/>
              <w:spacing w:afterLines="120"/>
              <w:ind w:left="0"/>
              <w:jc w:val="both"/>
              <w:rPr>
                <w:rFonts w:ascii="Cambria" w:hAnsi="Cambria" w:cs="Arial"/>
                <w:color w:val="000000"/>
              </w:rPr>
            </w:pPr>
            <w:r>
              <w:rPr>
                <w:rFonts w:ascii="Cambria" w:hAnsi="Cambria" w:cs="Arial"/>
                <w:color w:val="000000"/>
              </w:rPr>
              <w:t xml:space="preserve">The Chamber recommends </w:t>
            </w:r>
            <w:r w:rsidR="00855D67">
              <w:rPr>
                <w:rFonts w:ascii="Cambria" w:hAnsi="Cambria" w:cs="Arial"/>
                <w:color w:val="000000"/>
              </w:rPr>
              <w:t xml:space="preserve">issuing </w:t>
            </w:r>
            <w:r w:rsidR="001443CB">
              <w:rPr>
                <w:rFonts w:ascii="Cambria" w:hAnsi="Cambria" w:cs="Arial"/>
                <w:color w:val="000000"/>
              </w:rPr>
              <w:t>list of notifications which will be covered under the proposed proviso.</w:t>
            </w:r>
            <w:r w:rsidR="00C11436">
              <w:rPr>
                <w:rFonts w:ascii="Cambria" w:hAnsi="Cambria" w:cs="Arial"/>
                <w:color w:val="000000"/>
              </w:rPr>
              <w:t xml:space="preserve"> This will help the taxpayers in determining validity of an exemption notification.</w:t>
            </w:r>
          </w:p>
          <w:p w:rsidR="00C91ABD" w:rsidRDefault="00C91ABD" w:rsidP="007A15A7">
            <w:pPr>
              <w:pStyle w:val="ListParagraph"/>
              <w:spacing w:afterLines="120"/>
              <w:ind w:left="0"/>
              <w:jc w:val="both"/>
              <w:rPr>
                <w:rFonts w:ascii="Cambria" w:hAnsi="Cambria" w:cs="Arial"/>
                <w:color w:val="000000"/>
              </w:rPr>
            </w:pPr>
          </w:p>
          <w:p w:rsidR="00C91ABD" w:rsidRDefault="00C11436" w:rsidP="007A15A7">
            <w:pPr>
              <w:pStyle w:val="ListParagraph"/>
              <w:spacing w:afterLines="120"/>
              <w:ind w:left="0"/>
              <w:jc w:val="both"/>
              <w:rPr>
                <w:rFonts w:ascii="Cambria" w:hAnsi="Cambria" w:cs="Arial"/>
                <w:color w:val="000000"/>
              </w:rPr>
            </w:pPr>
            <w:r>
              <w:rPr>
                <w:rFonts w:ascii="Cambria" w:hAnsi="Cambria" w:cs="Arial"/>
                <w:color w:val="000000"/>
              </w:rPr>
              <w:t xml:space="preserve">Further, </w:t>
            </w:r>
            <w:r w:rsidR="005622A8">
              <w:rPr>
                <w:rFonts w:ascii="Cambria" w:hAnsi="Cambria" w:cs="Arial"/>
                <w:color w:val="000000"/>
              </w:rPr>
              <w:t xml:space="preserve">it would be </w:t>
            </w:r>
            <w:r w:rsidR="00110F1E">
              <w:rPr>
                <w:rFonts w:ascii="Cambria" w:hAnsi="Cambria" w:cs="Arial"/>
                <w:color w:val="000000"/>
              </w:rPr>
              <w:t xml:space="preserve">beneficial if </w:t>
            </w:r>
            <w:r w:rsidR="00404C84">
              <w:rPr>
                <w:rFonts w:ascii="Cambria" w:hAnsi="Cambria" w:cs="Arial"/>
                <w:color w:val="000000"/>
              </w:rPr>
              <w:t>the</w:t>
            </w:r>
            <w:r w:rsidR="00110F1E">
              <w:rPr>
                <w:rFonts w:ascii="Cambria" w:hAnsi="Cambria" w:cs="Arial"/>
                <w:color w:val="000000"/>
              </w:rPr>
              <w:t xml:space="preserve"> l</w:t>
            </w:r>
            <w:r w:rsidR="00783E1E">
              <w:rPr>
                <w:rFonts w:ascii="Cambria" w:hAnsi="Cambria" w:cs="Arial"/>
                <w:color w:val="000000"/>
              </w:rPr>
              <w:t xml:space="preserve">ist of </w:t>
            </w:r>
            <w:r w:rsidR="00110F1E">
              <w:rPr>
                <w:rFonts w:ascii="Cambria" w:hAnsi="Cambria" w:cs="Arial"/>
                <w:color w:val="000000"/>
              </w:rPr>
              <w:t xml:space="preserve">exemptions </w:t>
            </w:r>
            <w:r w:rsidR="00783E1E">
              <w:rPr>
                <w:rFonts w:ascii="Cambria" w:hAnsi="Cambria" w:cs="Arial"/>
                <w:color w:val="000000"/>
              </w:rPr>
              <w:t xml:space="preserve">which are not expiring </w:t>
            </w:r>
            <w:r w:rsidR="00110F1E">
              <w:rPr>
                <w:rFonts w:ascii="Cambria" w:hAnsi="Cambria" w:cs="Arial"/>
                <w:color w:val="000000"/>
              </w:rPr>
              <w:t xml:space="preserve">as on 31 March 2023 </w:t>
            </w:r>
            <w:r w:rsidR="00783E1E">
              <w:rPr>
                <w:rFonts w:ascii="Cambria" w:hAnsi="Cambria" w:cs="Arial"/>
                <w:color w:val="000000"/>
              </w:rPr>
              <w:t>due to variation</w:t>
            </w:r>
            <w:r w:rsidR="00D915E6">
              <w:rPr>
                <w:rFonts w:ascii="Cambria" w:hAnsi="Cambria" w:cs="Arial"/>
                <w:color w:val="000000"/>
              </w:rPr>
              <w:t xml:space="preserve"> made in last two years</w:t>
            </w:r>
            <w:r w:rsidR="002B54D2">
              <w:rPr>
                <w:rFonts w:ascii="Cambria" w:hAnsi="Cambria" w:cs="Arial"/>
                <w:color w:val="000000"/>
              </w:rPr>
              <w:t xml:space="preserve"> is also issued.</w:t>
            </w:r>
          </w:p>
          <w:p w:rsidR="00783E1E" w:rsidRDefault="00783E1E" w:rsidP="007A15A7">
            <w:pPr>
              <w:pStyle w:val="ListParagraph"/>
              <w:spacing w:afterLines="120"/>
              <w:ind w:left="0"/>
              <w:jc w:val="both"/>
              <w:rPr>
                <w:rFonts w:ascii="Cambria" w:hAnsi="Cambria" w:cs="Arial"/>
                <w:color w:val="000000"/>
              </w:rPr>
            </w:pPr>
          </w:p>
          <w:p w:rsidR="00EB0DB1" w:rsidRPr="00475852" w:rsidRDefault="00EB0DB1" w:rsidP="007A15A7">
            <w:pPr>
              <w:pStyle w:val="ListParagraph"/>
              <w:spacing w:afterLines="120"/>
              <w:ind w:left="0"/>
              <w:jc w:val="both"/>
              <w:rPr>
                <w:rFonts w:ascii="Cambria" w:hAnsi="Cambria" w:cs="Arial"/>
                <w:color w:val="000000"/>
              </w:rPr>
            </w:pPr>
          </w:p>
        </w:tc>
      </w:tr>
    </w:tbl>
    <w:p w:rsidR="00392374" w:rsidRDefault="00392374" w:rsidP="007A15A7">
      <w:pPr>
        <w:pStyle w:val="ListParagraph"/>
        <w:spacing w:afterLines="120" w:line="360" w:lineRule="auto"/>
        <w:ind w:left="927"/>
        <w:jc w:val="both"/>
        <w:rPr>
          <w:rFonts w:ascii="Cambria" w:hAnsi="Cambria" w:cs="Arial"/>
          <w:b/>
          <w:color w:val="000000"/>
          <w:lang w:val="en-US"/>
        </w:rPr>
      </w:pPr>
    </w:p>
    <w:p w:rsidR="00482720" w:rsidRPr="00475852" w:rsidRDefault="00482720" w:rsidP="007A15A7">
      <w:pPr>
        <w:pStyle w:val="ListParagraph"/>
        <w:numPr>
          <w:ilvl w:val="0"/>
          <w:numId w:val="2"/>
        </w:numPr>
        <w:pBdr>
          <w:bottom w:val="single" w:sz="4" w:space="1" w:color="auto"/>
        </w:pBdr>
        <w:shd w:val="clear" w:color="auto" w:fill="D9D9D9" w:themeFill="background1" w:themeFillShade="D9"/>
        <w:spacing w:afterLines="120" w:line="360" w:lineRule="auto"/>
        <w:ind w:left="426"/>
        <w:jc w:val="both"/>
        <w:rPr>
          <w:rFonts w:ascii="Cambria" w:hAnsi="Cambria" w:cs="Arial"/>
          <w:b/>
          <w:color w:val="000000"/>
          <w:lang w:val="en-US"/>
        </w:rPr>
      </w:pPr>
      <w:r w:rsidRPr="00475852">
        <w:rPr>
          <w:rFonts w:ascii="Cambria" w:hAnsi="Cambria" w:cs="Arial"/>
          <w:b/>
          <w:color w:val="000000"/>
          <w:lang w:val="en-US"/>
        </w:rPr>
        <w:lastRenderedPageBreak/>
        <w:t>CUSTOMS</w:t>
      </w:r>
      <w:r w:rsidR="008E20DC">
        <w:rPr>
          <w:rFonts w:ascii="Cambria" w:hAnsi="Cambria" w:cs="Arial"/>
          <w:b/>
          <w:color w:val="000000"/>
          <w:lang w:val="en-US"/>
        </w:rPr>
        <w:t xml:space="preserve"> – OTHER ISSUES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6662"/>
        <w:gridCol w:w="5103"/>
      </w:tblGrid>
      <w:tr w:rsidR="00A8015A" w:rsidRPr="00475852" w:rsidTr="00392374">
        <w:trPr>
          <w:trHeight w:val="422"/>
          <w:tblHeader/>
        </w:trPr>
        <w:tc>
          <w:tcPr>
            <w:tcW w:w="567" w:type="dxa"/>
            <w:shd w:val="clear" w:color="auto" w:fill="D9D9D9" w:themeFill="background1" w:themeFillShade="D9"/>
            <w:vAlign w:val="center"/>
          </w:tcPr>
          <w:p w:rsidR="00A8015A" w:rsidRPr="00740FA0" w:rsidRDefault="00A8015A" w:rsidP="00740FA0">
            <w:pPr>
              <w:spacing w:after="0" w:line="276" w:lineRule="auto"/>
              <w:contextualSpacing/>
              <w:jc w:val="center"/>
              <w:rPr>
                <w:rFonts w:ascii="Cambria" w:hAnsi="Cambria" w:cs="Arial"/>
                <w:b/>
                <w:color w:val="000000"/>
              </w:rPr>
            </w:pPr>
            <w:r w:rsidRPr="006423FA">
              <w:rPr>
                <w:rFonts w:ascii="Cambria" w:hAnsi="Cambria" w:cs="Arial"/>
                <w:b/>
                <w:color w:val="000000"/>
              </w:rPr>
              <w:t>Sl.</w:t>
            </w:r>
          </w:p>
        </w:tc>
        <w:tc>
          <w:tcPr>
            <w:tcW w:w="2552" w:type="dxa"/>
            <w:shd w:val="clear" w:color="auto" w:fill="D9D9D9" w:themeFill="background1" w:themeFillShade="D9"/>
            <w:vAlign w:val="center"/>
          </w:tcPr>
          <w:p w:rsidR="00A8015A" w:rsidRPr="00740FA0" w:rsidRDefault="00A8015A" w:rsidP="00740FA0">
            <w:pPr>
              <w:spacing w:after="0" w:line="276" w:lineRule="auto"/>
              <w:contextualSpacing/>
              <w:jc w:val="center"/>
              <w:rPr>
                <w:rFonts w:ascii="Cambria" w:hAnsi="Cambria" w:cs="Arial"/>
                <w:b/>
                <w:color w:val="000000"/>
              </w:rPr>
            </w:pPr>
            <w:r>
              <w:rPr>
                <w:rFonts w:ascii="Cambria" w:hAnsi="Cambria" w:cs="Arial"/>
                <w:b/>
                <w:color w:val="000000"/>
              </w:rPr>
              <w:t>Subject</w:t>
            </w:r>
          </w:p>
        </w:tc>
        <w:tc>
          <w:tcPr>
            <w:tcW w:w="6662" w:type="dxa"/>
            <w:shd w:val="clear" w:color="auto" w:fill="D9D9D9" w:themeFill="background1" w:themeFillShade="D9"/>
            <w:vAlign w:val="center"/>
          </w:tcPr>
          <w:p w:rsidR="00A8015A" w:rsidRPr="00740FA0" w:rsidRDefault="00A8015A" w:rsidP="00740FA0">
            <w:pPr>
              <w:spacing w:after="0" w:line="276" w:lineRule="auto"/>
              <w:contextualSpacing/>
              <w:jc w:val="center"/>
              <w:rPr>
                <w:rFonts w:ascii="Cambria" w:hAnsi="Cambria" w:cs="Arial"/>
                <w:b/>
                <w:color w:val="000000"/>
              </w:rPr>
            </w:pPr>
            <w:r w:rsidRPr="00475852">
              <w:rPr>
                <w:rFonts w:ascii="Cambria" w:hAnsi="Cambria" w:cs="Arial"/>
                <w:b/>
                <w:color w:val="000000"/>
              </w:rPr>
              <w:t>Issues and Rationale</w:t>
            </w:r>
          </w:p>
        </w:tc>
        <w:tc>
          <w:tcPr>
            <w:tcW w:w="5103" w:type="dxa"/>
            <w:shd w:val="clear" w:color="auto" w:fill="D9D9D9" w:themeFill="background1" w:themeFillShade="D9"/>
            <w:vAlign w:val="center"/>
          </w:tcPr>
          <w:p w:rsidR="00A8015A" w:rsidRPr="00740FA0" w:rsidRDefault="00A8015A" w:rsidP="00740FA0">
            <w:pPr>
              <w:spacing w:after="0" w:line="276" w:lineRule="auto"/>
              <w:contextualSpacing/>
              <w:jc w:val="center"/>
              <w:rPr>
                <w:rFonts w:ascii="Cambria" w:hAnsi="Cambria" w:cs="Arial"/>
                <w:b/>
                <w:color w:val="000000"/>
              </w:rPr>
            </w:pPr>
            <w:r w:rsidRPr="00475852">
              <w:rPr>
                <w:rFonts w:ascii="Cambria" w:hAnsi="Cambria" w:cs="Arial"/>
                <w:b/>
                <w:color w:val="000000"/>
              </w:rPr>
              <w:t>Recommendations</w:t>
            </w:r>
          </w:p>
        </w:tc>
      </w:tr>
      <w:tr w:rsidR="009C1FE0" w:rsidRPr="00782FB0" w:rsidTr="009C1FE0">
        <w:trPr>
          <w:trHeight w:val="2100"/>
        </w:trPr>
        <w:tc>
          <w:tcPr>
            <w:tcW w:w="567" w:type="dxa"/>
          </w:tcPr>
          <w:p w:rsidR="009C1FE0" w:rsidRPr="00782FB0" w:rsidRDefault="0007311F"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1</w:t>
            </w:r>
            <w:r w:rsidR="009C1FE0" w:rsidRPr="00782FB0">
              <w:rPr>
                <w:rFonts w:ascii="Cambria" w:eastAsia="Calibri" w:hAnsi="Cambria" w:cs="Arial"/>
                <w:color w:val="000000"/>
                <w:sz w:val="22"/>
                <w:szCs w:val="22"/>
                <w:lang w:val="en-GB"/>
              </w:rPr>
              <w:t>.</w:t>
            </w:r>
          </w:p>
        </w:tc>
        <w:tc>
          <w:tcPr>
            <w:tcW w:w="2552" w:type="dxa"/>
            <w:shd w:val="clear" w:color="auto" w:fill="auto"/>
          </w:tcPr>
          <w:p w:rsidR="009C1FE0" w:rsidRPr="00587FE1" w:rsidRDefault="009C1FE0" w:rsidP="00587FE1">
            <w:pPr>
              <w:spacing w:line="256" w:lineRule="auto"/>
              <w:outlineLvl w:val="0"/>
              <w:rPr>
                <w:rFonts w:ascii="Cambria" w:eastAsia="Times New Roman" w:hAnsi="Cambria" w:cs="Calibri"/>
                <w:b/>
                <w:bCs/>
              </w:rPr>
            </w:pPr>
            <w:bookmarkStart w:id="1" w:name="_Toc52799833"/>
            <w:r w:rsidRPr="00B95BFA">
              <w:rPr>
                <w:rFonts w:ascii="Cambria" w:eastAsia="Times New Roman" w:hAnsi="Cambria" w:cs="Calibri"/>
                <w:b/>
                <w:bCs/>
              </w:rPr>
              <w:t>Utilization of Remission of Duties and Taxes on Export Products (RoDTEP) and Rebate of State and Central Taxes and Levies (RoSCTL) scrips for payment of GST</w:t>
            </w:r>
            <w:bookmarkEnd w:id="1"/>
            <w:r w:rsidRPr="00B95BFA">
              <w:rPr>
                <w:rFonts w:ascii="Cambria" w:eastAsia="Times New Roman" w:hAnsi="Cambria" w:cs="Calibri"/>
                <w:b/>
                <w:bCs/>
              </w:rPr>
              <w:t xml:space="preserve"> </w:t>
            </w:r>
          </w:p>
        </w:tc>
        <w:tc>
          <w:tcPr>
            <w:tcW w:w="6662" w:type="dxa"/>
          </w:tcPr>
          <w:p w:rsidR="009C1FE0" w:rsidRPr="00B95BFA" w:rsidRDefault="009C1FE0" w:rsidP="009C1FE0">
            <w:pPr>
              <w:pStyle w:val="ListParagraph"/>
              <w:numPr>
                <w:ilvl w:val="0"/>
                <w:numId w:val="11"/>
              </w:numPr>
              <w:spacing w:after="0"/>
              <w:ind w:left="272" w:hanging="284"/>
              <w:jc w:val="both"/>
              <w:rPr>
                <w:rFonts w:ascii="Cambria" w:hAnsi="Cambria" w:cs="Calibri"/>
              </w:rPr>
            </w:pPr>
            <w:r w:rsidRPr="00B95BFA">
              <w:rPr>
                <w:rFonts w:ascii="Cambria" w:hAnsi="Cambria" w:cs="Calibri"/>
              </w:rPr>
              <w:t xml:space="preserve">As per para 4.56 of the FTP 2015-20, scrips can be </w:t>
            </w:r>
            <w:r w:rsidRPr="00B95BFA">
              <w:rPr>
                <w:rFonts w:ascii="Cambria" w:hAnsi="Cambria"/>
              </w:rPr>
              <w:t>utilized</w:t>
            </w:r>
            <w:r w:rsidRPr="00B95BFA">
              <w:rPr>
                <w:rFonts w:ascii="Cambria" w:hAnsi="Cambria" w:cs="Calibri"/>
              </w:rPr>
              <w:t xml:space="preserve"> to pay Basic Customs Duty.</w:t>
            </w:r>
          </w:p>
          <w:p w:rsidR="009C1FE0" w:rsidRPr="00B95BFA" w:rsidRDefault="009C1FE0" w:rsidP="009C1FE0">
            <w:pPr>
              <w:pStyle w:val="ListParagraph"/>
              <w:ind w:left="360"/>
              <w:jc w:val="both"/>
              <w:rPr>
                <w:rFonts w:ascii="Cambria" w:hAnsi="Cambria" w:cs="Calibri"/>
              </w:rPr>
            </w:pPr>
          </w:p>
          <w:p w:rsidR="009C1FE0" w:rsidRPr="00587FE1" w:rsidRDefault="009C1FE0" w:rsidP="004326DE">
            <w:pPr>
              <w:pStyle w:val="ListParagraph"/>
              <w:numPr>
                <w:ilvl w:val="0"/>
                <w:numId w:val="11"/>
              </w:numPr>
              <w:spacing w:after="0"/>
              <w:ind w:left="272" w:hanging="284"/>
              <w:jc w:val="both"/>
              <w:rPr>
                <w:rFonts w:ascii="Cambria" w:hAnsi="Cambria" w:cs="Calibri"/>
              </w:rPr>
            </w:pPr>
            <w:r w:rsidRPr="00587FE1">
              <w:rPr>
                <w:rFonts w:ascii="Cambria" w:hAnsi="Cambria"/>
              </w:rPr>
              <w:t>However</w:t>
            </w:r>
            <w:r w:rsidRPr="00587FE1">
              <w:rPr>
                <w:rFonts w:ascii="Cambria" w:hAnsi="Cambria" w:cs="Calibri"/>
              </w:rPr>
              <w:t xml:space="preserve">, they cannot be utilized for the payment of IGST &amp; GST Compensation Cess on imports and CGST, SGST/UTGST, IGST &amp; GST Compensation Cess on domestic procurement. </w:t>
            </w:r>
          </w:p>
          <w:p w:rsidR="009C1FE0" w:rsidRPr="00B95BFA" w:rsidRDefault="009C1FE0" w:rsidP="009C1FE0">
            <w:pPr>
              <w:pStyle w:val="ListParagraph"/>
              <w:spacing w:after="0"/>
              <w:ind w:left="272"/>
              <w:jc w:val="both"/>
              <w:rPr>
                <w:rFonts w:ascii="Cambria" w:hAnsi="Cambria" w:cs="Calibri"/>
              </w:rPr>
            </w:pPr>
          </w:p>
          <w:p w:rsidR="009C1FE0" w:rsidRPr="00684042" w:rsidRDefault="009C1FE0" w:rsidP="007A15A7">
            <w:pPr>
              <w:pStyle w:val="ListParagraph"/>
              <w:spacing w:afterLines="120"/>
              <w:ind w:left="358"/>
              <w:jc w:val="both"/>
              <w:rPr>
                <w:rFonts w:ascii="Cambria" w:hAnsi="Cambria" w:cs="Arial"/>
                <w:color w:val="000000"/>
                <w:sz w:val="14"/>
                <w:szCs w:val="14"/>
              </w:rPr>
            </w:pPr>
          </w:p>
        </w:tc>
        <w:tc>
          <w:tcPr>
            <w:tcW w:w="5103" w:type="dxa"/>
            <w:shd w:val="clear" w:color="auto" w:fill="auto"/>
          </w:tcPr>
          <w:p w:rsidR="009C1FE0" w:rsidRPr="00202B14" w:rsidRDefault="009C1FE0" w:rsidP="00202B14">
            <w:pPr>
              <w:jc w:val="both"/>
              <w:rPr>
                <w:rFonts w:ascii="Cambria" w:eastAsia="Calibri" w:hAnsi="Cambria" w:cs="Calibri"/>
              </w:rPr>
            </w:pPr>
            <w:r w:rsidRPr="00202B14">
              <w:rPr>
                <w:rFonts w:ascii="Cambria" w:eastAsia="Calibri" w:hAnsi="Cambria" w:cs="Calibri"/>
              </w:rPr>
              <w:t xml:space="preserve">Foreign Trade Policy and Customs law be amended to </w:t>
            </w:r>
            <w:r w:rsidRPr="00202B14">
              <w:rPr>
                <w:rFonts w:ascii="Cambria" w:hAnsi="Cambria"/>
                <w:lang w:eastAsia="en-GB"/>
              </w:rPr>
              <w:t>allow</w:t>
            </w:r>
            <w:r w:rsidR="00684042">
              <w:rPr>
                <w:rFonts w:ascii="Cambria" w:eastAsia="Calibri" w:hAnsi="Cambria" w:cs="Calibri"/>
              </w:rPr>
              <w:t xml:space="preserve"> </w:t>
            </w:r>
            <w:r w:rsidRPr="00202B14">
              <w:rPr>
                <w:rFonts w:ascii="Cambria" w:eastAsia="Calibri" w:hAnsi="Cambria" w:cs="Calibri"/>
              </w:rPr>
              <w:t xml:space="preserve">utilization of scrips towards the payment of GST on imports and domestic procurements. </w:t>
            </w:r>
          </w:p>
          <w:p w:rsidR="009C1FE0" w:rsidRPr="00782FB0" w:rsidRDefault="009C1FE0" w:rsidP="009C1FE0">
            <w:pPr>
              <w:pStyle w:val="ListParagraph"/>
              <w:tabs>
                <w:tab w:val="left" w:pos="328"/>
              </w:tabs>
              <w:spacing w:after="0"/>
              <w:ind w:left="0"/>
              <w:jc w:val="both"/>
              <w:rPr>
                <w:rFonts w:ascii="Cambria" w:hAnsi="Cambria"/>
                <w:lang w:eastAsia="en-GB"/>
              </w:rPr>
            </w:pPr>
          </w:p>
        </w:tc>
      </w:tr>
      <w:tr w:rsidR="009C1FE0" w:rsidRPr="00782FB0" w:rsidTr="00392374">
        <w:trPr>
          <w:trHeight w:val="965"/>
        </w:trPr>
        <w:tc>
          <w:tcPr>
            <w:tcW w:w="567" w:type="dxa"/>
          </w:tcPr>
          <w:p w:rsidR="009C1FE0" w:rsidRPr="00782FB0" w:rsidRDefault="0007311F"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2</w:t>
            </w:r>
            <w:r w:rsidR="009C1FE0" w:rsidRPr="00782FB0">
              <w:rPr>
                <w:rFonts w:ascii="Cambria" w:eastAsia="Calibri" w:hAnsi="Cambria" w:cs="Arial"/>
                <w:color w:val="000000"/>
                <w:sz w:val="22"/>
                <w:szCs w:val="22"/>
                <w:lang w:val="en-GB"/>
              </w:rPr>
              <w:t>.</w:t>
            </w:r>
          </w:p>
        </w:tc>
        <w:tc>
          <w:tcPr>
            <w:tcW w:w="2552" w:type="dxa"/>
            <w:shd w:val="clear" w:color="auto" w:fill="auto"/>
          </w:tcPr>
          <w:p w:rsidR="009C1FE0" w:rsidRPr="00782FB0" w:rsidRDefault="009C1FE0" w:rsidP="009F3A2F">
            <w:pPr>
              <w:spacing w:after="0" w:line="276" w:lineRule="auto"/>
              <w:contextualSpacing/>
              <w:rPr>
                <w:rFonts w:ascii="Cambria" w:hAnsi="Cambria"/>
                <w:b/>
              </w:rPr>
            </w:pPr>
            <w:r w:rsidRPr="00B95BFA">
              <w:rPr>
                <w:rFonts w:ascii="Cambria" w:eastAsia="Times New Roman" w:hAnsi="Cambria" w:cs="Calibri"/>
                <w:b/>
                <w:bCs/>
              </w:rPr>
              <w:t>RoDTEP Scheme to be extended to exports made by SEZ, EOU &amp; under Advance Authorization</w:t>
            </w:r>
          </w:p>
        </w:tc>
        <w:tc>
          <w:tcPr>
            <w:tcW w:w="6662" w:type="dxa"/>
          </w:tcPr>
          <w:p w:rsidR="009C1FE0" w:rsidRPr="006A1473" w:rsidRDefault="009C1FE0" w:rsidP="006A1473">
            <w:pPr>
              <w:pStyle w:val="ListParagraph"/>
              <w:numPr>
                <w:ilvl w:val="0"/>
                <w:numId w:val="11"/>
              </w:numPr>
              <w:spacing w:after="0"/>
              <w:ind w:left="272" w:hanging="284"/>
              <w:jc w:val="both"/>
              <w:rPr>
                <w:rFonts w:ascii="Cambria" w:hAnsi="Cambria" w:cs="Calibri"/>
              </w:rPr>
            </w:pPr>
            <w:r w:rsidRPr="00B95BFA">
              <w:rPr>
                <w:rFonts w:ascii="Cambria" w:hAnsi="Cambria" w:cs="Calibri"/>
              </w:rPr>
              <w:t xml:space="preserve">The objective of the RoDTEP scheme is to refund taxes not refunded under GST and other statutes. Exporters operating under SEZ, EOU, and Advance Authorization suffer with the taxes in the same </w:t>
            </w:r>
            <w:r w:rsidRPr="00B95BFA">
              <w:rPr>
                <w:rFonts w:ascii="Cambria" w:hAnsi="Cambria"/>
              </w:rPr>
              <w:t>manner</w:t>
            </w:r>
            <w:r w:rsidRPr="00B95BFA">
              <w:rPr>
                <w:rFonts w:ascii="Cambria" w:hAnsi="Cambria" w:cs="Calibri"/>
              </w:rPr>
              <w:t xml:space="preserve"> as any other exporters who do not operate under the said schemes. However, currently, the above exports fall under the ineligible category of the </w:t>
            </w:r>
            <w:proofErr w:type="spellStart"/>
            <w:r w:rsidRPr="00B95BFA">
              <w:rPr>
                <w:rFonts w:ascii="Cambria" w:hAnsi="Cambria" w:cs="Calibri"/>
              </w:rPr>
              <w:t>RoDTEP</w:t>
            </w:r>
            <w:proofErr w:type="spellEnd"/>
            <w:r w:rsidRPr="00B95BFA">
              <w:rPr>
                <w:rFonts w:ascii="Cambria" w:hAnsi="Cambria" w:cs="Calibri"/>
              </w:rPr>
              <w:t xml:space="preserve"> scheme.</w:t>
            </w:r>
          </w:p>
        </w:tc>
        <w:tc>
          <w:tcPr>
            <w:tcW w:w="5103" w:type="dxa"/>
            <w:shd w:val="clear" w:color="auto" w:fill="auto"/>
          </w:tcPr>
          <w:p w:rsidR="009C1FE0" w:rsidRPr="00782FB0" w:rsidRDefault="009C1FE0" w:rsidP="009C1FE0">
            <w:pPr>
              <w:shd w:val="clear" w:color="auto" w:fill="FFFFFF"/>
              <w:spacing w:after="0"/>
              <w:jc w:val="both"/>
              <w:rPr>
                <w:rFonts w:ascii="Cambria" w:hAnsi="Cambria"/>
              </w:rPr>
            </w:pPr>
            <w:r w:rsidRPr="00B95BFA">
              <w:rPr>
                <w:rFonts w:ascii="Cambria" w:eastAsia="Calibri" w:hAnsi="Cambria" w:cs="Calibri"/>
              </w:rPr>
              <w:t xml:space="preserve">Chamber recommends Government to notify the exports made under SEZ, EOU, and Duty Exemption </w:t>
            </w:r>
            <w:r w:rsidRPr="00B95BFA">
              <w:rPr>
                <w:rFonts w:ascii="Cambria" w:hAnsi="Cambria"/>
                <w:lang w:eastAsia="en-GB"/>
              </w:rPr>
              <w:t>Schemes</w:t>
            </w:r>
            <w:r w:rsidRPr="00B95BFA">
              <w:rPr>
                <w:rFonts w:ascii="Cambria" w:eastAsia="Calibri" w:hAnsi="Cambria" w:cs="Calibri"/>
              </w:rPr>
              <w:t xml:space="preserve"> (Advance Authorisation) under RoDTEP Schemes as an eligible category.</w:t>
            </w:r>
          </w:p>
        </w:tc>
      </w:tr>
      <w:tr w:rsidR="009C1FE0" w:rsidRPr="00782FB0" w:rsidTr="00392374">
        <w:trPr>
          <w:trHeight w:val="965"/>
        </w:trPr>
        <w:tc>
          <w:tcPr>
            <w:tcW w:w="567" w:type="dxa"/>
          </w:tcPr>
          <w:p w:rsidR="009C1FE0" w:rsidRPr="00782FB0" w:rsidRDefault="0007311F"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3</w:t>
            </w:r>
            <w:r w:rsidR="009C1FE0" w:rsidRPr="00782FB0">
              <w:rPr>
                <w:rFonts w:ascii="Cambria" w:eastAsia="Calibri" w:hAnsi="Cambria" w:cs="Arial"/>
                <w:color w:val="000000"/>
                <w:sz w:val="22"/>
                <w:szCs w:val="22"/>
                <w:lang w:val="en-GB"/>
              </w:rPr>
              <w:t>.</w:t>
            </w:r>
          </w:p>
        </w:tc>
        <w:tc>
          <w:tcPr>
            <w:tcW w:w="2552" w:type="dxa"/>
            <w:shd w:val="clear" w:color="auto" w:fill="auto"/>
          </w:tcPr>
          <w:p w:rsidR="009C1FE0" w:rsidRPr="00782FB0" w:rsidRDefault="009C1FE0" w:rsidP="009C1FE0">
            <w:pPr>
              <w:spacing w:after="0"/>
              <w:outlineLvl w:val="0"/>
              <w:rPr>
                <w:rFonts w:ascii="Cambria" w:eastAsia="Times New Roman" w:hAnsi="Cambria" w:cs="Calibri"/>
                <w:b/>
                <w:bCs/>
              </w:rPr>
            </w:pPr>
            <w:r w:rsidRPr="00B95BFA">
              <w:rPr>
                <w:rFonts w:ascii="Cambria" w:hAnsi="Cambria" w:cs="Calibri"/>
                <w:b/>
                <w:bCs/>
                <w:color w:val="000000"/>
              </w:rPr>
              <w:t>One-time amnesty-cum-dispute resolution scheme for disputes and litigations under Customs law</w:t>
            </w:r>
          </w:p>
        </w:tc>
        <w:tc>
          <w:tcPr>
            <w:tcW w:w="6662" w:type="dxa"/>
          </w:tcPr>
          <w:p w:rsidR="009C1FE0" w:rsidRPr="00B95BFA" w:rsidRDefault="009C1FE0" w:rsidP="009C1FE0">
            <w:pPr>
              <w:pStyle w:val="ListParagraph"/>
              <w:numPr>
                <w:ilvl w:val="0"/>
                <w:numId w:val="11"/>
              </w:numPr>
              <w:spacing w:after="0"/>
              <w:ind w:left="272" w:hanging="284"/>
              <w:jc w:val="both"/>
              <w:rPr>
                <w:rFonts w:ascii="Cambria" w:hAnsi="Cambria" w:cs="Calibri"/>
                <w:lang w:eastAsia="en-GB"/>
              </w:rPr>
            </w:pPr>
            <w:r w:rsidRPr="00B95BFA">
              <w:rPr>
                <w:rFonts w:ascii="Cambria" w:hAnsi="Cambria" w:cs="Calibri"/>
                <w:lang w:eastAsia="en-GB"/>
              </w:rPr>
              <w:t>Government of India has in the past notified “Sabkha Vishwas (</w:t>
            </w:r>
            <w:r w:rsidRPr="00B95BFA">
              <w:rPr>
                <w:rFonts w:ascii="Cambria" w:hAnsi="Cambria" w:cs="Calibri"/>
              </w:rPr>
              <w:t>Legacy</w:t>
            </w:r>
            <w:r w:rsidRPr="00B95BFA">
              <w:rPr>
                <w:rFonts w:ascii="Cambria" w:hAnsi="Cambria" w:cs="Calibri"/>
                <w:lang w:eastAsia="en-GB"/>
              </w:rPr>
              <w:t xml:space="preserve"> Dispute Resolution) Scheme 2019," </w:t>
            </w:r>
            <w:r w:rsidRPr="00B95BFA">
              <w:rPr>
                <w:rFonts w:ascii="Cambria" w:hAnsi="Cambria"/>
              </w:rPr>
              <w:t>covering</w:t>
            </w:r>
            <w:r w:rsidRPr="00B95BFA">
              <w:rPr>
                <w:rFonts w:ascii="Cambria" w:hAnsi="Cambria" w:cs="Calibri"/>
                <w:lang w:eastAsia="en-GB"/>
              </w:rPr>
              <w:t xml:space="preserve"> litigations under the erstwhile Central Excise and Service Tax law. This was a welcome measure as it gave a major relief to Industry from long pending and protracted litigations. In addition, it facilitated the industry to focus on GST compliance. The Government could also sharply allocate the resources involved in litigation to ensure GST compliance and subsequent audits. </w:t>
            </w:r>
          </w:p>
          <w:p w:rsidR="009C1FE0" w:rsidRPr="002D364A" w:rsidRDefault="009C1FE0" w:rsidP="009C1FE0">
            <w:pPr>
              <w:pStyle w:val="ListParagraph"/>
              <w:ind w:left="360"/>
              <w:jc w:val="both"/>
              <w:rPr>
                <w:rFonts w:ascii="Cambria" w:hAnsi="Cambria" w:cs="Calibri"/>
                <w:sz w:val="14"/>
                <w:szCs w:val="14"/>
                <w:lang w:eastAsia="en-GB"/>
              </w:rPr>
            </w:pPr>
          </w:p>
          <w:p w:rsidR="009C1FE0" w:rsidRPr="00B95BFA" w:rsidRDefault="009C1FE0" w:rsidP="009C1FE0">
            <w:pPr>
              <w:pStyle w:val="ListParagraph"/>
              <w:numPr>
                <w:ilvl w:val="0"/>
                <w:numId w:val="11"/>
              </w:numPr>
              <w:spacing w:after="0"/>
              <w:ind w:left="272" w:hanging="284"/>
              <w:jc w:val="both"/>
              <w:rPr>
                <w:rFonts w:ascii="Cambria" w:hAnsi="Cambria" w:cs="Calibri"/>
                <w:lang w:eastAsia="en-GB"/>
              </w:rPr>
            </w:pPr>
            <w:r w:rsidRPr="00B95BFA">
              <w:rPr>
                <w:rFonts w:ascii="Cambria" w:hAnsi="Cambria"/>
              </w:rPr>
              <w:t>Similarly</w:t>
            </w:r>
            <w:r w:rsidRPr="00B95BFA">
              <w:rPr>
                <w:rFonts w:ascii="Cambria" w:hAnsi="Cambria" w:cs="Calibri"/>
                <w:lang w:eastAsia="en-GB"/>
              </w:rPr>
              <w:t xml:space="preserve">, customs litigations pending at various forums for a very long time also require time and effort to be spent by both the taxpayer and Government in resolving them. </w:t>
            </w:r>
          </w:p>
          <w:p w:rsidR="009C1FE0" w:rsidRPr="009A1196" w:rsidRDefault="009C1FE0" w:rsidP="007A15A7">
            <w:pPr>
              <w:pStyle w:val="ListParagraph"/>
              <w:numPr>
                <w:ilvl w:val="0"/>
                <w:numId w:val="6"/>
              </w:numPr>
              <w:spacing w:afterLines="120"/>
              <w:ind w:left="358"/>
              <w:jc w:val="both"/>
              <w:rPr>
                <w:rFonts w:ascii="Cambria" w:hAnsi="Cambria" w:cs="Arial"/>
                <w:color w:val="000000"/>
              </w:rPr>
            </w:pPr>
            <w:r w:rsidRPr="00B95BFA">
              <w:rPr>
                <w:rFonts w:ascii="Cambria" w:hAnsi="Cambria" w:cs="Calibri"/>
                <w:lang w:eastAsia="en-GB"/>
              </w:rPr>
              <w:lastRenderedPageBreak/>
              <w:t xml:space="preserve">A Scheme similar to “Sabkha Vishwas (Legacy Dispute Resolution) </w:t>
            </w:r>
            <w:r w:rsidRPr="00B95BFA">
              <w:rPr>
                <w:rFonts w:ascii="Cambria" w:hAnsi="Cambria" w:cs="Calibri"/>
              </w:rPr>
              <w:t>Scheme</w:t>
            </w:r>
            <w:r w:rsidRPr="00B95BFA">
              <w:rPr>
                <w:rFonts w:ascii="Cambria" w:hAnsi="Cambria" w:cs="Calibri"/>
                <w:lang w:eastAsia="en-GB"/>
              </w:rPr>
              <w:t xml:space="preserve"> 2019” for customs litigation would go a long way in freeing up time for </w:t>
            </w:r>
            <w:r w:rsidRPr="00B95BFA">
              <w:rPr>
                <w:rFonts w:ascii="Cambria" w:hAnsi="Cambria"/>
              </w:rPr>
              <w:t>Industry</w:t>
            </w:r>
            <w:r w:rsidRPr="00B95BFA">
              <w:rPr>
                <w:rFonts w:ascii="Cambria" w:hAnsi="Cambria" w:cs="Calibri"/>
                <w:lang w:eastAsia="en-GB"/>
              </w:rPr>
              <w:t xml:space="preserve"> from such protracted litigations and to focus on business.</w:t>
            </w:r>
          </w:p>
        </w:tc>
        <w:tc>
          <w:tcPr>
            <w:tcW w:w="5103" w:type="dxa"/>
            <w:shd w:val="clear" w:color="auto" w:fill="auto"/>
          </w:tcPr>
          <w:p w:rsidR="009C1FE0" w:rsidRPr="00202B14" w:rsidRDefault="009C1FE0" w:rsidP="00202B14">
            <w:pPr>
              <w:jc w:val="both"/>
              <w:rPr>
                <w:rFonts w:ascii="Cambria" w:hAnsi="Cambria" w:cs="Calibri"/>
                <w:lang w:eastAsia="en-GB"/>
              </w:rPr>
            </w:pPr>
            <w:r w:rsidRPr="00202B14">
              <w:rPr>
                <w:rFonts w:ascii="Cambria" w:hAnsi="Cambria" w:cs="Calibri"/>
                <w:lang w:eastAsia="en-GB"/>
              </w:rPr>
              <w:lastRenderedPageBreak/>
              <w:t xml:space="preserve">Chamber recommends introducing a one-time amnesty-cum-dispute resolution scheme similar to Sabkha Vishwas (Legacy Dispute Resolution) Scheme 2019 to resolve long pending and protracted litigation under the Customs law. </w:t>
            </w:r>
          </w:p>
          <w:p w:rsidR="009C1FE0" w:rsidRPr="00782FB0" w:rsidRDefault="009C1FE0" w:rsidP="009C1FE0">
            <w:pPr>
              <w:spacing w:after="0"/>
              <w:jc w:val="both"/>
              <w:rPr>
                <w:rFonts w:ascii="Cambria" w:eastAsia="Calibri" w:hAnsi="Cambria" w:cs="Calibri"/>
              </w:rPr>
            </w:pPr>
          </w:p>
        </w:tc>
      </w:tr>
      <w:tr w:rsidR="0007311F" w:rsidRPr="00782FB0" w:rsidTr="00392374">
        <w:trPr>
          <w:trHeight w:val="965"/>
        </w:trPr>
        <w:tc>
          <w:tcPr>
            <w:tcW w:w="567" w:type="dxa"/>
          </w:tcPr>
          <w:p w:rsidR="0007311F" w:rsidRDefault="0007311F"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4.</w:t>
            </w:r>
          </w:p>
        </w:tc>
        <w:tc>
          <w:tcPr>
            <w:tcW w:w="2552" w:type="dxa"/>
            <w:shd w:val="clear" w:color="auto" w:fill="auto"/>
          </w:tcPr>
          <w:p w:rsidR="0007311F" w:rsidRPr="00B95BFA" w:rsidRDefault="0007311F" w:rsidP="0007311F">
            <w:pPr>
              <w:spacing w:line="256" w:lineRule="auto"/>
              <w:outlineLvl w:val="0"/>
              <w:rPr>
                <w:rFonts w:ascii="Cambria" w:eastAsia="Times New Roman" w:hAnsi="Cambria" w:cs="Calibri"/>
                <w:b/>
                <w:bCs/>
              </w:rPr>
            </w:pPr>
            <w:bookmarkStart w:id="2" w:name="_Toc52799774"/>
            <w:r w:rsidRPr="00B95BFA">
              <w:rPr>
                <w:rFonts w:ascii="Cambria" w:eastAsia="Times New Roman" w:hAnsi="Cambria" w:cs="Calibri"/>
                <w:b/>
                <w:bCs/>
              </w:rPr>
              <w:t>Duty Drawback for Defence Goods</w:t>
            </w:r>
            <w:bookmarkEnd w:id="2"/>
          </w:p>
          <w:p w:rsidR="0007311F" w:rsidRPr="00B95BFA" w:rsidRDefault="0007311F" w:rsidP="0007311F">
            <w:pPr>
              <w:spacing w:after="0"/>
              <w:outlineLvl w:val="0"/>
              <w:rPr>
                <w:rFonts w:ascii="Cambria" w:hAnsi="Cambria" w:cs="Calibri"/>
                <w:b/>
                <w:bCs/>
                <w:color w:val="000000"/>
              </w:rPr>
            </w:pPr>
          </w:p>
        </w:tc>
        <w:tc>
          <w:tcPr>
            <w:tcW w:w="6662" w:type="dxa"/>
          </w:tcPr>
          <w:p w:rsidR="0007311F" w:rsidRPr="00B95BFA" w:rsidRDefault="0007311F" w:rsidP="0007311F">
            <w:pPr>
              <w:pStyle w:val="ListParagraph"/>
              <w:numPr>
                <w:ilvl w:val="0"/>
                <w:numId w:val="11"/>
              </w:numPr>
              <w:spacing w:after="0"/>
              <w:ind w:left="272" w:hanging="284"/>
              <w:jc w:val="both"/>
              <w:rPr>
                <w:rFonts w:ascii="Cambria" w:hAnsi="Cambria" w:cs="Calibri"/>
              </w:rPr>
            </w:pPr>
            <w:r w:rsidRPr="00B95BFA">
              <w:rPr>
                <w:rFonts w:ascii="Cambria" w:hAnsi="Cambria" w:cs="Calibri"/>
              </w:rPr>
              <w:t xml:space="preserve">Duty Drawback rate for Defence goods is </w:t>
            </w:r>
            <w:r w:rsidRPr="00B95BFA">
              <w:rPr>
                <w:rFonts w:ascii="Cambria" w:hAnsi="Cambria" w:cs="Arial"/>
                <w:color w:val="000000"/>
              </w:rPr>
              <w:t>currently</w:t>
            </w:r>
            <w:r w:rsidRPr="00B95BFA">
              <w:rPr>
                <w:rFonts w:ascii="Cambria" w:hAnsi="Cambria" w:cs="Calibri"/>
              </w:rPr>
              <w:t xml:space="preserve"> NIL. The Government has increased the incentive on various goods by way of higher duty drawbacks to boost exports and ease the liquidity crunch faced by </w:t>
            </w:r>
            <w:r w:rsidRPr="00B95BFA">
              <w:rPr>
                <w:rFonts w:ascii="Cambria" w:hAnsi="Cambria"/>
              </w:rPr>
              <w:t>exporters</w:t>
            </w:r>
            <w:r w:rsidRPr="00B95BFA">
              <w:rPr>
                <w:rFonts w:ascii="Cambria" w:hAnsi="Cambria" w:cs="Calibri"/>
              </w:rPr>
              <w:t xml:space="preserve"> after the rollout of the GST. </w:t>
            </w:r>
          </w:p>
          <w:p w:rsidR="0007311F" w:rsidRPr="00FB029B" w:rsidRDefault="0007311F" w:rsidP="0007311F">
            <w:pPr>
              <w:pStyle w:val="ListParagraph"/>
              <w:spacing w:after="0"/>
              <w:ind w:left="272"/>
              <w:jc w:val="both"/>
              <w:rPr>
                <w:rFonts w:ascii="Cambria" w:hAnsi="Cambria" w:cs="Calibri"/>
                <w:sz w:val="14"/>
                <w:szCs w:val="14"/>
              </w:rPr>
            </w:pPr>
          </w:p>
          <w:p w:rsidR="0007311F" w:rsidRPr="00382515" w:rsidRDefault="0007311F" w:rsidP="00382515">
            <w:pPr>
              <w:pStyle w:val="ListParagraph"/>
              <w:numPr>
                <w:ilvl w:val="0"/>
                <w:numId w:val="11"/>
              </w:numPr>
              <w:spacing w:after="0"/>
              <w:ind w:left="272" w:hanging="284"/>
              <w:jc w:val="both"/>
              <w:rPr>
                <w:rFonts w:ascii="Cambria" w:hAnsi="Cambria" w:cs="Calibri"/>
              </w:rPr>
            </w:pPr>
            <w:r w:rsidRPr="00B95BFA">
              <w:rPr>
                <w:rFonts w:ascii="Cambria" w:hAnsi="Cambria" w:cs="Calibri"/>
              </w:rPr>
              <w:t xml:space="preserve">The drawback neutralizes customs duty and </w:t>
            </w:r>
            <w:r w:rsidRPr="00B95BFA">
              <w:rPr>
                <w:rFonts w:ascii="Cambria" w:hAnsi="Cambria" w:cs="Arial"/>
                <w:color w:val="000000"/>
              </w:rPr>
              <w:t>GST</w:t>
            </w:r>
            <w:r w:rsidRPr="00B95BFA">
              <w:rPr>
                <w:rFonts w:ascii="Cambria" w:hAnsi="Cambria" w:cs="Calibri"/>
              </w:rPr>
              <w:t xml:space="preserve"> </w:t>
            </w:r>
            <w:r w:rsidRPr="00B95BFA">
              <w:rPr>
                <w:rFonts w:ascii="Cambria" w:hAnsi="Cambria"/>
              </w:rPr>
              <w:t>component</w:t>
            </w:r>
            <w:r w:rsidRPr="00B95BFA">
              <w:rPr>
                <w:rFonts w:ascii="Cambria" w:hAnsi="Cambria" w:cs="Calibri"/>
              </w:rPr>
              <w:t>s on the inputs used for products exported. Duty drawback makes India's exports more competitive in the global economy.</w:t>
            </w:r>
          </w:p>
        </w:tc>
        <w:tc>
          <w:tcPr>
            <w:tcW w:w="5103" w:type="dxa"/>
            <w:shd w:val="clear" w:color="auto" w:fill="auto"/>
          </w:tcPr>
          <w:p w:rsidR="0007311F" w:rsidRPr="00202B14" w:rsidRDefault="0007311F" w:rsidP="00202B14">
            <w:pPr>
              <w:jc w:val="both"/>
              <w:rPr>
                <w:rFonts w:ascii="Cambria" w:hAnsi="Cambria" w:cs="Calibri"/>
                <w:lang w:eastAsia="en-GB"/>
              </w:rPr>
            </w:pPr>
            <w:r w:rsidRPr="00202B14">
              <w:rPr>
                <w:rFonts w:ascii="Cambria" w:hAnsi="Cambria" w:cs="Calibri"/>
              </w:rPr>
              <w:t xml:space="preserve">To promote the Defence sector, the exporter </w:t>
            </w:r>
            <w:r w:rsidRPr="00202B14">
              <w:rPr>
                <w:rFonts w:ascii="Cambria" w:hAnsi="Cambria"/>
                <w:lang w:eastAsia="en-GB"/>
              </w:rPr>
              <w:t>should</w:t>
            </w:r>
            <w:r w:rsidRPr="00202B14">
              <w:rPr>
                <w:rFonts w:ascii="Cambria" w:hAnsi="Cambria" w:cs="Calibri"/>
              </w:rPr>
              <w:t xml:space="preserve"> be given a duty drawback incentive.</w:t>
            </w:r>
          </w:p>
        </w:tc>
      </w:tr>
      <w:tr w:rsidR="004E5E7C" w:rsidRPr="00782FB0" w:rsidTr="00392374">
        <w:trPr>
          <w:trHeight w:val="965"/>
        </w:trPr>
        <w:tc>
          <w:tcPr>
            <w:tcW w:w="567" w:type="dxa"/>
          </w:tcPr>
          <w:p w:rsidR="004E5E7C" w:rsidRDefault="00C234D8"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t>5.</w:t>
            </w:r>
          </w:p>
        </w:tc>
        <w:tc>
          <w:tcPr>
            <w:tcW w:w="2552" w:type="dxa"/>
            <w:shd w:val="clear" w:color="auto" w:fill="auto"/>
          </w:tcPr>
          <w:p w:rsidR="004E5E7C" w:rsidRPr="00B95BFA" w:rsidRDefault="004E5E7C" w:rsidP="004E5E7C">
            <w:pPr>
              <w:spacing w:line="256" w:lineRule="auto"/>
              <w:outlineLvl w:val="0"/>
              <w:rPr>
                <w:rFonts w:ascii="Cambria" w:eastAsia="Times New Roman" w:hAnsi="Cambria" w:cs="Calibri"/>
                <w:b/>
                <w:bCs/>
              </w:rPr>
            </w:pPr>
            <w:r w:rsidRPr="00867C9D">
              <w:rPr>
                <w:rFonts w:ascii="Cambria" w:eastAsia="Times New Roman" w:hAnsi="Cambria" w:cs="Calibri"/>
                <w:b/>
                <w:bCs/>
              </w:rPr>
              <w:t>CAROTAR 2020</w:t>
            </w:r>
          </w:p>
        </w:tc>
        <w:tc>
          <w:tcPr>
            <w:tcW w:w="6662" w:type="dxa"/>
          </w:tcPr>
          <w:p w:rsidR="004E5E7C" w:rsidRPr="00B95BFA" w:rsidRDefault="004E5E7C" w:rsidP="004E5E7C">
            <w:pPr>
              <w:pStyle w:val="ListParagraph"/>
              <w:numPr>
                <w:ilvl w:val="0"/>
                <w:numId w:val="11"/>
              </w:numPr>
              <w:spacing w:after="0"/>
              <w:ind w:left="272" w:hanging="284"/>
              <w:jc w:val="both"/>
              <w:rPr>
                <w:rFonts w:ascii="Cambria" w:hAnsi="Cambria"/>
              </w:rPr>
            </w:pPr>
            <w:r w:rsidRPr="00B95BFA">
              <w:rPr>
                <w:rFonts w:ascii="Cambria" w:hAnsi="Cambria"/>
              </w:rPr>
              <w:t>Degree of onus on the importers regarding the correctness, and genuineness of information received from the exporter, without having any means to verify it, especially when goods are procured through traders, is a big challenge.</w:t>
            </w:r>
          </w:p>
          <w:p w:rsidR="004E5E7C" w:rsidRPr="00B95BFA" w:rsidRDefault="004E5E7C" w:rsidP="004E5E7C">
            <w:pPr>
              <w:pStyle w:val="ListParagraph"/>
              <w:spacing w:after="0"/>
              <w:ind w:left="328"/>
              <w:rPr>
                <w:rFonts w:ascii="Cambria" w:hAnsi="Cambria"/>
              </w:rPr>
            </w:pPr>
          </w:p>
          <w:p w:rsidR="004E5E7C" w:rsidRPr="00B95BFA" w:rsidRDefault="004E5E7C" w:rsidP="004E5E7C">
            <w:pPr>
              <w:pStyle w:val="ListParagraph"/>
              <w:numPr>
                <w:ilvl w:val="0"/>
                <w:numId w:val="11"/>
              </w:numPr>
              <w:spacing w:after="0"/>
              <w:ind w:left="272" w:hanging="284"/>
              <w:jc w:val="both"/>
              <w:rPr>
                <w:rFonts w:ascii="Cambria" w:hAnsi="Cambria"/>
              </w:rPr>
            </w:pPr>
            <w:r w:rsidRPr="00B95BFA">
              <w:rPr>
                <w:rFonts w:ascii="Cambria" w:hAnsi="Cambria"/>
              </w:rPr>
              <w:t>Due to confidentiality, overseas exporters may be reluctant to share information on costing, value addition, profit, etc.</w:t>
            </w:r>
          </w:p>
          <w:p w:rsidR="004E5E7C" w:rsidRPr="00B95BFA" w:rsidRDefault="004E5E7C" w:rsidP="004E5E7C">
            <w:pPr>
              <w:pStyle w:val="ListParagraph"/>
              <w:ind w:left="360"/>
              <w:jc w:val="both"/>
              <w:rPr>
                <w:rFonts w:ascii="Cambria" w:hAnsi="Cambria"/>
              </w:rPr>
            </w:pPr>
          </w:p>
          <w:p w:rsidR="004E5E7C" w:rsidRPr="00B95BFA" w:rsidRDefault="004E5E7C" w:rsidP="004E5E7C">
            <w:pPr>
              <w:pStyle w:val="ListParagraph"/>
              <w:numPr>
                <w:ilvl w:val="0"/>
                <w:numId w:val="11"/>
              </w:numPr>
              <w:spacing w:after="0"/>
              <w:ind w:left="272" w:hanging="284"/>
              <w:jc w:val="both"/>
              <w:rPr>
                <w:rFonts w:ascii="Cambria" w:hAnsi="Cambria"/>
              </w:rPr>
            </w:pPr>
            <w:r w:rsidRPr="00B95BFA">
              <w:rPr>
                <w:rFonts w:ascii="Cambria" w:hAnsi="Cambria"/>
              </w:rPr>
              <w:t xml:space="preserve">The procedure introduced through the Notification is a long-drawn process. It will make the importer to intrude into the foreign buyer's domain and ensure that the COO is issued following the existing rules of the origin and the latest Notification. Since the COO issued is following their Government's directives on the Trade Agreements, save and except, very few unscrupulous importers may misuse these agreement rules and indulge in non-compliance with the COO requirements. </w:t>
            </w:r>
          </w:p>
          <w:p w:rsidR="004E5E7C" w:rsidRPr="00B95BFA" w:rsidRDefault="004E5E7C" w:rsidP="004E5E7C">
            <w:pPr>
              <w:pStyle w:val="ListParagraph"/>
              <w:numPr>
                <w:ilvl w:val="0"/>
                <w:numId w:val="11"/>
              </w:numPr>
              <w:spacing w:after="0"/>
              <w:ind w:left="272" w:hanging="284"/>
              <w:jc w:val="both"/>
              <w:rPr>
                <w:rFonts w:ascii="Cambria" w:hAnsi="Cambria"/>
              </w:rPr>
            </w:pPr>
            <w:r w:rsidRPr="00B95BFA">
              <w:rPr>
                <w:rFonts w:ascii="Cambria" w:hAnsi="Cambria"/>
              </w:rPr>
              <w:lastRenderedPageBreak/>
              <w:t xml:space="preserve">Major importers [AEO Status holders] source their imports from very reputed and law-compliant suppliers of high repute from overseas [who are also AEO Status holders]. Hence, due diligence regarding the reputation and genuineness of the importer and the supplier is already established. So, there is no reason to doubt their integrity and question the COO unless some discrepancy is noticed. </w:t>
            </w:r>
          </w:p>
          <w:p w:rsidR="004E5E7C" w:rsidRPr="00B95BFA" w:rsidRDefault="004E5E7C" w:rsidP="004E5E7C">
            <w:pPr>
              <w:pStyle w:val="ListParagraph"/>
              <w:spacing w:after="0"/>
              <w:ind w:left="272"/>
              <w:jc w:val="both"/>
              <w:rPr>
                <w:rFonts w:ascii="Cambria" w:hAnsi="Cambria"/>
              </w:rPr>
            </w:pPr>
          </w:p>
          <w:p w:rsidR="004E5E7C" w:rsidRDefault="004E5E7C" w:rsidP="004E5E7C">
            <w:pPr>
              <w:pStyle w:val="ListParagraph"/>
              <w:numPr>
                <w:ilvl w:val="0"/>
                <w:numId w:val="11"/>
              </w:numPr>
              <w:spacing w:after="0"/>
              <w:ind w:left="272" w:hanging="284"/>
              <w:jc w:val="both"/>
              <w:rPr>
                <w:rFonts w:ascii="Cambria" w:hAnsi="Cambria"/>
              </w:rPr>
            </w:pPr>
            <w:r w:rsidRPr="00B95BFA">
              <w:rPr>
                <w:rFonts w:ascii="Cambria" w:hAnsi="Cambria"/>
              </w:rPr>
              <w:t xml:space="preserve">The Government has indicated that the procedures introduced will not override the processes and timelines mentioned in the FTA / Trade Agreements. However, the procedures introduced ignore that such preferential rates and treaty benefits have their genesis in the economic integration between nations and form the backbone of multilateral trade across the globe. Introducing such restrictions in the Customs Law will deter importers from availing of such benefits. </w:t>
            </w:r>
          </w:p>
          <w:p w:rsidR="00AD4BBA" w:rsidRPr="00AD4BBA" w:rsidRDefault="00AD4BBA" w:rsidP="00AD4BBA">
            <w:pPr>
              <w:pStyle w:val="ListParagraph"/>
              <w:rPr>
                <w:rFonts w:ascii="Cambria" w:hAnsi="Cambria"/>
              </w:rPr>
            </w:pPr>
          </w:p>
          <w:p w:rsidR="004E5E7C" w:rsidRPr="00B95BFA" w:rsidRDefault="004E5E7C" w:rsidP="004E5E7C">
            <w:pPr>
              <w:pStyle w:val="ListParagraph"/>
              <w:numPr>
                <w:ilvl w:val="0"/>
                <w:numId w:val="11"/>
              </w:numPr>
              <w:spacing w:after="0"/>
              <w:ind w:left="272" w:hanging="284"/>
              <w:jc w:val="both"/>
              <w:rPr>
                <w:rFonts w:ascii="Cambria" w:hAnsi="Cambria"/>
                <w:u w:val="single"/>
              </w:rPr>
            </w:pPr>
            <w:r w:rsidRPr="00B95BFA">
              <w:rPr>
                <w:rFonts w:ascii="Cambria" w:eastAsia="Times New Roman" w:hAnsi="Cambria"/>
                <w:color w:val="222222"/>
                <w:lang w:eastAsia="en-IN" w:bidi="hi-IN"/>
              </w:rPr>
              <w:t xml:space="preserve">Hence, in case of any lacuna, left outs, or </w:t>
            </w:r>
            <w:r w:rsidRPr="00B95BFA">
              <w:rPr>
                <w:rFonts w:ascii="Cambria" w:hAnsi="Cambria"/>
              </w:rPr>
              <w:t>typographical</w:t>
            </w:r>
            <w:r w:rsidRPr="00B95BFA">
              <w:rPr>
                <w:rFonts w:ascii="Cambria" w:eastAsia="Times New Roman" w:hAnsi="Cambria"/>
                <w:color w:val="222222"/>
                <w:lang w:eastAsia="en-IN" w:bidi="hi-IN"/>
              </w:rPr>
              <w:t xml:space="preserve"> mistakes, the same may be cleared by accepting either a letter of undertaking or PD Bonds [from AEO Status holders] for faster clearances. There should be a timeframe fixed for the verification process from the cross-border counterparts. </w:t>
            </w:r>
          </w:p>
          <w:p w:rsidR="004E5E7C" w:rsidRPr="00B95BFA" w:rsidRDefault="004E5E7C" w:rsidP="004E5E7C">
            <w:pPr>
              <w:pStyle w:val="ListParagraph"/>
              <w:ind w:left="360"/>
              <w:jc w:val="both"/>
              <w:rPr>
                <w:rFonts w:ascii="Cambria" w:hAnsi="Cambria"/>
                <w:lang w:eastAsia="en-GB"/>
              </w:rPr>
            </w:pPr>
          </w:p>
          <w:p w:rsidR="007F1319" w:rsidRDefault="007F1319" w:rsidP="004E5E7C">
            <w:pPr>
              <w:pStyle w:val="ListParagraph"/>
              <w:numPr>
                <w:ilvl w:val="0"/>
                <w:numId w:val="11"/>
              </w:numPr>
              <w:spacing w:after="0"/>
              <w:ind w:left="272" w:hanging="284"/>
              <w:jc w:val="both"/>
              <w:rPr>
                <w:rFonts w:ascii="Cambria" w:hAnsi="Cambria"/>
                <w:lang w:eastAsia="en-GB"/>
              </w:rPr>
            </w:pPr>
            <w:r w:rsidRPr="007F1319">
              <w:rPr>
                <w:rFonts w:ascii="Cambria" w:hAnsi="Cambria"/>
                <w:lang w:eastAsia="en-GB"/>
              </w:rPr>
              <w:t>The verification of COO can be undertaken anytime during a period of 5 years from date of claiming Preferential Rate (‘PR’)</w:t>
            </w:r>
            <w:r w:rsidR="00910E19">
              <w:rPr>
                <w:rFonts w:ascii="Cambria" w:hAnsi="Cambria"/>
                <w:lang w:eastAsia="en-GB"/>
              </w:rPr>
              <w:t xml:space="preserve">. </w:t>
            </w:r>
            <w:r w:rsidR="00DB545F" w:rsidRPr="00DB545F">
              <w:rPr>
                <w:rFonts w:ascii="Cambria" w:hAnsi="Cambria"/>
                <w:lang w:eastAsia="en-GB"/>
              </w:rPr>
              <w:t xml:space="preserve">A prolonged period of 5 years for verification (and suspension) could cause difficulties for genuine importers and could affect the industry adversely. </w:t>
            </w:r>
          </w:p>
          <w:p w:rsidR="004E5E7C" w:rsidRDefault="004E5E7C" w:rsidP="004E5E7C">
            <w:pPr>
              <w:pStyle w:val="ListParagraph"/>
              <w:numPr>
                <w:ilvl w:val="0"/>
                <w:numId w:val="11"/>
              </w:numPr>
              <w:spacing w:after="0"/>
              <w:ind w:left="272" w:hanging="284"/>
              <w:jc w:val="both"/>
              <w:rPr>
                <w:rFonts w:ascii="Cambria" w:hAnsi="Cambria"/>
                <w:lang w:eastAsia="en-GB"/>
              </w:rPr>
            </w:pPr>
            <w:r w:rsidRPr="00B95BFA">
              <w:rPr>
                <w:rFonts w:ascii="Cambria" w:hAnsi="Cambria"/>
              </w:rPr>
              <w:lastRenderedPageBreak/>
              <w:t>Further</w:t>
            </w:r>
            <w:r w:rsidRPr="00B95BFA">
              <w:rPr>
                <w:rFonts w:ascii="Cambria" w:hAnsi="Cambria"/>
                <w:lang w:eastAsia="en-GB"/>
              </w:rPr>
              <w:t xml:space="preserve">, CBIC vide Circular No. 02/2022 dated 19 January 2022, it has been clarified that bank guarantee relaxations provided to AEO shall not apply for CAROTAR. </w:t>
            </w:r>
          </w:p>
          <w:p w:rsidR="004A7984" w:rsidRPr="004A7984" w:rsidRDefault="004A7984" w:rsidP="004A7984">
            <w:pPr>
              <w:pStyle w:val="ListParagraph"/>
              <w:rPr>
                <w:rFonts w:ascii="Cambria" w:hAnsi="Cambria"/>
                <w:lang w:eastAsia="en-GB"/>
              </w:rPr>
            </w:pPr>
          </w:p>
          <w:p w:rsidR="004A7984" w:rsidRPr="00B95BFA" w:rsidRDefault="004A7984" w:rsidP="004E5E7C">
            <w:pPr>
              <w:pStyle w:val="ListParagraph"/>
              <w:numPr>
                <w:ilvl w:val="0"/>
                <w:numId w:val="11"/>
              </w:numPr>
              <w:spacing w:after="0"/>
              <w:ind w:left="272" w:hanging="284"/>
              <w:jc w:val="both"/>
              <w:rPr>
                <w:rFonts w:ascii="Cambria" w:hAnsi="Cambria"/>
                <w:lang w:eastAsia="en-GB"/>
              </w:rPr>
            </w:pPr>
            <w:r>
              <w:rPr>
                <w:rFonts w:ascii="Cambria" w:hAnsi="Cambria"/>
                <w:lang w:eastAsia="en-GB"/>
              </w:rPr>
              <w:t>Also, w</w:t>
            </w:r>
            <w:r w:rsidRPr="004A7984">
              <w:rPr>
                <w:rFonts w:ascii="Cambria" w:hAnsi="Cambria"/>
                <w:lang w:eastAsia="en-GB"/>
              </w:rPr>
              <w:t xml:space="preserve">hile the provision specifies that the entire verification process should be completed within 45 days as per CAROTAR Rules or timelines as per rules of Origin, practically </w:t>
            </w:r>
            <w:r w:rsidR="00773DF0">
              <w:rPr>
                <w:rFonts w:ascii="Cambria" w:hAnsi="Cambria"/>
                <w:lang w:eastAsia="en-GB"/>
              </w:rPr>
              <w:t xml:space="preserve">such timelines are not adhered in certain cases. </w:t>
            </w:r>
          </w:p>
          <w:p w:rsidR="004E5E7C" w:rsidRPr="00B95BFA" w:rsidRDefault="004E5E7C" w:rsidP="004A7984">
            <w:pPr>
              <w:pStyle w:val="ListParagraph"/>
              <w:spacing w:after="0"/>
              <w:ind w:left="272"/>
              <w:jc w:val="both"/>
              <w:rPr>
                <w:rFonts w:ascii="Cambria" w:hAnsi="Cambria" w:cs="Calibri"/>
              </w:rPr>
            </w:pPr>
          </w:p>
        </w:tc>
        <w:tc>
          <w:tcPr>
            <w:tcW w:w="5103" w:type="dxa"/>
            <w:shd w:val="clear" w:color="auto" w:fill="auto"/>
          </w:tcPr>
          <w:p w:rsidR="004E5E7C" w:rsidRPr="00B130CA" w:rsidRDefault="004E5E7C" w:rsidP="00B130CA">
            <w:pPr>
              <w:jc w:val="both"/>
              <w:rPr>
                <w:rFonts w:ascii="Cambria" w:hAnsi="Cambria"/>
              </w:rPr>
            </w:pPr>
            <w:r w:rsidRPr="00B130CA">
              <w:rPr>
                <w:rFonts w:ascii="Cambria" w:hAnsi="Cambria"/>
                <w:lang w:eastAsia="en-GB"/>
              </w:rPr>
              <w:lastRenderedPageBreak/>
              <w:t>The</w:t>
            </w:r>
            <w:r w:rsidRPr="00B130CA">
              <w:rPr>
                <w:rFonts w:ascii="Cambria" w:hAnsi="Cambria"/>
              </w:rPr>
              <w:t xml:space="preserve"> Chamber recommends the following:</w:t>
            </w:r>
          </w:p>
          <w:p w:rsidR="004E5E7C" w:rsidRPr="00B95BFA" w:rsidRDefault="004E5E7C" w:rsidP="004E5E7C">
            <w:pPr>
              <w:numPr>
                <w:ilvl w:val="0"/>
                <w:numId w:val="10"/>
              </w:numPr>
              <w:shd w:val="clear" w:color="auto" w:fill="FFFFFF"/>
              <w:spacing w:after="0" w:line="256" w:lineRule="auto"/>
              <w:ind w:left="631" w:hanging="328"/>
              <w:rPr>
                <w:rFonts w:ascii="Cambria" w:hAnsi="Cambria"/>
              </w:rPr>
            </w:pPr>
            <w:r w:rsidRPr="00B95BFA">
              <w:rPr>
                <w:rFonts w:ascii="Cambria" w:hAnsi="Cambria"/>
              </w:rPr>
              <w:t>To make suitable changes in the said Rules for the onus of proof of COO on the Importers and trust-based approach to AEO status holders</w:t>
            </w:r>
          </w:p>
          <w:p w:rsidR="004E5E7C" w:rsidRPr="00871176" w:rsidRDefault="004E5E7C" w:rsidP="004E5E7C">
            <w:pPr>
              <w:shd w:val="clear" w:color="auto" w:fill="FFFFFF"/>
              <w:spacing w:line="256" w:lineRule="auto"/>
              <w:ind w:left="328"/>
              <w:rPr>
                <w:rFonts w:ascii="Cambria" w:hAnsi="Cambria"/>
                <w:sz w:val="2"/>
                <w:szCs w:val="2"/>
              </w:rPr>
            </w:pPr>
          </w:p>
          <w:p w:rsidR="004E5E7C" w:rsidRPr="00B95BFA" w:rsidRDefault="004E5E7C" w:rsidP="004E5E7C">
            <w:pPr>
              <w:numPr>
                <w:ilvl w:val="0"/>
                <w:numId w:val="10"/>
              </w:numPr>
              <w:shd w:val="clear" w:color="auto" w:fill="FFFFFF"/>
              <w:spacing w:after="0" w:line="256" w:lineRule="auto"/>
              <w:ind w:left="631" w:hanging="328"/>
              <w:rPr>
                <w:rFonts w:ascii="Cambria" w:hAnsi="Cambria"/>
              </w:rPr>
            </w:pPr>
            <w:r w:rsidRPr="00B95BFA">
              <w:rPr>
                <w:rFonts w:ascii="Cambria" w:hAnsi="Cambria"/>
              </w:rPr>
              <w:t>Clearance of material on the execution of either letter of undertaking or PD Bond [without any security] pending such verification</w:t>
            </w:r>
          </w:p>
          <w:p w:rsidR="004E5E7C" w:rsidRPr="00B95BFA" w:rsidRDefault="004E5E7C" w:rsidP="004E5E7C">
            <w:pPr>
              <w:pStyle w:val="NoSpacing"/>
              <w:spacing w:line="256" w:lineRule="auto"/>
              <w:ind w:left="328"/>
              <w:rPr>
                <w:rFonts w:ascii="Cambria" w:eastAsia="SimSun" w:hAnsi="Cambria"/>
                <w:lang w:val="en-GB" w:eastAsia="zh-CN"/>
              </w:rPr>
            </w:pPr>
          </w:p>
          <w:p w:rsidR="004E5E7C" w:rsidRPr="00B95BFA" w:rsidRDefault="004E5E7C" w:rsidP="004E5E7C">
            <w:pPr>
              <w:numPr>
                <w:ilvl w:val="0"/>
                <w:numId w:val="10"/>
              </w:numPr>
              <w:shd w:val="clear" w:color="auto" w:fill="FFFFFF"/>
              <w:spacing w:after="0" w:line="256" w:lineRule="auto"/>
              <w:ind w:left="631" w:hanging="328"/>
              <w:rPr>
                <w:rFonts w:ascii="Cambria" w:eastAsia="SimSun" w:hAnsi="Cambria"/>
                <w:lang w:val="en-GB" w:eastAsia="zh-CN"/>
              </w:rPr>
            </w:pPr>
            <w:r w:rsidRPr="00B95BFA">
              <w:rPr>
                <w:rFonts w:ascii="Cambria" w:eastAsia="SimSun" w:hAnsi="Cambria"/>
                <w:lang w:val="en-GB" w:eastAsia="zh-CN"/>
              </w:rPr>
              <w:t xml:space="preserve">To re-look </w:t>
            </w:r>
            <w:r w:rsidRPr="00B95BFA">
              <w:rPr>
                <w:rFonts w:ascii="Cambria" w:hAnsi="Cambria"/>
              </w:rPr>
              <w:t>at</w:t>
            </w:r>
            <w:r w:rsidRPr="00B95BFA">
              <w:rPr>
                <w:rFonts w:ascii="Cambria" w:eastAsia="SimSun" w:hAnsi="Cambria"/>
                <w:lang w:val="en-GB" w:eastAsia="zh-CN"/>
              </w:rPr>
              <w:t xml:space="preserve"> the stringent rules and simply so that the genuine importers are not placed in a disadvantageous position, and their legitimate duty benefits are not denied.</w:t>
            </w:r>
          </w:p>
          <w:p w:rsidR="004E5E7C" w:rsidRPr="00B95BFA" w:rsidRDefault="004E5E7C" w:rsidP="004E5E7C">
            <w:pPr>
              <w:pStyle w:val="NoSpacing"/>
              <w:spacing w:line="256" w:lineRule="auto"/>
              <w:ind w:left="328"/>
              <w:rPr>
                <w:rFonts w:ascii="Cambria" w:eastAsia="SimSun" w:hAnsi="Cambria"/>
                <w:lang w:val="en-GB" w:eastAsia="zh-CN"/>
              </w:rPr>
            </w:pPr>
          </w:p>
          <w:p w:rsidR="004E5E7C" w:rsidRDefault="004E5E7C" w:rsidP="004E5E7C">
            <w:pPr>
              <w:pStyle w:val="ListParagraph"/>
              <w:numPr>
                <w:ilvl w:val="0"/>
                <w:numId w:val="12"/>
              </w:numPr>
              <w:ind w:left="348"/>
              <w:jc w:val="both"/>
              <w:rPr>
                <w:rFonts w:ascii="Cambria" w:hAnsi="Cambria"/>
              </w:rPr>
            </w:pPr>
            <w:r w:rsidRPr="00B95BFA">
              <w:rPr>
                <w:rFonts w:ascii="Cambria" w:hAnsi="Cambria"/>
              </w:rPr>
              <w:t xml:space="preserve">The </w:t>
            </w:r>
            <w:r w:rsidRPr="00B95BFA">
              <w:rPr>
                <w:rFonts w:ascii="Cambria" w:hAnsi="Cambria"/>
                <w:lang w:eastAsia="en-GB"/>
              </w:rPr>
              <w:t>guidelines</w:t>
            </w:r>
            <w:r w:rsidRPr="00B95BFA">
              <w:rPr>
                <w:rFonts w:ascii="Cambria" w:hAnsi="Cambria"/>
              </w:rPr>
              <w:t xml:space="preserve"> may be issued to the field </w:t>
            </w:r>
            <w:r w:rsidRPr="00B95BFA">
              <w:rPr>
                <w:rFonts w:ascii="Cambria" w:hAnsi="Cambria"/>
              </w:rPr>
              <w:lastRenderedPageBreak/>
              <w:t>formations to use their powers only when they have strong reasons to believe that the shipment in question needs further verification and not on a routine basis.</w:t>
            </w:r>
          </w:p>
          <w:p w:rsidR="002400BD" w:rsidRDefault="002400BD" w:rsidP="002400BD">
            <w:pPr>
              <w:pStyle w:val="ListParagraph"/>
              <w:ind w:left="348"/>
              <w:jc w:val="both"/>
              <w:rPr>
                <w:rFonts w:ascii="Cambria" w:hAnsi="Cambria"/>
              </w:rPr>
            </w:pPr>
          </w:p>
          <w:p w:rsidR="002400BD" w:rsidRDefault="002400BD" w:rsidP="004E5E7C">
            <w:pPr>
              <w:pStyle w:val="ListParagraph"/>
              <w:numPr>
                <w:ilvl w:val="0"/>
                <w:numId w:val="12"/>
              </w:numPr>
              <w:ind w:left="348"/>
              <w:jc w:val="both"/>
              <w:rPr>
                <w:rFonts w:ascii="Cambria" w:hAnsi="Cambria"/>
              </w:rPr>
            </w:pPr>
            <w:r w:rsidRPr="002400BD">
              <w:rPr>
                <w:rFonts w:ascii="Cambria" w:hAnsi="Cambria"/>
              </w:rPr>
              <w:t>Period of 5 years should be relaxed to a period of 12 months at maximum</w:t>
            </w:r>
            <w:r w:rsidR="00AF6820">
              <w:rPr>
                <w:rFonts w:ascii="Cambria" w:hAnsi="Cambria"/>
              </w:rPr>
              <w:t>.</w:t>
            </w:r>
          </w:p>
          <w:p w:rsidR="00C757AF" w:rsidRPr="00C757AF" w:rsidRDefault="00C757AF" w:rsidP="00C757AF">
            <w:pPr>
              <w:pStyle w:val="ListParagraph"/>
              <w:rPr>
                <w:rFonts w:ascii="Cambria" w:hAnsi="Cambria"/>
              </w:rPr>
            </w:pPr>
          </w:p>
          <w:p w:rsidR="00C757AF" w:rsidRPr="00B95BFA" w:rsidRDefault="00C757AF" w:rsidP="004E5E7C">
            <w:pPr>
              <w:pStyle w:val="ListParagraph"/>
              <w:numPr>
                <w:ilvl w:val="0"/>
                <w:numId w:val="12"/>
              </w:numPr>
              <w:ind w:left="348"/>
              <w:jc w:val="both"/>
              <w:rPr>
                <w:rFonts w:ascii="Cambria" w:hAnsi="Cambria"/>
              </w:rPr>
            </w:pPr>
            <w:r>
              <w:rPr>
                <w:rFonts w:ascii="Cambria" w:hAnsi="Cambria"/>
              </w:rPr>
              <w:t>Issuance of s</w:t>
            </w:r>
            <w:r w:rsidRPr="00C757AF">
              <w:rPr>
                <w:rFonts w:ascii="Cambria" w:hAnsi="Cambria"/>
              </w:rPr>
              <w:t>uitable instructions to the field officers to have strict adherence of specified timelines for verification process either under CAROTAR Rules or respective Rules of Origin</w:t>
            </w:r>
            <w:r w:rsidR="0080192D">
              <w:rPr>
                <w:rFonts w:ascii="Cambria" w:hAnsi="Cambria"/>
              </w:rPr>
              <w:t>.</w:t>
            </w:r>
          </w:p>
          <w:p w:rsidR="004E5E7C" w:rsidRPr="00202B14" w:rsidRDefault="004E5E7C" w:rsidP="004E5E7C">
            <w:pPr>
              <w:jc w:val="both"/>
              <w:rPr>
                <w:rFonts w:ascii="Cambria" w:hAnsi="Cambria" w:cs="Calibri"/>
              </w:rPr>
            </w:pPr>
          </w:p>
        </w:tc>
      </w:tr>
      <w:tr w:rsidR="00EE5AD3" w:rsidRPr="00782FB0" w:rsidTr="00392374">
        <w:trPr>
          <w:trHeight w:val="965"/>
        </w:trPr>
        <w:tc>
          <w:tcPr>
            <w:tcW w:w="567" w:type="dxa"/>
          </w:tcPr>
          <w:p w:rsidR="00EE5AD3" w:rsidRDefault="00C234D8"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6.</w:t>
            </w:r>
          </w:p>
        </w:tc>
        <w:tc>
          <w:tcPr>
            <w:tcW w:w="2552" w:type="dxa"/>
            <w:shd w:val="clear" w:color="auto" w:fill="auto"/>
          </w:tcPr>
          <w:p w:rsidR="00EE5AD3" w:rsidRDefault="00665C9E" w:rsidP="0007311F">
            <w:pPr>
              <w:spacing w:line="256" w:lineRule="auto"/>
              <w:outlineLvl w:val="0"/>
              <w:rPr>
                <w:rFonts w:ascii="Cambria" w:eastAsia="Times New Roman" w:hAnsi="Cambria" w:cs="Calibri"/>
                <w:b/>
                <w:bCs/>
              </w:rPr>
            </w:pPr>
            <w:r w:rsidRPr="00665C9E">
              <w:rPr>
                <w:rFonts w:ascii="Cambria" w:eastAsia="Times New Roman" w:hAnsi="Cambria" w:cs="Calibri"/>
                <w:b/>
                <w:bCs/>
              </w:rPr>
              <w:t>Digital filing of appeals</w:t>
            </w:r>
          </w:p>
        </w:tc>
        <w:tc>
          <w:tcPr>
            <w:tcW w:w="6662" w:type="dxa"/>
          </w:tcPr>
          <w:p w:rsidR="00EE5AD3" w:rsidRDefault="00B96EE1" w:rsidP="0007311F">
            <w:pPr>
              <w:pStyle w:val="ListParagraph"/>
              <w:numPr>
                <w:ilvl w:val="0"/>
                <w:numId w:val="11"/>
              </w:numPr>
              <w:spacing w:after="0"/>
              <w:ind w:left="272" w:hanging="284"/>
              <w:jc w:val="both"/>
              <w:rPr>
                <w:rFonts w:ascii="Cambria" w:hAnsi="Cambria" w:cs="Calibri"/>
              </w:rPr>
            </w:pPr>
            <w:r>
              <w:rPr>
                <w:rFonts w:ascii="Cambria" w:hAnsi="Cambria" w:cs="Calibri"/>
              </w:rPr>
              <w:t xml:space="preserve">At present, </w:t>
            </w:r>
            <w:r w:rsidR="00C46B51" w:rsidRPr="00C46B51">
              <w:rPr>
                <w:rFonts w:ascii="Cambria" w:hAnsi="Cambria" w:cs="Calibri"/>
              </w:rPr>
              <w:t>reply to Show Cause Notice (SCN) and appeals</w:t>
            </w:r>
            <w:r>
              <w:rPr>
                <w:rFonts w:ascii="Cambria" w:hAnsi="Cambria" w:cs="Calibri"/>
              </w:rPr>
              <w:t xml:space="preserve"> are required to be made</w:t>
            </w:r>
            <w:r w:rsidR="00C46B51" w:rsidRPr="00C46B51">
              <w:rPr>
                <w:rFonts w:ascii="Cambria" w:hAnsi="Cambria" w:cs="Calibri"/>
              </w:rPr>
              <w:t xml:space="preserve"> in physical copies before the customs authorities. </w:t>
            </w:r>
          </w:p>
          <w:p w:rsidR="00694A7B" w:rsidRDefault="00694A7B" w:rsidP="00694A7B">
            <w:pPr>
              <w:pStyle w:val="ListParagraph"/>
              <w:spacing w:after="0"/>
              <w:ind w:left="272"/>
              <w:jc w:val="both"/>
              <w:rPr>
                <w:rFonts w:ascii="Cambria" w:hAnsi="Cambria" w:cs="Calibri"/>
              </w:rPr>
            </w:pPr>
          </w:p>
          <w:p w:rsidR="00694A7B" w:rsidRPr="00694A7B" w:rsidRDefault="00694A7B" w:rsidP="00694A7B">
            <w:pPr>
              <w:pStyle w:val="ListParagraph"/>
              <w:numPr>
                <w:ilvl w:val="0"/>
                <w:numId w:val="11"/>
              </w:numPr>
              <w:spacing w:after="0"/>
              <w:ind w:left="272" w:hanging="284"/>
              <w:jc w:val="both"/>
              <w:rPr>
                <w:rFonts w:ascii="Cambria" w:hAnsi="Cambria" w:cs="Calibri"/>
              </w:rPr>
            </w:pPr>
            <w:r w:rsidRPr="00694A7B">
              <w:rPr>
                <w:rFonts w:ascii="Cambria" w:hAnsi="Cambria" w:cs="Calibri"/>
              </w:rPr>
              <w:t>The physical submission requires collation of documents, preparation of sets along</w:t>
            </w:r>
            <w:r w:rsidR="007145C8">
              <w:rPr>
                <w:rFonts w:ascii="Cambria" w:hAnsi="Cambria" w:cs="Calibri"/>
              </w:rPr>
              <w:t xml:space="preserve"> </w:t>
            </w:r>
            <w:r w:rsidRPr="00694A7B">
              <w:rPr>
                <w:rFonts w:ascii="Cambria" w:hAnsi="Cambria" w:cs="Calibri"/>
              </w:rPr>
              <w:t xml:space="preserve">with signature of authorized representative. </w:t>
            </w:r>
          </w:p>
          <w:p w:rsidR="00694A7B" w:rsidRPr="00694A7B" w:rsidRDefault="00694A7B" w:rsidP="00694A7B">
            <w:pPr>
              <w:pStyle w:val="ListParagraph"/>
              <w:spacing w:after="0"/>
              <w:ind w:left="272"/>
              <w:jc w:val="both"/>
              <w:rPr>
                <w:rFonts w:ascii="Cambria" w:hAnsi="Cambria" w:cs="Calibri"/>
              </w:rPr>
            </w:pPr>
          </w:p>
          <w:p w:rsidR="00694A7B" w:rsidRDefault="00694A7B" w:rsidP="00694A7B">
            <w:pPr>
              <w:pStyle w:val="ListParagraph"/>
              <w:numPr>
                <w:ilvl w:val="0"/>
                <w:numId w:val="11"/>
              </w:numPr>
              <w:spacing w:after="0"/>
              <w:ind w:left="272" w:hanging="284"/>
              <w:jc w:val="both"/>
              <w:rPr>
                <w:rFonts w:ascii="Cambria" w:hAnsi="Cambria" w:cs="Calibri"/>
              </w:rPr>
            </w:pPr>
            <w:r w:rsidRPr="00694A7B">
              <w:rPr>
                <w:rFonts w:ascii="Cambria" w:hAnsi="Cambria" w:cs="Calibri"/>
              </w:rPr>
              <w:t>Manual submission of information completely defeats the purpose of digital transformation of data. Further, it is pertinent to note that online filing of appeals and other submission to the tax authorities have commenced on Income Tax India and GST portal.</w:t>
            </w:r>
          </w:p>
          <w:p w:rsidR="008C020F" w:rsidRPr="008C020F" w:rsidRDefault="008C020F" w:rsidP="008C020F">
            <w:pPr>
              <w:pStyle w:val="ListParagraph"/>
              <w:rPr>
                <w:rFonts w:ascii="Cambria" w:hAnsi="Cambria" w:cs="Calibri"/>
              </w:rPr>
            </w:pPr>
          </w:p>
          <w:p w:rsidR="00C46B51" w:rsidRDefault="009E49E6" w:rsidP="0010703B">
            <w:pPr>
              <w:pStyle w:val="ListParagraph"/>
              <w:numPr>
                <w:ilvl w:val="0"/>
                <w:numId w:val="11"/>
              </w:numPr>
              <w:spacing w:after="0"/>
              <w:ind w:left="272" w:hanging="284"/>
              <w:jc w:val="both"/>
              <w:rPr>
                <w:rFonts w:ascii="Cambria" w:hAnsi="Cambria" w:cs="Calibri"/>
              </w:rPr>
            </w:pPr>
            <w:r>
              <w:rPr>
                <w:rFonts w:ascii="Cambria" w:hAnsi="Cambria" w:cs="Calibri"/>
              </w:rPr>
              <w:t xml:space="preserve">Online filing </w:t>
            </w:r>
            <w:r w:rsidR="008C020F" w:rsidRPr="00013085">
              <w:rPr>
                <w:rFonts w:ascii="Cambria" w:hAnsi="Cambria" w:cs="Calibri"/>
              </w:rPr>
              <w:t xml:space="preserve">would also help in maintenance of </w:t>
            </w:r>
            <w:proofErr w:type="gramStart"/>
            <w:r w:rsidR="008C020F" w:rsidRPr="00013085">
              <w:rPr>
                <w:rFonts w:ascii="Cambria" w:hAnsi="Cambria" w:cs="Calibri"/>
              </w:rPr>
              <w:t>repository  and</w:t>
            </w:r>
            <w:proofErr w:type="gramEnd"/>
            <w:r w:rsidR="008C020F" w:rsidRPr="00013085">
              <w:rPr>
                <w:rFonts w:ascii="Cambria" w:hAnsi="Cambria" w:cs="Calibri"/>
              </w:rPr>
              <w:t xml:space="preserve"> tracking of notices/ </w:t>
            </w:r>
            <w:r w:rsidR="00FD1437">
              <w:rPr>
                <w:rFonts w:ascii="Cambria" w:hAnsi="Cambria" w:cs="Calibri"/>
              </w:rPr>
              <w:t>o</w:t>
            </w:r>
            <w:r w:rsidR="008C020F" w:rsidRPr="00013085">
              <w:rPr>
                <w:rFonts w:ascii="Cambria" w:hAnsi="Cambria" w:cs="Calibri"/>
              </w:rPr>
              <w:t>rders received from the Government officials and submissions made thereon</w:t>
            </w:r>
            <w:r w:rsidR="00B96EE1">
              <w:rPr>
                <w:rFonts w:ascii="Cambria" w:hAnsi="Cambria" w:cs="Calibri"/>
              </w:rPr>
              <w:t>.</w:t>
            </w:r>
          </w:p>
          <w:p w:rsidR="00987C23" w:rsidRPr="00987C23" w:rsidRDefault="00987C23" w:rsidP="00987C23">
            <w:pPr>
              <w:spacing w:after="0"/>
              <w:jc w:val="both"/>
              <w:rPr>
                <w:rFonts w:ascii="Cambria" w:hAnsi="Cambria" w:cs="Calibri"/>
              </w:rPr>
            </w:pPr>
          </w:p>
        </w:tc>
        <w:tc>
          <w:tcPr>
            <w:tcW w:w="5103" w:type="dxa"/>
            <w:shd w:val="clear" w:color="auto" w:fill="auto"/>
          </w:tcPr>
          <w:p w:rsidR="00013085" w:rsidRPr="00013085" w:rsidRDefault="00013085" w:rsidP="00013085">
            <w:pPr>
              <w:jc w:val="both"/>
              <w:rPr>
                <w:rFonts w:ascii="Cambria" w:hAnsi="Cambria" w:cs="Calibri"/>
              </w:rPr>
            </w:pPr>
            <w:r>
              <w:rPr>
                <w:rFonts w:ascii="Cambria" w:hAnsi="Cambria" w:cs="Calibri"/>
              </w:rPr>
              <w:t>The Chamber recommends that relevant p</w:t>
            </w:r>
            <w:r w:rsidRPr="00013085">
              <w:rPr>
                <w:rFonts w:ascii="Cambria" w:hAnsi="Cambria" w:cs="Calibri"/>
              </w:rPr>
              <w:t xml:space="preserve">rovision </w:t>
            </w:r>
            <w:r w:rsidR="008C020F">
              <w:rPr>
                <w:rFonts w:ascii="Cambria" w:hAnsi="Cambria" w:cs="Calibri"/>
              </w:rPr>
              <w:t xml:space="preserve">should </w:t>
            </w:r>
            <w:r w:rsidRPr="00013085">
              <w:rPr>
                <w:rFonts w:ascii="Cambria" w:hAnsi="Cambria" w:cs="Calibri"/>
              </w:rPr>
              <w:t xml:space="preserve">be </w:t>
            </w:r>
            <w:r w:rsidR="008C020F">
              <w:rPr>
                <w:rFonts w:ascii="Cambria" w:hAnsi="Cambria" w:cs="Calibri"/>
              </w:rPr>
              <w:t xml:space="preserve">inserted </w:t>
            </w:r>
            <w:r w:rsidRPr="00013085">
              <w:rPr>
                <w:rFonts w:ascii="Cambria" w:hAnsi="Cambria" w:cs="Calibri"/>
              </w:rPr>
              <w:t xml:space="preserve">in the </w:t>
            </w:r>
            <w:r w:rsidR="008C020F">
              <w:rPr>
                <w:rFonts w:ascii="Cambria" w:hAnsi="Cambria" w:cs="Calibri"/>
              </w:rPr>
              <w:t>C</w:t>
            </w:r>
            <w:r w:rsidRPr="00013085">
              <w:rPr>
                <w:rFonts w:ascii="Cambria" w:hAnsi="Cambria" w:cs="Calibri"/>
              </w:rPr>
              <w:t>ustoms law to file letters, appeals and other correspondence with the authorities digitally. Physical submission of documents should be done away with completely.</w:t>
            </w:r>
          </w:p>
          <w:p w:rsidR="00013085" w:rsidRPr="00013085" w:rsidRDefault="00013085" w:rsidP="00013085">
            <w:pPr>
              <w:jc w:val="both"/>
              <w:rPr>
                <w:rFonts w:ascii="Cambria" w:hAnsi="Cambria" w:cs="Calibri"/>
              </w:rPr>
            </w:pPr>
          </w:p>
          <w:p w:rsidR="00EE5AD3" w:rsidRDefault="00EE5AD3" w:rsidP="00013085">
            <w:pPr>
              <w:jc w:val="both"/>
              <w:rPr>
                <w:rFonts w:ascii="Cambria" w:hAnsi="Cambria" w:cs="Calibri"/>
              </w:rPr>
            </w:pPr>
          </w:p>
          <w:p w:rsidR="00013085" w:rsidRPr="00013085" w:rsidRDefault="00013085" w:rsidP="00013085">
            <w:pPr>
              <w:rPr>
                <w:rFonts w:ascii="Cambria" w:hAnsi="Cambria" w:cs="Calibri"/>
              </w:rPr>
            </w:pPr>
          </w:p>
          <w:p w:rsidR="00013085" w:rsidRPr="00013085" w:rsidRDefault="00013085" w:rsidP="00013085">
            <w:pPr>
              <w:rPr>
                <w:rFonts w:ascii="Cambria" w:hAnsi="Cambria" w:cs="Calibri"/>
              </w:rPr>
            </w:pPr>
          </w:p>
          <w:p w:rsidR="00013085" w:rsidRDefault="00013085" w:rsidP="00013085">
            <w:pPr>
              <w:rPr>
                <w:rFonts w:ascii="Cambria" w:hAnsi="Cambria" w:cs="Calibri"/>
              </w:rPr>
            </w:pPr>
          </w:p>
          <w:p w:rsidR="00013085" w:rsidRPr="00013085" w:rsidRDefault="00013085" w:rsidP="00013085">
            <w:pPr>
              <w:ind w:firstLine="720"/>
              <w:rPr>
                <w:rFonts w:ascii="Cambria" w:hAnsi="Cambria" w:cs="Calibri"/>
              </w:rPr>
            </w:pPr>
          </w:p>
        </w:tc>
      </w:tr>
      <w:tr w:rsidR="00EE5AD3" w:rsidRPr="00782FB0" w:rsidTr="00392374">
        <w:trPr>
          <w:trHeight w:val="965"/>
        </w:trPr>
        <w:tc>
          <w:tcPr>
            <w:tcW w:w="567" w:type="dxa"/>
          </w:tcPr>
          <w:p w:rsidR="00EE5AD3" w:rsidRDefault="00C234D8" w:rsidP="007A15A7">
            <w:pPr>
              <w:pStyle w:val="PlainText"/>
              <w:spacing w:afterLines="120" w:line="276" w:lineRule="auto"/>
              <w:contextualSpacing/>
              <w:jc w:val="both"/>
              <w:rPr>
                <w:rFonts w:ascii="Cambria" w:eastAsia="Calibri" w:hAnsi="Cambria" w:cs="Arial"/>
                <w:color w:val="000000"/>
                <w:sz w:val="22"/>
                <w:szCs w:val="22"/>
                <w:lang w:val="en-GB"/>
              </w:rPr>
            </w:pPr>
            <w:r>
              <w:rPr>
                <w:rFonts w:ascii="Cambria" w:eastAsia="Calibri" w:hAnsi="Cambria" w:cs="Arial"/>
                <w:color w:val="000000"/>
                <w:sz w:val="22"/>
                <w:szCs w:val="22"/>
                <w:lang w:val="en-GB"/>
              </w:rPr>
              <w:lastRenderedPageBreak/>
              <w:t>7.</w:t>
            </w:r>
          </w:p>
        </w:tc>
        <w:tc>
          <w:tcPr>
            <w:tcW w:w="2552" w:type="dxa"/>
            <w:shd w:val="clear" w:color="auto" w:fill="auto"/>
          </w:tcPr>
          <w:p w:rsidR="00EE5AD3" w:rsidRDefault="00E70456" w:rsidP="0007311F">
            <w:pPr>
              <w:spacing w:line="256" w:lineRule="auto"/>
              <w:outlineLvl w:val="0"/>
              <w:rPr>
                <w:rFonts w:ascii="Cambria" w:eastAsia="Times New Roman" w:hAnsi="Cambria" w:cs="Calibri"/>
                <w:b/>
                <w:bCs/>
              </w:rPr>
            </w:pPr>
            <w:r w:rsidRPr="00E70456">
              <w:rPr>
                <w:rFonts w:ascii="Cambria" w:eastAsia="Times New Roman" w:hAnsi="Cambria" w:cs="Calibri"/>
                <w:b/>
                <w:bCs/>
              </w:rPr>
              <w:t>Complete waiver of BCD on import of cocoa beans</w:t>
            </w:r>
          </w:p>
        </w:tc>
        <w:tc>
          <w:tcPr>
            <w:tcW w:w="6662" w:type="dxa"/>
          </w:tcPr>
          <w:p w:rsidR="00EE5AD3" w:rsidRDefault="0001145C" w:rsidP="0007311F">
            <w:pPr>
              <w:pStyle w:val="ListParagraph"/>
              <w:numPr>
                <w:ilvl w:val="0"/>
                <w:numId w:val="11"/>
              </w:numPr>
              <w:spacing w:after="0"/>
              <w:ind w:left="272" w:hanging="284"/>
              <w:jc w:val="both"/>
              <w:rPr>
                <w:rFonts w:ascii="Cambria" w:hAnsi="Cambria" w:cs="Calibri"/>
              </w:rPr>
            </w:pPr>
            <w:r w:rsidRPr="0001145C">
              <w:rPr>
                <w:rFonts w:ascii="Cambria" w:hAnsi="Cambria" w:cs="Calibri"/>
              </w:rPr>
              <w:t>Currently</w:t>
            </w:r>
            <w:r w:rsidR="00AA4E2F">
              <w:rPr>
                <w:rFonts w:ascii="Cambria" w:hAnsi="Cambria" w:cs="Calibri"/>
              </w:rPr>
              <w:t>, import of</w:t>
            </w:r>
            <w:r w:rsidRPr="0001145C">
              <w:rPr>
                <w:rFonts w:ascii="Cambria" w:hAnsi="Cambria" w:cs="Calibri"/>
              </w:rPr>
              <w:t xml:space="preserve"> cocoa beans </w:t>
            </w:r>
            <w:r w:rsidR="00AA4E2F">
              <w:rPr>
                <w:rFonts w:ascii="Cambria" w:hAnsi="Cambria" w:cs="Calibri"/>
              </w:rPr>
              <w:t xml:space="preserve">attract </w:t>
            </w:r>
            <w:r w:rsidRPr="0001145C">
              <w:rPr>
                <w:rFonts w:ascii="Cambria" w:hAnsi="Cambria" w:cs="Calibri"/>
              </w:rPr>
              <w:t xml:space="preserve">BCD </w:t>
            </w:r>
            <w:r w:rsidR="00AA4E2F">
              <w:rPr>
                <w:rFonts w:ascii="Cambria" w:hAnsi="Cambria" w:cs="Calibri"/>
              </w:rPr>
              <w:t xml:space="preserve">@ 15% </w:t>
            </w:r>
            <w:r w:rsidRPr="0001145C">
              <w:rPr>
                <w:rFonts w:ascii="Cambria" w:hAnsi="Cambria" w:cs="Calibri"/>
              </w:rPr>
              <w:t>and there are no exemptions available in this regard.</w:t>
            </w:r>
          </w:p>
          <w:p w:rsidR="001C2386" w:rsidRDefault="001C2386" w:rsidP="001C2386">
            <w:pPr>
              <w:pStyle w:val="ListParagraph"/>
              <w:spacing w:after="0"/>
              <w:ind w:left="272"/>
              <w:jc w:val="both"/>
              <w:rPr>
                <w:rFonts w:ascii="Cambria" w:hAnsi="Cambria" w:cs="Calibri"/>
              </w:rPr>
            </w:pPr>
          </w:p>
          <w:p w:rsidR="00963DAE" w:rsidRPr="00963DAE" w:rsidRDefault="00963DAE" w:rsidP="001C2386">
            <w:pPr>
              <w:pStyle w:val="ListParagraph"/>
              <w:numPr>
                <w:ilvl w:val="0"/>
                <w:numId w:val="11"/>
              </w:numPr>
              <w:spacing w:after="0"/>
              <w:ind w:left="272" w:hanging="284"/>
              <w:jc w:val="both"/>
              <w:rPr>
                <w:rFonts w:ascii="Cambria" w:hAnsi="Cambria" w:cs="Calibri"/>
              </w:rPr>
            </w:pPr>
            <w:r w:rsidRPr="00963DAE">
              <w:rPr>
                <w:rFonts w:ascii="Cambria" w:hAnsi="Cambria" w:cs="Calibri"/>
              </w:rPr>
              <w:t>Cocoa production in India is not sufficient for cocoa demand. Hence, there is massive gap between cocoa cultivation and demand, leading to huge import dependency with respect to import of cocoa processed goods like cocoa butter and powder. At present, cocoa crop is unique in nature and is grown in limited states depending on weather conditions and takes approximately 5 years to be completely cultivated.</w:t>
            </w:r>
          </w:p>
          <w:p w:rsidR="001C2386" w:rsidRDefault="001C2386" w:rsidP="001C2386">
            <w:pPr>
              <w:pStyle w:val="ListParagraph"/>
              <w:spacing w:after="0"/>
              <w:ind w:left="272"/>
              <w:jc w:val="both"/>
              <w:rPr>
                <w:rFonts w:ascii="Cambria" w:hAnsi="Cambria" w:cs="Calibri"/>
              </w:rPr>
            </w:pPr>
          </w:p>
          <w:p w:rsidR="0001145C" w:rsidRDefault="00963DAE" w:rsidP="001C2386">
            <w:pPr>
              <w:pStyle w:val="ListParagraph"/>
              <w:numPr>
                <w:ilvl w:val="0"/>
                <w:numId w:val="11"/>
              </w:numPr>
              <w:spacing w:after="0"/>
              <w:ind w:left="272" w:hanging="284"/>
              <w:jc w:val="both"/>
              <w:rPr>
                <w:rFonts w:ascii="Cambria" w:hAnsi="Cambria" w:cs="Calibri"/>
              </w:rPr>
            </w:pPr>
            <w:r w:rsidRPr="00963DAE">
              <w:rPr>
                <w:rFonts w:ascii="Cambria" w:hAnsi="Cambria" w:cs="Calibri"/>
              </w:rPr>
              <w:t>Import of Cocoa beans should be encouraged by waiver of import duties since production is not enough which will ultimately boost domestic manufacturing facilitates of cocoa processing unit being set up in India for converting cocoa beans to cocoa powder/ butter. Further</w:t>
            </w:r>
            <w:r w:rsidR="00AD2773">
              <w:rPr>
                <w:rFonts w:ascii="Cambria" w:hAnsi="Cambria" w:cs="Calibri"/>
              </w:rPr>
              <w:t>,</w:t>
            </w:r>
            <w:r w:rsidRPr="00963DAE">
              <w:rPr>
                <w:rFonts w:ascii="Cambria" w:hAnsi="Cambria" w:cs="Calibri"/>
              </w:rPr>
              <w:t xml:space="preserve"> this should generate additional employment in India</w:t>
            </w:r>
            <w:r w:rsidR="00C66671">
              <w:rPr>
                <w:rFonts w:ascii="Cambria" w:hAnsi="Cambria" w:cs="Calibri"/>
              </w:rPr>
              <w:t>.</w:t>
            </w:r>
          </w:p>
          <w:p w:rsidR="00987C23" w:rsidRPr="00987C23" w:rsidRDefault="00987C23" w:rsidP="00987C23">
            <w:pPr>
              <w:spacing w:after="0"/>
              <w:jc w:val="both"/>
              <w:rPr>
                <w:rFonts w:ascii="Cambria" w:hAnsi="Cambria" w:cs="Calibri"/>
              </w:rPr>
            </w:pPr>
          </w:p>
        </w:tc>
        <w:tc>
          <w:tcPr>
            <w:tcW w:w="5103" w:type="dxa"/>
            <w:shd w:val="clear" w:color="auto" w:fill="auto"/>
          </w:tcPr>
          <w:p w:rsidR="00EE5AD3" w:rsidRPr="00202B14" w:rsidRDefault="00C66671" w:rsidP="001C2386">
            <w:pPr>
              <w:jc w:val="both"/>
              <w:rPr>
                <w:rFonts w:ascii="Cambria" w:hAnsi="Cambria" w:cs="Calibri"/>
              </w:rPr>
            </w:pPr>
            <w:r>
              <w:rPr>
                <w:rFonts w:ascii="Cambria" w:hAnsi="Cambria" w:cs="Calibri"/>
              </w:rPr>
              <w:t>The Chamber recommends f</w:t>
            </w:r>
            <w:r w:rsidR="001C2386" w:rsidRPr="001C2386">
              <w:rPr>
                <w:rFonts w:ascii="Cambria" w:hAnsi="Cambria" w:cs="Calibri"/>
              </w:rPr>
              <w:t xml:space="preserve">ull waiver </w:t>
            </w:r>
            <w:r w:rsidR="009B695A">
              <w:rPr>
                <w:rFonts w:ascii="Cambria" w:hAnsi="Cambria" w:cs="Calibri"/>
              </w:rPr>
              <w:t>of</w:t>
            </w:r>
            <w:r w:rsidR="001C2386" w:rsidRPr="001C2386">
              <w:rPr>
                <w:rFonts w:ascii="Cambria" w:hAnsi="Cambria" w:cs="Calibri"/>
              </w:rPr>
              <w:t xml:space="preserve"> </w:t>
            </w:r>
            <w:r w:rsidR="009B695A">
              <w:rPr>
                <w:rFonts w:ascii="Cambria" w:hAnsi="Cambria" w:cs="Calibri"/>
              </w:rPr>
              <w:t xml:space="preserve">BCD </w:t>
            </w:r>
            <w:r w:rsidR="002D45B9">
              <w:rPr>
                <w:rFonts w:ascii="Cambria" w:hAnsi="Cambria" w:cs="Calibri"/>
              </w:rPr>
              <w:t>on</w:t>
            </w:r>
            <w:r w:rsidR="001C2386" w:rsidRPr="001C2386">
              <w:rPr>
                <w:rFonts w:ascii="Cambria" w:hAnsi="Cambria" w:cs="Calibri"/>
              </w:rPr>
              <w:t xml:space="preserve"> cocoa beans to incentivize the cocoa processing sector</w:t>
            </w:r>
            <w:r w:rsidR="00F3390C">
              <w:rPr>
                <w:rFonts w:ascii="Cambria" w:hAnsi="Cambria" w:cs="Calibri"/>
              </w:rPr>
              <w:t xml:space="preserve">. </w:t>
            </w:r>
          </w:p>
        </w:tc>
      </w:tr>
    </w:tbl>
    <w:p w:rsidR="0020114F" w:rsidRPr="00475852" w:rsidRDefault="0020114F" w:rsidP="00A54798">
      <w:pPr>
        <w:spacing w:after="0"/>
        <w:jc w:val="both"/>
        <w:rPr>
          <w:rFonts w:ascii="Cambria" w:hAnsi="Cambria"/>
        </w:rPr>
      </w:pPr>
    </w:p>
    <w:sectPr w:rsidR="0020114F" w:rsidRPr="00475852" w:rsidSect="00D114DA">
      <w:headerReference w:type="default" r:id="rId11"/>
      <w:footerReference w:type="default" r:id="rId12"/>
      <w:pgSz w:w="16838" w:h="11906" w:orient="landscape"/>
      <w:pgMar w:top="426" w:right="1245" w:bottom="42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0F" w:rsidRDefault="00C52B0F" w:rsidP="004900B0">
      <w:pPr>
        <w:spacing w:after="0" w:line="240" w:lineRule="auto"/>
      </w:pPr>
      <w:r>
        <w:separator/>
      </w:r>
    </w:p>
  </w:endnote>
  <w:endnote w:type="continuationSeparator" w:id="0">
    <w:p w:rsidR="00C52B0F" w:rsidRDefault="00C52B0F" w:rsidP="00490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lever DIN Offc Pro">
    <w:charset w:val="00"/>
    <w:family w:val="swiss"/>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681032"/>
      <w:docPartObj>
        <w:docPartGallery w:val="Page Numbers (Bottom of Page)"/>
        <w:docPartUnique/>
      </w:docPartObj>
    </w:sdtPr>
    <w:sdtEndPr>
      <w:rPr>
        <w:noProof/>
      </w:rPr>
    </w:sdtEndPr>
    <w:sdtContent>
      <w:p w:rsidR="004326DE" w:rsidRDefault="004326DE">
        <w:pPr>
          <w:pStyle w:val="Footer"/>
          <w:jc w:val="center"/>
        </w:pPr>
        <w:fldSimple w:instr=" PAGE   \* MERGEFORMAT ">
          <w:r w:rsidR="008931D4">
            <w:rPr>
              <w:noProof/>
            </w:rPr>
            <w:t>27</w:t>
          </w:r>
        </w:fldSimple>
      </w:p>
    </w:sdtContent>
  </w:sdt>
  <w:p w:rsidR="004326DE" w:rsidRDefault="00432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0F" w:rsidRDefault="00C52B0F" w:rsidP="004900B0">
      <w:pPr>
        <w:spacing w:after="0" w:line="240" w:lineRule="auto"/>
      </w:pPr>
      <w:r>
        <w:separator/>
      </w:r>
    </w:p>
  </w:footnote>
  <w:footnote w:type="continuationSeparator" w:id="0">
    <w:p w:rsidR="00C52B0F" w:rsidRDefault="00C52B0F" w:rsidP="00490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DE" w:rsidRDefault="004326DE">
    <w:pPr>
      <w:pStyle w:val="Header"/>
    </w:pPr>
    <w:r w:rsidRPr="00916C7D">
      <w:rPr>
        <w:noProof/>
        <w:lang w:val="en-US"/>
      </w:rPr>
      <w:drawing>
        <wp:inline distT="0" distB="0" distL="0" distR="0">
          <wp:extent cx="5791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 cy="388620"/>
                  </a:xfrm>
                  <a:prstGeom prst="rect">
                    <a:avLst/>
                  </a:prstGeom>
                  <a:solidFill>
                    <a:srgbClr val="FFFFFF"/>
                  </a:solidFill>
                  <a:ln>
                    <a:noFill/>
                  </a:ln>
                </pic:spPr>
              </pic:pic>
            </a:graphicData>
          </a:graphic>
        </wp:inline>
      </w:drawing>
    </w:r>
  </w:p>
  <w:p w:rsidR="004326DE" w:rsidRDefault="004326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BCE"/>
    <w:multiLevelType w:val="hybridMultilevel"/>
    <w:tmpl w:val="3EBE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37B73"/>
    <w:multiLevelType w:val="hybridMultilevel"/>
    <w:tmpl w:val="59B87294"/>
    <w:lvl w:ilvl="0" w:tplc="533E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733D6"/>
    <w:multiLevelType w:val="hybridMultilevel"/>
    <w:tmpl w:val="8B8A96CE"/>
    <w:lvl w:ilvl="0" w:tplc="40090001">
      <w:start w:val="1"/>
      <w:numFmt w:val="bullet"/>
      <w:lvlText w:val=""/>
      <w:lvlJc w:val="left"/>
      <w:pPr>
        <w:ind w:left="360" w:hanging="360"/>
      </w:pPr>
      <w:rPr>
        <w:rFonts w:ascii="Symbol" w:hAnsi="Symbol" w:hint="default"/>
      </w:rPr>
    </w:lvl>
    <w:lvl w:ilvl="1" w:tplc="40090001">
      <w:start w:val="1"/>
      <w:numFmt w:val="bullet"/>
      <w:lvlText w:val=""/>
      <w:lvlJc w:val="left"/>
      <w:pPr>
        <w:ind w:left="1080" w:hanging="360"/>
      </w:pPr>
      <w:rPr>
        <w:rFonts w:ascii="Symbol" w:hAnsi="Symbol"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
    <w:nsid w:val="1180039E"/>
    <w:multiLevelType w:val="multilevel"/>
    <w:tmpl w:val="C4D490E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2A1528C6"/>
    <w:multiLevelType w:val="hybridMultilevel"/>
    <w:tmpl w:val="B2AAD48C"/>
    <w:lvl w:ilvl="0" w:tplc="3F5E873C">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32E11738"/>
    <w:multiLevelType w:val="hybridMultilevel"/>
    <w:tmpl w:val="063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61657"/>
    <w:multiLevelType w:val="hybridMultilevel"/>
    <w:tmpl w:val="AF98E6BA"/>
    <w:lvl w:ilvl="0" w:tplc="D9E6E07E">
      <w:start w:val="1"/>
      <w:numFmt w:val="bullet"/>
      <w:lvlText w:val=""/>
      <w:lvlJc w:val="left"/>
      <w:pPr>
        <w:ind w:left="360" w:hanging="360"/>
      </w:pPr>
      <w:rPr>
        <w:rFonts w:ascii="Symbol" w:hAnsi="Symbol" w:hint="default"/>
      </w:rPr>
    </w:lvl>
    <w:lvl w:ilvl="1" w:tplc="E8B035EC" w:tentative="1">
      <w:start w:val="1"/>
      <w:numFmt w:val="bullet"/>
      <w:lvlText w:val="o"/>
      <w:lvlJc w:val="left"/>
      <w:pPr>
        <w:ind w:left="1080" w:hanging="360"/>
      </w:pPr>
      <w:rPr>
        <w:rFonts w:ascii="Courier New" w:hAnsi="Courier New" w:cs="Courier New" w:hint="default"/>
      </w:rPr>
    </w:lvl>
    <w:lvl w:ilvl="2" w:tplc="0F6E5112" w:tentative="1">
      <w:start w:val="1"/>
      <w:numFmt w:val="bullet"/>
      <w:lvlText w:val=""/>
      <w:lvlJc w:val="left"/>
      <w:pPr>
        <w:ind w:left="1800" w:hanging="360"/>
      </w:pPr>
      <w:rPr>
        <w:rFonts w:ascii="Wingdings" w:hAnsi="Wingdings" w:hint="default"/>
      </w:rPr>
    </w:lvl>
    <w:lvl w:ilvl="3" w:tplc="AE78C45C" w:tentative="1">
      <w:start w:val="1"/>
      <w:numFmt w:val="bullet"/>
      <w:lvlText w:val=""/>
      <w:lvlJc w:val="left"/>
      <w:pPr>
        <w:ind w:left="2520" w:hanging="360"/>
      </w:pPr>
      <w:rPr>
        <w:rFonts w:ascii="Symbol" w:hAnsi="Symbol" w:hint="default"/>
      </w:rPr>
    </w:lvl>
    <w:lvl w:ilvl="4" w:tplc="90769DD0" w:tentative="1">
      <w:start w:val="1"/>
      <w:numFmt w:val="bullet"/>
      <w:lvlText w:val="o"/>
      <w:lvlJc w:val="left"/>
      <w:pPr>
        <w:ind w:left="3240" w:hanging="360"/>
      </w:pPr>
      <w:rPr>
        <w:rFonts w:ascii="Courier New" w:hAnsi="Courier New" w:cs="Courier New" w:hint="default"/>
      </w:rPr>
    </w:lvl>
    <w:lvl w:ilvl="5" w:tplc="A91C1824" w:tentative="1">
      <w:start w:val="1"/>
      <w:numFmt w:val="bullet"/>
      <w:lvlText w:val=""/>
      <w:lvlJc w:val="left"/>
      <w:pPr>
        <w:ind w:left="3960" w:hanging="360"/>
      </w:pPr>
      <w:rPr>
        <w:rFonts w:ascii="Wingdings" w:hAnsi="Wingdings" w:hint="default"/>
      </w:rPr>
    </w:lvl>
    <w:lvl w:ilvl="6" w:tplc="90663A5E" w:tentative="1">
      <w:start w:val="1"/>
      <w:numFmt w:val="bullet"/>
      <w:lvlText w:val=""/>
      <w:lvlJc w:val="left"/>
      <w:pPr>
        <w:ind w:left="4680" w:hanging="360"/>
      </w:pPr>
      <w:rPr>
        <w:rFonts w:ascii="Symbol" w:hAnsi="Symbol" w:hint="default"/>
      </w:rPr>
    </w:lvl>
    <w:lvl w:ilvl="7" w:tplc="9BC0BF80" w:tentative="1">
      <w:start w:val="1"/>
      <w:numFmt w:val="bullet"/>
      <w:lvlText w:val="o"/>
      <w:lvlJc w:val="left"/>
      <w:pPr>
        <w:ind w:left="5400" w:hanging="360"/>
      </w:pPr>
      <w:rPr>
        <w:rFonts w:ascii="Courier New" w:hAnsi="Courier New" w:cs="Courier New" w:hint="default"/>
      </w:rPr>
    </w:lvl>
    <w:lvl w:ilvl="8" w:tplc="23F01060" w:tentative="1">
      <w:start w:val="1"/>
      <w:numFmt w:val="bullet"/>
      <w:lvlText w:val=""/>
      <w:lvlJc w:val="left"/>
      <w:pPr>
        <w:ind w:left="6120" w:hanging="360"/>
      </w:pPr>
      <w:rPr>
        <w:rFonts w:ascii="Wingdings" w:hAnsi="Wingdings" w:hint="default"/>
      </w:rPr>
    </w:lvl>
  </w:abstractNum>
  <w:abstractNum w:abstractNumId="7">
    <w:nsid w:val="41CE2D14"/>
    <w:multiLevelType w:val="hybridMultilevel"/>
    <w:tmpl w:val="5F22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25AE1"/>
    <w:multiLevelType w:val="hybridMultilevel"/>
    <w:tmpl w:val="7390E7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7C3052"/>
    <w:multiLevelType w:val="hybridMultilevel"/>
    <w:tmpl w:val="F3C6A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565558"/>
    <w:multiLevelType w:val="hybridMultilevel"/>
    <w:tmpl w:val="AA7AB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3535C71"/>
    <w:multiLevelType w:val="hybridMultilevel"/>
    <w:tmpl w:val="2A069A7C"/>
    <w:lvl w:ilvl="0" w:tplc="BC2208DE">
      <w:start w:val="1"/>
      <w:numFmt w:val="bullet"/>
      <w:lvlText w:val=""/>
      <w:lvlJc w:val="left"/>
      <w:pPr>
        <w:ind w:left="720" w:hanging="360"/>
      </w:pPr>
      <w:rPr>
        <w:rFonts w:ascii="Symbol" w:hAnsi="Symbol" w:hint="default"/>
      </w:rPr>
    </w:lvl>
    <w:lvl w:ilvl="1" w:tplc="9190D2EC">
      <w:start w:val="1"/>
      <w:numFmt w:val="bullet"/>
      <w:lvlText w:val="o"/>
      <w:lvlJc w:val="left"/>
      <w:pPr>
        <w:ind w:left="1440" w:hanging="360"/>
      </w:pPr>
      <w:rPr>
        <w:rFonts w:ascii="Courier New" w:hAnsi="Courier New" w:cs="Courier New" w:hint="default"/>
      </w:rPr>
    </w:lvl>
    <w:lvl w:ilvl="2" w:tplc="5BAC5DF8" w:tentative="1">
      <w:start w:val="1"/>
      <w:numFmt w:val="bullet"/>
      <w:lvlText w:val=""/>
      <w:lvlJc w:val="left"/>
      <w:pPr>
        <w:ind w:left="2160" w:hanging="360"/>
      </w:pPr>
      <w:rPr>
        <w:rFonts w:ascii="Wingdings" w:hAnsi="Wingdings" w:hint="default"/>
      </w:rPr>
    </w:lvl>
    <w:lvl w:ilvl="3" w:tplc="81A6238A" w:tentative="1">
      <w:start w:val="1"/>
      <w:numFmt w:val="bullet"/>
      <w:lvlText w:val=""/>
      <w:lvlJc w:val="left"/>
      <w:pPr>
        <w:ind w:left="2880" w:hanging="360"/>
      </w:pPr>
      <w:rPr>
        <w:rFonts w:ascii="Symbol" w:hAnsi="Symbol" w:hint="default"/>
      </w:rPr>
    </w:lvl>
    <w:lvl w:ilvl="4" w:tplc="C646FAB4" w:tentative="1">
      <w:start w:val="1"/>
      <w:numFmt w:val="bullet"/>
      <w:lvlText w:val="o"/>
      <w:lvlJc w:val="left"/>
      <w:pPr>
        <w:ind w:left="3600" w:hanging="360"/>
      </w:pPr>
      <w:rPr>
        <w:rFonts w:ascii="Courier New" w:hAnsi="Courier New" w:cs="Courier New" w:hint="default"/>
      </w:rPr>
    </w:lvl>
    <w:lvl w:ilvl="5" w:tplc="7C207E62" w:tentative="1">
      <w:start w:val="1"/>
      <w:numFmt w:val="bullet"/>
      <w:lvlText w:val=""/>
      <w:lvlJc w:val="left"/>
      <w:pPr>
        <w:ind w:left="4320" w:hanging="360"/>
      </w:pPr>
      <w:rPr>
        <w:rFonts w:ascii="Wingdings" w:hAnsi="Wingdings" w:hint="default"/>
      </w:rPr>
    </w:lvl>
    <w:lvl w:ilvl="6" w:tplc="159AF4DE" w:tentative="1">
      <w:start w:val="1"/>
      <w:numFmt w:val="bullet"/>
      <w:lvlText w:val=""/>
      <w:lvlJc w:val="left"/>
      <w:pPr>
        <w:ind w:left="5040" w:hanging="360"/>
      </w:pPr>
      <w:rPr>
        <w:rFonts w:ascii="Symbol" w:hAnsi="Symbol" w:hint="default"/>
      </w:rPr>
    </w:lvl>
    <w:lvl w:ilvl="7" w:tplc="B088E7F4" w:tentative="1">
      <w:start w:val="1"/>
      <w:numFmt w:val="bullet"/>
      <w:lvlText w:val="o"/>
      <w:lvlJc w:val="left"/>
      <w:pPr>
        <w:ind w:left="5760" w:hanging="360"/>
      </w:pPr>
      <w:rPr>
        <w:rFonts w:ascii="Courier New" w:hAnsi="Courier New" w:cs="Courier New" w:hint="default"/>
      </w:rPr>
    </w:lvl>
    <w:lvl w:ilvl="8" w:tplc="24868E3C" w:tentative="1">
      <w:start w:val="1"/>
      <w:numFmt w:val="bullet"/>
      <w:lvlText w:val=""/>
      <w:lvlJc w:val="left"/>
      <w:pPr>
        <w:ind w:left="6480" w:hanging="360"/>
      </w:pPr>
      <w:rPr>
        <w:rFonts w:ascii="Wingdings" w:hAnsi="Wingdings" w:hint="default"/>
      </w:rPr>
    </w:lvl>
  </w:abstractNum>
  <w:abstractNum w:abstractNumId="12">
    <w:nsid w:val="58C369C7"/>
    <w:multiLevelType w:val="hybridMultilevel"/>
    <w:tmpl w:val="8E2C95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AE966A7"/>
    <w:multiLevelType w:val="hybridMultilevel"/>
    <w:tmpl w:val="B0F2B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F4D4D83"/>
    <w:multiLevelType w:val="hybridMultilevel"/>
    <w:tmpl w:val="DF7881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nsid w:val="62B74973"/>
    <w:multiLevelType w:val="hybridMultilevel"/>
    <w:tmpl w:val="F7C62150"/>
    <w:lvl w:ilvl="0" w:tplc="9D346E60">
      <w:start w:val="1"/>
      <w:numFmt w:val="bullet"/>
      <w:lvlText w:val=""/>
      <w:lvlJc w:val="left"/>
      <w:pPr>
        <w:ind w:left="720" w:hanging="360"/>
      </w:pPr>
      <w:rPr>
        <w:rFonts w:ascii="Symbol" w:hAnsi="Symbol" w:hint="default"/>
      </w:rPr>
    </w:lvl>
    <w:lvl w:ilvl="1" w:tplc="C70A505A" w:tentative="1">
      <w:start w:val="1"/>
      <w:numFmt w:val="bullet"/>
      <w:lvlText w:val="o"/>
      <w:lvlJc w:val="left"/>
      <w:pPr>
        <w:ind w:left="1440" w:hanging="360"/>
      </w:pPr>
      <w:rPr>
        <w:rFonts w:ascii="Courier New" w:hAnsi="Courier New" w:cs="Courier New" w:hint="default"/>
      </w:rPr>
    </w:lvl>
    <w:lvl w:ilvl="2" w:tplc="F8D4886A" w:tentative="1">
      <w:start w:val="1"/>
      <w:numFmt w:val="bullet"/>
      <w:lvlText w:val=""/>
      <w:lvlJc w:val="left"/>
      <w:pPr>
        <w:ind w:left="2160" w:hanging="360"/>
      </w:pPr>
      <w:rPr>
        <w:rFonts w:ascii="Wingdings" w:hAnsi="Wingdings" w:hint="default"/>
      </w:rPr>
    </w:lvl>
    <w:lvl w:ilvl="3" w:tplc="E95C241A" w:tentative="1">
      <w:start w:val="1"/>
      <w:numFmt w:val="bullet"/>
      <w:lvlText w:val=""/>
      <w:lvlJc w:val="left"/>
      <w:pPr>
        <w:ind w:left="2880" w:hanging="360"/>
      </w:pPr>
      <w:rPr>
        <w:rFonts w:ascii="Symbol" w:hAnsi="Symbol" w:hint="default"/>
      </w:rPr>
    </w:lvl>
    <w:lvl w:ilvl="4" w:tplc="5D667E1E" w:tentative="1">
      <w:start w:val="1"/>
      <w:numFmt w:val="bullet"/>
      <w:lvlText w:val="o"/>
      <w:lvlJc w:val="left"/>
      <w:pPr>
        <w:ind w:left="3600" w:hanging="360"/>
      </w:pPr>
      <w:rPr>
        <w:rFonts w:ascii="Courier New" w:hAnsi="Courier New" w:cs="Courier New" w:hint="default"/>
      </w:rPr>
    </w:lvl>
    <w:lvl w:ilvl="5" w:tplc="CA3289D8" w:tentative="1">
      <w:start w:val="1"/>
      <w:numFmt w:val="bullet"/>
      <w:lvlText w:val=""/>
      <w:lvlJc w:val="left"/>
      <w:pPr>
        <w:ind w:left="4320" w:hanging="360"/>
      </w:pPr>
      <w:rPr>
        <w:rFonts w:ascii="Wingdings" w:hAnsi="Wingdings" w:hint="default"/>
      </w:rPr>
    </w:lvl>
    <w:lvl w:ilvl="6" w:tplc="9AA63A34" w:tentative="1">
      <w:start w:val="1"/>
      <w:numFmt w:val="bullet"/>
      <w:lvlText w:val=""/>
      <w:lvlJc w:val="left"/>
      <w:pPr>
        <w:ind w:left="5040" w:hanging="360"/>
      </w:pPr>
      <w:rPr>
        <w:rFonts w:ascii="Symbol" w:hAnsi="Symbol" w:hint="default"/>
      </w:rPr>
    </w:lvl>
    <w:lvl w:ilvl="7" w:tplc="5BFEA9E0" w:tentative="1">
      <w:start w:val="1"/>
      <w:numFmt w:val="bullet"/>
      <w:lvlText w:val="o"/>
      <w:lvlJc w:val="left"/>
      <w:pPr>
        <w:ind w:left="5760" w:hanging="360"/>
      </w:pPr>
      <w:rPr>
        <w:rFonts w:ascii="Courier New" w:hAnsi="Courier New" w:cs="Courier New" w:hint="default"/>
      </w:rPr>
    </w:lvl>
    <w:lvl w:ilvl="8" w:tplc="66E86CBA" w:tentative="1">
      <w:start w:val="1"/>
      <w:numFmt w:val="bullet"/>
      <w:lvlText w:val=""/>
      <w:lvlJc w:val="left"/>
      <w:pPr>
        <w:ind w:left="6480" w:hanging="360"/>
      </w:pPr>
      <w:rPr>
        <w:rFonts w:ascii="Wingdings" w:hAnsi="Wingdings" w:hint="default"/>
      </w:rPr>
    </w:lvl>
  </w:abstractNum>
  <w:abstractNum w:abstractNumId="16">
    <w:nsid w:val="6D2F68AA"/>
    <w:multiLevelType w:val="hybridMultilevel"/>
    <w:tmpl w:val="0A7EEE68"/>
    <w:lvl w:ilvl="0" w:tplc="96DE6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1215E"/>
    <w:multiLevelType w:val="hybridMultilevel"/>
    <w:tmpl w:val="AB067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3746FF4"/>
    <w:multiLevelType w:val="hybridMultilevel"/>
    <w:tmpl w:val="44EC6B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3"/>
  </w:num>
  <w:num w:numId="4">
    <w:abstractNumId w:val="9"/>
  </w:num>
  <w:num w:numId="5">
    <w:abstractNumId w:val="12"/>
  </w:num>
  <w:num w:numId="6">
    <w:abstractNumId w:val="8"/>
  </w:num>
  <w:num w:numId="7">
    <w:abstractNumId w:val="17"/>
  </w:num>
  <w:num w:numId="8">
    <w:abstractNumId w:val="10"/>
  </w:num>
  <w:num w:numId="9">
    <w:abstractNumId w:val="2"/>
  </w:num>
  <w:num w:numId="10">
    <w:abstractNumId w:val="14"/>
  </w:num>
  <w:num w:numId="11">
    <w:abstractNumId w:val="11"/>
  </w:num>
  <w:num w:numId="12">
    <w:abstractNumId w:val="6"/>
  </w:num>
  <w:num w:numId="13">
    <w:abstractNumId w:val="3"/>
  </w:num>
  <w:num w:numId="14">
    <w:abstractNumId w:val="15"/>
  </w:num>
  <w:num w:numId="15">
    <w:abstractNumId w:val="0"/>
  </w:num>
  <w:num w:numId="16">
    <w:abstractNumId w:val="1"/>
  </w:num>
  <w:num w:numId="17">
    <w:abstractNumId w:val="5"/>
  </w:num>
  <w:num w:numId="18">
    <w:abstractNumId w:val="7"/>
  </w:num>
  <w:num w:numId="19">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900B0"/>
    <w:rsid w:val="00007670"/>
    <w:rsid w:val="0001145C"/>
    <w:rsid w:val="00013085"/>
    <w:rsid w:val="00013EE6"/>
    <w:rsid w:val="00016E1D"/>
    <w:rsid w:val="00017E84"/>
    <w:rsid w:val="00020EC5"/>
    <w:rsid w:val="00023545"/>
    <w:rsid w:val="000235A5"/>
    <w:rsid w:val="00025A48"/>
    <w:rsid w:val="00031C8E"/>
    <w:rsid w:val="00036798"/>
    <w:rsid w:val="000374BC"/>
    <w:rsid w:val="00040A3D"/>
    <w:rsid w:val="00042C2F"/>
    <w:rsid w:val="00045A0C"/>
    <w:rsid w:val="00046A26"/>
    <w:rsid w:val="00050787"/>
    <w:rsid w:val="00050DAB"/>
    <w:rsid w:val="00054F0D"/>
    <w:rsid w:val="000572D9"/>
    <w:rsid w:val="0006010F"/>
    <w:rsid w:val="00070FD7"/>
    <w:rsid w:val="00071736"/>
    <w:rsid w:val="00072632"/>
    <w:rsid w:val="0007311F"/>
    <w:rsid w:val="00073E5A"/>
    <w:rsid w:val="00076008"/>
    <w:rsid w:val="0007624B"/>
    <w:rsid w:val="00077955"/>
    <w:rsid w:val="00077B9C"/>
    <w:rsid w:val="00077BBC"/>
    <w:rsid w:val="00081A3D"/>
    <w:rsid w:val="00081C95"/>
    <w:rsid w:val="00091781"/>
    <w:rsid w:val="00095F26"/>
    <w:rsid w:val="0009694F"/>
    <w:rsid w:val="000A35EF"/>
    <w:rsid w:val="000A67D5"/>
    <w:rsid w:val="000B3740"/>
    <w:rsid w:val="000C42E0"/>
    <w:rsid w:val="000C71CE"/>
    <w:rsid w:val="000D223F"/>
    <w:rsid w:val="000D35CB"/>
    <w:rsid w:val="000D60DC"/>
    <w:rsid w:val="000D6575"/>
    <w:rsid w:val="000D7153"/>
    <w:rsid w:val="000E0B31"/>
    <w:rsid w:val="000E0FA8"/>
    <w:rsid w:val="000E1A18"/>
    <w:rsid w:val="000F7606"/>
    <w:rsid w:val="00100A6B"/>
    <w:rsid w:val="00106699"/>
    <w:rsid w:val="0010703B"/>
    <w:rsid w:val="00107508"/>
    <w:rsid w:val="00110F1E"/>
    <w:rsid w:val="00112CF6"/>
    <w:rsid w:val="001201AA"/>
    <w:rsid w:val="001208CA"/>
    <w:rsid w:val="00120CA2"/>
    <w:rsid w:val="00121C0C"/>
    <w:rsid w:val="001242F0"/>
    <w:rsid w:val="00125776"/>
    <w:rsid w:val="0012584A"/>
    <w:rsid w:val="001334BA"/>
    <w:rsid w:val="001351C9"/>
    <w:rsid w:val="001356D1"/>
    <w:rsid w:val="001359BB"/>
    <w:rsid w:val="00136074"/>
    <w:rsid w:val="00137AF5"/>
    <w:rsid w:val="001413E0"/>
    <w:rsid w:val="0014174D"/>
    <w:rsid w:val="001443CB"/>
    <w:rsid w:val="00146B8A"/>
    <w:rsid w:val="001512BB"/>
    <w:rsid w:val="00156AF9"/>
    <w:rsid w:val="00157175"/>
    <w:rsid w:val="00157379"/>
    <w:rsid w:val="00157395"/>
    <w:rsid w:val="0016494E"/>
    <w:rsid w:val="001656FD"/>
    <w:rsid w:val="00165980"/>
    <w:rsid w:val="00165D43"/>
    <w:rsid w:val="00165F48"/>
    <w:rsid w:val="001710B0"/>
    <w:rsid w:val="0017199A"/>
    <w:rsid w:val="001734F5"/>
    <w:rsid w:val="0017561A"/>
    <w:rsid w:val="001775A6"/>
    <w:rsid w:val="00183B48"/>
    <w:rsid w:val="00185524"/>
    <w:rsid w:val="0018709F"/>
    <w:rsid w:val="0018736B"/>
    <w:rsid w:val="001948EF"/>
    <w:rsid w:val="0019535E"/>
    <w:rsid w:val="00195B8C"/>
    <w:rsid w:val="00197A98"/>
    <w:rsid w:val="001A2867"/>
    <w:rsid w:val="001A3940"/>
    <w:rsid w:val="001A44AE"/>
    <w:rsid w:val="001B1236"/>
    <w:rsid w:val="001B1D40"/>
    <w:rsid w:val="001B7AA5"/>
    <w:rsid w:val="001C2386"/>
    <w:rsid w:val="001C40EC"/>
    <w:rsid w:val="001C4DB4"/>
    <w:rsid w:val="001D1ECE"/>
    <w:rsid w:val="001D2A1A"/>
    <w:rsid w:val="001D4AEE"/>
    <w:rsid w:val="001D52E7"/>
    <w:rsid w:val="001E044F"/>
    <w:rsid w:val="001E25B4"/>
    <w:rsid w:val="001E3819"/>
    <w:rsid w:val="001E7DC5"/>
    <w:rsid w:val="001F01DC"/>
    <w:rsid w:val="001F15BC"/>
    <w:rsid w:val="001F24F7"/>
    <w:rsid w:val="001F3D15"/>
    <w:rsid w:val="001F6E46"/>
    <w:rsid w:val="001F7214"/>
    <w:rsid w:val="001F746F"/>
    <w:rsid w:val="001F78DA"/>
    <w:rsid w:val="0020114F"/>
    <w:rsid w:val="00201607"/>
    <w:rsid w:val="00202B14"/>
    <w:rsid w:val="002057ED"/>
    <w:rsid w:val="0020597F"/>
    <w:rsid w:val="0020609E"/>
    <w:rsid w:val="00207F13"/>
    <w:rsid w:val="00207FB2"/>
    <w:rsid w:val="002104B2"/>
    <w:rsid w:val="00210748"/>
    <w:rsid w:val="00211667"/>
    <w:rsid w:val="00215D5E"/>
    <w:rsid w:val="002201AC"/>
    <w:rsid w:val="00221B98"/>
    <w:rsid w:val="002224B8"/>
    <w:rsid w:val="00222B15"/>
    <w:rsid w:val="00223B2D"/>
    <w:rsid w:val="00224EBC"/>
    <w:rsid w:val="002277D3"/>
    <w:rsid w:val="0023225F"/>
    <w:rsid w:val="00232DCE"/>
    <w:rsid w:val="00235A9E"/>
    <w:rsid w:val="00235E03"/>
    <w:rsid w:val="00236C61"/>
    <w:rsid w:val="002400BD"/>
    <w:rsid w:val="002403C0"/>
    <w:rsid w:val="002465AA"/>
    <w:rsid w:val="0025104F"/>
    <w:rsid w:val="0025190D"/>
    <w:rsid w:val="00252AA4"/>
    <w:rsid w:val="00252AEC"/>
    <w:rsid w:val="00252C4F"/>
    <w:rsid w:val="0025471D"/>
    <w:rsid w:val="0025489D"/>
    <w:rsid w:val="00256AB9"/>
    <w:rsid w:val="00263B3E"/>
    <w:rsid w:val="00265E55"/>
    <w:rsid w:val="00266DAD"/>
    <w:rsid w:val="00267B6F"/>
    <w:rsid w:val="00272F15"/>
    <w:rsid w:val="0027355C"/>
    <w:rsid w:val="00276716"/>
    <w:rsid w:val="00276751"/>
    <w:rsid w:val="00280376"/>
    <w:rsid w:val="00280E25"/>
    <w:rsid w:val="00281707"/>
    <w:rsid w:val="002867E4"/>
    <w:rsid w:val="00287366"/>
    <w:rsid w:val="00291435"/>
    <w:rsid w:val="00292979"/>
    <w:rsid w:val="00293B8B"/>
    <w:rsid w:val="00295B9B"/>
    <w:rsid w:val="00297B32"/>
    <w:rsid w:val="002A1F19"/>
    <w:rsid w:val="002A4E7A"/>
    <w:rsid w:val="002A5684"/>
    <w:rsid w:val="002A6711"/>
    <w:rsid w:val="002B0021"/>
    <w:rsid w:val="002B0EE2"/>
    <w:rsid w:val="002B28CE"/>
    <w:rsid w:val="002B54D2"/>
    <w:rsid w:val="002B552A"/>
    <w:rsid w:val="002B6775"/>
    <w:rsid w:val="002B6EC8"/>
    <w:rsid w:val="002C14BC"/>
    <w:rsid w:val="002C1D29"/>
    <w:rsid w:val="002C34EC"/>
    <w:rsid w:val="002C3A91"/>
    <w:rsid w:val="002C3E48"/>
    <w:rsid w:val="002C53A6"/>
    <w:rsid w:val="002C568F"/>
    <w:rsid w:val="002C793A"/>
    <w:rsid w:val="002D304D"/>
    <w:rsid w:val="002D4435"/>
    <w:rsid w:val="002D45B9"/>
    <w:rsid w:val="002D591A"/>
    <w:rsid w:val="002D6485"/>
    <w:rsid w:val="002E2501"/>
    <w:rsid w:val="002E3E98"/>
    <w:rsid w:val="002E432B"/>
    <w:rsid w:val="002E53C4"/>
    <w:rsid w:val="002E53D2"/>
    <w:rsid w:val="002E5541"/>
    <w:rsid w:val="002E6A43"/>
    <w:rsid w:val="002E6DC5"/>
    <w:rsid w:val="002F4629"/>
    <w:rsid w:val="002F6DB1"/>
    <w:rsid w:val="00300B07"/>
    <w:rsid w:val="00301A46"/>
    <w:rsid w:val="003022F2"/>
    <w:rsid w:val="00305159"/>
    <w:rsid w:val="003076D3"/>
    <w:rsid w:val="0031069E"/>
    <w:rsid w:val="00312AFD"/>
    <w:rsid w:val="00312EC5"/>
    <w:rsid w:val="0032323B"/>
    <w:rsid w:val="00323D2E"/>
    <w:rsid w:val="0032515B"/>
    <w:rsid w:val="00325A53"/>
    <w:rsid w:val="00326CBD"/>
    <w:rsid w:val="00331C2E"/>
    <w:rsid w:val="00333308"/>
    <w:rsid w:val="00335EF3"/>
    <w:rsid w:val="0033706C"/>
    <w:rsid w:val="0034021D"/>
    <w:rsid w:val="00341CCC"/>
    <w:rsid w:val="003422A0"/>
    <w:rsid w:val="00343167"/>
    <w:rsid w:val="0034335D"/>
    <w:rsid w:val="00344253"/>
    <w:rsid w:val="003442BB"/>
    <w:rsid w:val="00344A37"/>
    <w:rsid w:val="00344D24"/>
    <w:rsid w:val="00350B9D"/>
    <w:rsid w:val="003512AB"/>
    <w:rsid w:val="003515A1"/>
    <w:rsid w:val="00351620"/>
    <w:rsid w:val="00351964"/>
    <w:rsid w:val="00352DDB"/>
    <w:rsid w:val="00353695"/>
    <w:rsid w:val="00356B2C"/>
    <w:rsid w:val="00360E36"/>
    <w:rsid w:val="00361B10"/>
    <w:rsid w:val="00361EF4"/>
    <w:rsid w:val="00364B45"/>
    <w:rsid w:val="00374F3B"/>
    <w:rsid w:val="003775F0"/>
    <w:rsid w:val="003804CA"/>
    <w:rsid w:val="003817A9"/>
    <w:rsid w:val="00382515"/>
    <w:rsid w:val="00383B7E"/>
    <w:rsid w:val="003858FA"/>
    <w:rsid w:val="0038692C"/>
    <w:rsid w:val="0039200A"/>
    <w:rsid w:val="00392374"/>
    <w:rsid w:val="003928B1"/>
    <w:rsid w:val="00393DCD"/>
    <w:rsid w:val="003A13A2"/>
    <w:rsid w:val="003A2AFD"/>
    <w:rsid w:val="003A3222"/>
    <w:rsid w:val="003A4154"/>
    <w:rsid w:val="003A44A7"/>
    <w:rsid w:val="003B012C"/>
    <w:rsid w:val="003B0F41"/>
    <w:rsid w:val="003B3BFA"/>
    <w:rsid w:val="003B7382"/>
    <w:rsid w:val="003C01BB"/>
    <w:rsid w:val="003C34BE"/>
    <w:rsid w:val="003C44D5"/>
    <w:rsid w:val="003C6E0C"/>
    <w:rsid w:val="003D5A86"/>
    <w:rsid w:val="003D6F6A"/>
    <w:rsid w:val="003D77AA"/>
    <w:rsid w:val="003E10FB"/>
    <w:rsid w:val="003E181E"/>
    <w:rsid w:val="003E1A40"/>
    <w:rsid w:val="003E6B05"/>
    <w:rsid w:val="003E6CA3"/>
    <w:rsid w:val="003F07C9"/>
    <w:rsid w:val="003F1DFD"/>
    <w:rsid w:val="003F258A"/>
    <w:rsid w:val="003F58CC"/>
    <w:rsid w:val="003F66C2"/>
    <w:rsid w:val="0040418C"/>
    <w:rsid w:val="00404C84"/>
    <w:rsid w:val="00407304"/>
    <w:rsid w:val="00407C89"/>
    <w:rsid w:val="00411145"/>
    <w:rsid w:val="0041188B"/>
    <w:rsid w:val="0041482F"/>
    <w:rsid w:val="00415901"/>
    <w:rsid w:val="00420E18"/>
    <w:rsid w:val="00422E32"/>
    <w:rsid w:val="00425BF6"/>
    <w:rsid w:val="00427DB4"/>
    <w:rsid w:val="00430128"/>
    <w:rsid w:val="004309FE"/>
    <w:rsid w:val="004322B8"/>
    <w:rsid w:val="004326DE"/>
    <w:rsid w:val="00432BC5"/>
    <w:rsid w:val="004342FF"/>
    <w:rsid w:val="00435134"/>
    <w:rsid w:val="0043575B"/>
    <w:rsid w:val="00436198"/>
    <w:rsid w:val="00441A1C"/>
    <w:rsid w:val="00442CFB"/>
    <w:rsid w:val="00444149"/>
    <w:rsid w:val="004452DB"/>
    <w:rsid w:val="0044599D"/>
    <w:rsid w:val="00446E65"/>
    <w:rsid w:val="004472A6"/>
    <w:rsid w:val="004515AB"/>
    <w:rsid w:val="004528BA"/>
    <w:rsid w:val="00456321"/>
    <w:rsid w:val="00457B01"/>
    <w:rsid w:val="004601EF"/>
    <w:rsid w:val="004609B7"/>
    <w:rsid w:val="004646F5"/>
    <w:rsid w:val="00465915"/>
    <w:rsid w:val="00466EA4"/>
    <w:rsid w:val="00470F87"/>
    <w:rsid w:val="0047112A"/>
    <w:rsid w:val="00475852"/>
    <w:rsid w:val="00482720"/>
    <w:rsid w:val="0048282C"/>
    <w:rsid w:val="0048495E"/>
    <w:rsid w:val="004900B0"/>
    <w:rsid w:val="004917DE"/>
    <w:rsid w:val="004918DA"/>
    <w:rsid w:val="00491921"/>
    <w:rsid w:val="00492C9E"/>
    <w:rsid w:val="00492CE1"/>
    <w:rsid w:val="00492E0E"/>
    <w:rsid w:val="00492E9E"/>
    <w:rsid w:val="00493F83"/>
    <w:rsid w:val="00496AE6"/>
    <w:rsid w:val="004979A5"/>
    <w:rsid w:val="00497B84"/>
    <w:rsid w:val="004A1D13"/>
    <w:rsid w:val="004A2B4F"/>
    <w:rsid w:val="004A503A"/>
    <w:rsid w:val="004A7984"/>
    <w:rsid w:val="004B0C6A"/>
    <w:rsid w:val="004B0DF9"/>
    <w:rsid w:val="004B20FC"/>
    <w:rsid w:val="004B22E8"/>
    <w:rsid w:val="004B3A0B"/>
    <w:rsid w:val="004B7D83"/>
    <w:rsid w:val="004C0208"/>
    <w:rsid w:val="004C0D5B"/>
    <w:rsid w:val="004C2CBD"/>
    <w:rsid w:val="004C4995"/>
    <w:rsid w:val="004C4FA2"/>
    <w:rsid w:val="004C69C8"/>
    <w:rsid w:val="004C7CDE"/>
    <w:rsid w:val="004D3624"/>
    <w:rsid w:val="004D6AB6"/>
    <w:rsid w:val="004D7596"/>
    <w:rsid w:val="004D7AFE"/>
    <w:rsid w:val="004E00C2"/>
    <w:rsid w:val="004E04B5"/>
    <w:rsid w:val="004E3592"/>
    <w:rsid w:val="004E4B27"/>
    <w:rsid w:val="004E5E7C"/>
    <w:rsid w:val="004F608E"/>
    <w:rsid w:val="005011DE"/>
    <w:rsid w:val="0050244B"/>
    <w:rsid w:val="005036CF"/>
    <w:rsid w:val="005053A2"/>
    <w:rsid w:val="00505C7C"/>
    <w:rsid w:val="00505F83"/>
    <w:rsid w:val="00510C33"/>
    <w:rsid w:val="00511749"/>
    <w:rsid w:val="0051220A"/>
    <w:rsid w:val="005122B4"/>
    <w:rsid w:val="00513963"/>
    <w:rsid w:val="00516213"/>
    <w:rsid w:val="00517D38"/>
    <w:rsid w:val="00520379"/>
    <w:rsid w:val="00520AA0"/>
    <w:rsid w:val="00524393"/>
    <w:rsid w:val="00524C9A"/>
    <w:rsid w:val="00530F16"/>
    <w:rsid w:val="00531B63"/>
    <w:rsid w:val="00531DD0"/>
    <w:rsid w:val="0053448D"/>
    <w:rsid w:val="00535165"/>
    <w:rsid w:val="00535DB6"/>
    <w:rsid w:val="005428B5"/>
    <w:rsid w:val="005431DE"/>
    <w:rsid w:val="00553BEB"/>
    <w:rsid w:val="005553E8"/>
    <w:rsid w:val="005558F0"/>
    <w:rsid w:val="005573B7"/>
    <w:rsid w:val="00560895"/>
    <w:rsid w:val="005622A8"/>
    <w:rsid w:val="00563A57"/>
    <w:rsid w:val="0056705C"/>
    <w:rsid w:val="00570937"/>
    <w:rsid w:val="00573A78"/>
    <w:rsid w:val="005772DE"/>
    <w:rsid w:val="00582542"/>
    <w:rsid w:val="00587FE1"/>
    <w:rsid w:val="0059184C"/>
    <w:rsid w:val="005924BF"/>
    <w:rsid w:val="00595C4A"/>
    <w:rsid w:val="005A0DD8"/>
    <w:rsid w:val="005A115D"/>
    <w:rsid w:val="005A24B9"/>
    <w:rsid w:val="005A475A"/>
    <w:rsid w:val="005A5A39"/>
    <w:rsid w:val="005B0281"/>
    <w:rsid w:val="005B0FAD"/>
    <w:rsid w:val="005B3315"/>
    <w:rsid w:val="005B5461"/>
    <w:rsid w:val="005B6001"/>
    <w:rsid w:val="005B6A44"/>
    <w:rsid w:val="005C1B40"/>
    <w:rsid w:val="005C1CA4"/>
    <w:rsid w:val="005C1E0C"/>
    <w:rsid w:val="005C2175"/>
    <w:rsid w:val="005C2B92"/>
    <w:rsid w:val="005C382F"/>
    <w:rsid w:val="005C5410"/>
    <w:rsid w:val="005C7E57"/>
    <w:rsid w:val="005D516E"/>
    <w:rsid w:val="005D5769"/>
    <w:rsid w:val="005D6F85"/>
    <w:rsid w:val="005D7298"/>
    <w:rsid w:val="005D77EE"/>
    <w:rsid w:val="005E23D1"/>
    <w:rsid w:val="005E5934"/>
    <w:rsid w:val="005F053B"/>
    <w:rsid w:val="005F114C"/>
    <w:rsid w:val="005F1CD5"/>
    <w:rsid w:val="005F5641"/>
    <w:rsid w:val="005F5EA0"/>
    <w:rsid w:val="005F63A9"/>
    <w:rsid w:val="005F694B"/>
    <w:rsid w:val="005F69CF"/>
    <w:rsid w:val="005F7724"/>
    <w:rsid w:val="005F7D73"/>
    <w:rsid w:val="00600746"/>
    <w:rsid w:val="00602BE8"/>
    <w:rsid w:val="0060398C"/>
    <w:rsid w:val="006069F6"/>
    <w:rsid w:val="00610AE0"/>
    <w:rsid w:val="00622096"/>
    <w:rsid w:val="0062365B"/>
    <w:rsid w:val="00624F14"/>
    <w:rsid w:val="00627190"/>
    <w:rsid w:val="00631AC6"/>
    <w:rsid w:val="00634467"/>
    <w:rsid w:val="00634644"/>
    <w:rsid w:val="00635585"/>
    <w:rsid w:val="00636C4E"/>
    <w:rsid w:val="00636DC3"/>
    <w:rsid w:val="00637C28"/>
    <w:rsid w:val="00640877"/>
    <w:rsid w:val="006423FA"/>
    <w:rsid w:val="0064244F"/>
    <w:rsid w:val="006433C0"/>
    <w:rsid w:val="00650497"/>
    <w:rsid w:val="00651AB2"/>
    <w:rsid w:val="00655608"/>
    <w:rsid w:val="006573D4"/>
    <w:rsid w:val="00657B07"/>
    <w:rsid w:val="0066369F"/>
    <w:rsid w:val="00663AD2"/>
    <w:rsid w:val="00664065"/>
    <w:rsid w:val="00664DAD"/>
    <w:rsid w:val="00665C9E"/>
    <w:rsid w:val="006730A5"/>
    <w:rsid w:val="00673417"/>
    <w:rsid w:val="006734FA"/>
    <w:rsid w:val="00676795"/>
    <w:rsid w:val="00680857"/>
    <w:rsid w:val="00681DE8"/>
    <w:rsid w:val="0068335D"/>
    <w:rsid w:val="00684042"/>
    <w:rsid w:val="006912DA"/>
    <w:rsid w:val="00691CE0"/>
    <w:rsid w:val="00693D04"/>
    <w:rsid w:val="00694A7B"/>
    <w:rsid w:val="006A0337"/>
    <w:rsid w:val="006A0BDA"/>
    <w:rsid w:val="006A0D1F"/>
    <w:rsid w:val="006A1473"/>
    <w:rsid w:val="006A1B18"/>
    <w:rsid w:val="006A2575"/>
    <w:rsid w:val="006A2D94"/>
    <w:rsid w:val="006A4060"/>
    <w:rsid w:val="006A6E75"/>
    <w:rsid w:val="006A7D42"/>
    <w:rsid w:val="006B111D"/>
    <w:rsid w:val="006B25B9"/>
    <w:rsid w:val="006B2E82"/>
    <w:rsid w:val="006C361D"/>
    <w:rsid w:val="006C3931"/>
    <w:rsid w:val="006C4468"/>
    <w:rsid w:val="006C4622"/>
    <w:rsid w:val="006C6B5B"/>
    <w:rsid w:val="006C6CC6"/>
    <w:rsid w:val="006D0E37"/>
    <w:rsid w:val="006D35A3"/>
    <w:rsid w:val="006D40F9"/>
    <w:rsid w:val="006E0779"/>
    <w:rsid w:val="006E16F6"/>
    <w:rsid w:val="006E1F30"/>
    <w:rsid w:val="006E46B2"/>
    <w:rsid w:val="006E755D"/>
    <w:rsid w:val="006E7967"/>
    <w:rsid w:val="006F1B66"/>
    <w:rsid w:val="006F2283"/>
    <w:rsid w:val="006F29C6"/>
    <w:rsid w:val="006F3684"/>
    <w:rsid w:val="006F546C"/>
    <w:rsid w:val="006F6619"/>
    <w:rsid w:val="006F680F"/>
    <w:rsid w:val="00704497"/>
    <w:rsid w:val="007045FF"/>
    <w:rsid w:val="007079BF"/>
    <w:rsid w:val="00710766"/>
    <w:rsid w:val="00713E8F"/>
    <w:rsid w:val="007145C8"/>
    <w:rsid w:val="00720222"/>
    <w:rsid w:val="00723885"/>
    <w:rsid w:val="00726116"/>
    <w:rsid w:val="0072639E"/>
    <w:rsid w:val="00727921"/>
    <w:rsid w:val="00730345"/>
    <w:rsid w:val="00733982"/>
    <w:rsid w:val="007340EE"/>
    <w:rsid w:val="0073458A"/>
    <w:rsid w:val="00735C92"/>
    <w:rsid w:val="007374AB"/>
    <w:rsid w:val="0074074E"/>
    <w:rsid w:val="00740FA0"/>
    <w:rsid w:val="0074159A"/>
    <w:rsid w:val="00745450"/>
    <w:rsid w:val="00745B01"/>
    <w:rsid w:val="00746B26"/>
    <w:rsid w:val="00750430"/>
    <w:rsid w:val="0075450C"/>
    <w:rsid w:val="0075550D"/>
    <w:rsid w:val="00760675"/>
    <w:rsid w:val="00764C4D"/>
    <w:rsid w:val="00766888"/>
    <w:rsid w:val="00773DF0"/>
    <w:rsid w:val="00774497"/>
    <w:rsid w:val="00774D2F"/>
    <w:rsid w:val="0077522C"/>
    <w:rsid w:val="00780431"/>
    <w:rsid w:val="007805A3"/>
    <w:rsid w:val="00780C81"/>
    <w:rsid w:val="00782A6B"/>
    <w:rsid w:val="00782FB0"/>
    <w:rsid w:val="00783E1E"/>
    <w:rsid w:val="007846F1"/>
    <w:rsid w:val="00785BFE"/>
    <w:rsid w:val="00791C40"/>
    <w:rsid w:val="00792905"/>
    <w:rsid w:val="00795647"/>
    <w:rsid w:val="00797B8B"/>
    <w:rsid w:val="00797EC7"/>
    <w:rsid w:val="007A0003"/>
    <w:rsid w:val="007A15A7"/>
    <w:rsid w:val="007A37BB"/>
    <w:rsid w:val="007A5516"/>
    <w:rsid w:val="007A773D"/>
    <w:rsid w:val="007B04EC"/>
    <w:rsid w:val="007B16D9"/>
    <w:rsid w:val="007B1F68"/>
    <w:rsid w:val="007B328F"/>
    <w:rsid w:val="007B368D"/>
    <w:rsid w:val="007B459E"/>
    <w:rsid w:val="007B5838"/>
    <w:rsid w:val="007B5E7F"/>
    <w:rsid w:val="007B6829"/>
    <w:rsid w:val="007B7918"/>
    <w:rsid w:val="007C2CE9"/>
    <w:rsid w:val="007C4EDF"/>
    <w:rsid w:val="007C5262"/>
    <w:rsid w:val="007C5E63"/>
    <w:rsid w:val="007D0DDE"/>
    <w:rsid w:val="007D1911"/>
    <w:rsid w:val="007D5B29"/>
    <w:rsid w:val="007D6009"/>
    <w:rsid w:val="007D642C"/>
    <w:rsid w:val="007E178E"/>
    <w:rsid w:val="007E22CF"/>
    <w:rsid w:val="007E2358"/>
    <w:rsid w:val="007E6499"/>
    <w:rsid w:val="007E649D"/>
    <w:rsid w:val="007F07A8"/>
    <w:rsid w:val="007F0F3F"/>
    <w:rsid w:val="007F1319"/>
    <w:rsid w:val="007F1AFE"/>
    <w:rsid w:val="0080192D"/>
    <w:rsid w:val="00805ED7"/>
    <w:rsid w:val="008062E7"/>
    <w:rsid w:val="00806E8D"/>
    <w:rsid w:val="00812F0D"/>
    <w:rsid w:val="008171AC"/>
    <w:rsid w:val="00817496"/>
    <w:rsid w:val="008202C9"/>
    <w:rsid w:val="00820733"/>
    <w:rsid w:val="0082128F"/>
    <w:rsid w:val="00824132"/>
    <w:rsid w:val="008260A6"/>
    <w:rsid w:val="00826DC7"/>
    <w:rsid w:val="00827FD8"/>
    <w:rsid w:val="00832413"/>
    <w:rsid w:val="00834896"/>
    <w:rsid w:val="00835F48"/>
    <w:rsid w:val="00837221"/>
    <w:rsid w:val="008420BA"/>
    <w:rsid w:val="00842FBE"/>
    <w:rsid w:val="00844451"/>
    <w:rsid w:val="00845060"/>
    <w:rsid w:val="00846067"/>
    <w:rsid w:val="00851E31"/>
    <w:rsid w:val="008552A6"/>
    <w:rsid w:val="00855D67"/>
    <w:rsid w:val="008652B2"/>
    <w:rsid w:val="00866200"/>
    <w:rsid w:val="00867C9D"/>
    <w:rsid w:val="00867D6A"/>
    <w:rsid w:val="00872CA9"/>
    <w:rsid w:val="0087313C"/>
    <w:rsid w:val="00875A60"/>
    <w:rsid w:val="00880126"/>
    <w:rsid w:val="00881930"/>
    <w:rsid w:val="00887C35"/>
    <w:rsid w:val="008931D4"/>
    <w:rsid w:val="00893FEF"/>
    <w:rsid w:val="00894A88"/>
    <w:rsid w:val="008A1D67"/>
    <w:rsid w:val="008A2DD6"/>
    <w:rsid w:val="008A3750"/>
    <w:rsid w:val="008A56AA"/>
    <w:rsid w:val="008A63B4"/>
    <w:rsid w:val="008B02A1"/>
    <w:rsid w:val="008B2083"/>
    <w:rsid w:val="008B2A25"/>
    <w:rsid w:val="008B359D"/>
    <w:rsid w:val="008B3A5C"/>
    <w:rsid w:val="008B3C5F"/>
    <w:rsid w:val="008B4355"/>
    <w:rsid w:val="008B745B"/>
    <w:rsid w:val="008C020F"/>
    <w:rsid w:val="008C2F3B"/>
    <w:rsid w:val="008C38C7"/>
    <w:rsid w:val="008C5468"/>
    <w:rsid w:val="008C6907"/>
    <w:rsid w:val="008D19FB"/>
    <w:rsid w:val="008D4AD0"/>
    <w:rsid w:val="008D5CFE"/>
    <w:rsid w:val="008E20DC"/>
    <w:rsid w:val="008E367F"/>
    <w:rsid w:val="008E63A8"/>
    <w:rsid w:val="008E65EA"/>
    <w:rsid w:val="008F177F"/>
    <w:rsid w:val="008F6D25"/>
    <w:rsid w:val="008F7D5E"/>
    <w:rsid w:val="009005F5"/>
    <w:rsid w:val="00901E5F"/>
    <w:rsid w:val="00903E91"/>
    <w:rsid w:val="009052B0"/>
    <w:rsid w:val="009105E5"/>
    <w:rsid w:val="00910E19"/>
    <w:rsid w:val="00914A01"/>
    <w:rsid w:val="00916A76"/>
    <w:rsid w:val="00916B64"/>
    <w:rsid w:val="00916F3B"/>
    <w:rsid w:val="009214C3"/>
    <w:rsid w:val="0092424E"/>
    <w:rsid w:val="00927650"/>
    <w:rsid w:val="00931A38"/>
    <w:rsid w:val="00933880"/>
    <w:rsid w:val="0093505B"/>
    <w:rsid w:val="009353D0"/>
    <w:rsid w:val="00937AC1"/>
    <w:rsid w:val="00950484"/>
    <w:rsid w:val="00950F63"/>
    <w:rsid w:val="00952B21"/>
    <w:rsid w:val="00954491"/>
    <w:rsid w:val="00954A0F"/>
    <w:rsid w:val="00954A14"/>
    <w:rsid w:val="00956730"/>
    <w:rsid w:val="00956C28"/>
    <w:rsid w:val="00962007"/>
    <w:rsid w:val="009626FF"/>
    <w:rsid w:val="00963DAE"/>
    <w:rsid w:val="0096455B"/>
    <w:rsid w:val="00966F09"/>
    <w:rsid w:val="0096730F"/>
    <w:rsid w:val="009678CD"/>
    <w:rsid w:val="009705BE"/>
    <w:rsid w:val="009714F5"/>
    <w:rsid w:val="009737EA"/>
    <w:rsid w:val="00981254"/>
    <w:rsid w:val="00983761"/>
    <w:rsid w:val="00987C23"/>
    <w:rsid w:val="00995470"/>
    <w:rsid w:val="009977C4"/>
    <w:rsid w:val="00997B10"/>
    <w:rsid w:val="009A1196"/>
    <w:rsid w:val="009A24D1"/>
    <w:rsid w:val="009A2AAD"/>
    <w:rsid w:val="009A5954"/>
    <w:rsid w:val="009B02E2"/>
    <w:rsid w:val="009B2581"/>
    <w:rsid w:val="009B2C25"/>
    <w:rsid w:val="009B3759"/>
    <w:rsid w:val="009B5C97"/>
    <w:rsid w:val="009B6794"/>
    <w:rsid w:val="009B695A"/>
    <w:rsid w:val="009C07C9"/>
    <w:rsid w:val="009C1FE0"/>
    <w:rsid w:val="009C7E08"/>
    <w:rsid w:val="009D1691"/>
    <w:rsid w:val="009E16DC"/>
    <w:rsid w:val="009E36E5"/>
    <w:rsid w:val="009E49E6"/>
    <w:rsid w:val="009E58D3"/>
    <w:rsid w:val="009F1EF3"/>
    <w:rsid w:val="009F3A2F"/>
    <w:rsid w:val="009F47AB"/>
    <w:rsid w:val="009F5D61"/>
    <w:rsid w:val="009F7279"/>
    <w:rsid w:val="00A002D1"/>
    <w:rsid w:val="00A020A8"/>
    <w:rsid w:val="00A0218C"/>
    <w:rsid w:val="00A06814"/>
    <w:rsid w:val="00A106BF"/>
    <w:rsid w:val="00A113A6"/>
    <w:rsid w:val="00A13CDA"/>
    <w:rsid w:val="00A14B15"/>
    <w:rsid w:val="00A1623A"/>
    <w:rsid w:val="00A168DC"/>
    <w:rsid w:val="00A16BDB"/>
    <w:rsid w:val="00A171A3"/>
    <w:rsid w:val="00A17686"/>
    <w:rsid w:val="00A21ABE"/>
    <w:rsid w:val="00A23389"/>
    <w:rsid w:val="00A25F4A"/>
    <w:rsid w:val="00A26700"/>
    <w:rsid w:val="00A30035"/>
    <w:rsid w:val="00A30F1E"/>
    <w:rsid w:val="00A312F0"/>
    <w:rsid w:val="00A33879"/>
    <w:rsid w:val="00A373BB"/>
    <w:rsid w:val="00A40915"/>
    <w:rsid w:val="00A409BA"/>
    <w:rsid w:val="00A419E2"/>
    <w:rsid w:val="00A52543"/>
    <w:rsid w:val="00A537A1"/>
    <w:rsid w:val="00A54798"/>
    <w:rsid w:val="00A547ED"/>
    <w:rsid w:val="00A55D75"/>
    <w:rsid w:val="00A55DB3"/>
    <w:rsid w:val="00A576BA"/>
    <w:rsid w:val="00A6084A"/>
    <w:rsid w:val="00A63C1C"/>
    <w:rsid w:val="00A65904"/>
    <w:rsid w:val="00A6613B"/>
    <w:rsid w:val="00A66C56"/>
    <w:rsid w:val="00A67876"/>
    <w:rsid w:val="00A71D09"/>
    <w:rsid w:val="00A745F7"/>
    <w:rsid w:val="00A75FFC"/>
    <w:rsid w:val="00A76561"/>
    <w:rsid w:val="00A772B5"/>
    <w:rsid w:val="00A7758E"/>
    <w:rsid w:val="00A77E03"/>
    <w:rsid w:val="00A8015A"/>
    <w:rsid w:val="00A81C92"/>
    <w:rsid w:val="00A830FD"/>
    <w:rsid w:val="00A83A10"/>
    <w:rsid w:val="00A86A27"/>
    <w:rsid w:val="00A87059"/>
    <w:rsid w:val="00A874D5"/>
    <w:rsid w:val="00A903CF"/>
    <w:rsid w:val="00A90DB5"/>
    <w:rsid w:val="00A91B6D"/>
    <w:rsid w:val="00A9288C"/>
    <w:rsid w:val="00A92C9D"/>
    <w:rsid w:val="00A94BB7"/>
    <w:rsid w:val="00A96E9A"/>
    <w:rsid w:val="00A97BE8"/>
    <w:rsid w:val="00AA05B9"/>
    <w:rsid w:val="00AA1209"/>
    <w:rsid w:val="00AA4518"/>
    <w:rsid w:val="00AA4E2F"/>
    <w:rsid w:val="00AA68CA"/>
    <w:rsid w:val="00AB0BC3"/>
    <w:rsid w:val="00AB0C09"/>
    <w:rsid w:val="00AB68DD"/>
    <w:rsid w:val="00AC12F9"/>
    <w:rsid w:val="00AC1912"/>
    <w:rsid w:val="00AC46A3"/>
    <w:rsid w:val="00AC4952"/>
    <w:rsid w:val="00AD2773"/>
    <w:rsid w:val="00AD31D9"/>
    <w:rsid w:val="00AD3D4A"/>
    <w:rsid w:val="00AD4596"/>
    <w:rsid w:val="00AD4BBA"/>
    <w:rsid w:val="00AE16AA"/>
    <w:rsid w:val="00AE25DB"/>
    <w:rsid w:val="00AF0187"/>
    <w:rsid w:val="00AF1327"/>
    <w:rsid w:val="00AF1E05"/>
    <w:rsid w:val="00AF28A6"/>
    <w:rsid w:val="00AF4D3B"/>
    <w:rsid w:val="00AF4F3E"/>
    <w:rsid w:val="00AF639F"/>
    <w:rsid w:val="00AF6820"/>
    <w:rsid w:val="00B03135"/>
    <w:rsid w:val="00B03C16"/>
    <w:rsid w:val="00B04379"/>
    <w:rsid w:val="00B04D5C"/>
    <w:rsid w:val="00B05889"/>
    <w:rsid w:val="00B05C92"/>
    <w:rsid w:val="00B0639B"/>
    <w:rsid w:val="00B07EE9"/>
    <w:rsid w:val="00B10F6D"/>
    <w:rsid w:val="00B11B0A"/>
    <w:rsid w:val="00B130CA"/>
    <w:rsid w:val="00B13219"/>
    <w:rsid w:val="00B14D9B"/>
    <w:rsid w:val="00B15FD9"/>
    <w:rsid w:val="00B16D5B"/>
    <w:rsid w:val="00B202B9"/>
    <w:rsid w:val="00B202CA"/>
    <w:rsid w:val="00B21BEB"/>
    <w:rsid w:val="00B2219E"/>
    <w:rsid w:val="00B24973"/>
    <w:rsid w:val="00B26337"/>
    <w:rsid w:val="00B30152"/>
    <w:rsid w:val="00B31443"/>
    <w:rsid w:val="00B33708"/>
    <w:rsid w:val="00B37D93"/>
    <w:rsid w:val="00B37E5B"/>
    <w:rsid w:val="00B403CB"/>
    <w:rsid w:val="00B404CA"/>
    <w:rsid w:val="00B41A70"/>
    <w:rsid w:val="00B42EA0"/>
    <w:rsid w:val="00B4511E"/>
    <w:rsid w:val="00B51F6F"/>
    <w:rsid w:val="00B5211C"/>
    <w:rsid w:val="00B52BFD"/>
    <w:rsid w:val="00B5593C"/>
    <w:rsid w:val="00B60295"/>
    <w:rsid w:val="00B607B9"/>
    <w:rsid w:val="00B62CDB"/>
    <w:rsid w:val="00B64F34"/>
    <w:rsid w:val="00B65B4F"/>
    <w:rsid w:val="00B670E5"/>
    <w:rsid w:val="00B70C3E"/>
    <w:rsid w:val="00B70EAF"/>
    <w:rsid w:val="00B716D1"/>
    <w:rsid w:val="00B73261"/>
    <w:rsid w:val="00B74EA9"/>
    <w:rsid w:val="00B75AE9"/>
    <w:rsid w:val="00B77A4C"/>
    <w:rsid w:val="00B81599"/>
    <w:rsid w:val="00B82EFA"/>
    <w:rsid w:val="00B87B98"/>
    <w:rsid w:val="00B93A19"/>
    <w:rsid w:val="00B94641"/>
    <w:rsid w:val="00B951A4"/>
    <w:rsid w:val="00B96D8D"/>
    <w:rsid w:val="00B96EE1"/>
    <w:rsid w:val="00BA0D84"/>
    <w:rsid w:val="00BA1CFD"/>
    <w:rsid w:val="00BA6F97"/>
    <w:rsid w:val="00BB1254"/>
    <w:rsid w:val="00BB2EFE"/>
    <w:rsid w:val="00BB65CC"/>
    <w:rsid w:val="00BB6AC3"/>
    <w:rsid w:val="00BB6CC9"/>
    <w:rsid w:val="00BC0606"/>
    <w:rsid w:val="00BC44E0"/>
    <w:rsid w:val="00BC79B1"/>
    <w:rsid w:val="00BD00E3"/>
    <w:rsid w:val="00BD2345"/>
    <w:rsid w:val="00BD2CFC"/>
    <w:rsid w:val="00BD3749"/>
    <w:rsid w:val="00BD4506"/>
    <w:rsid w:val="00BD46AA"/>
    <w:rsid w:val="00BE179C"/>
    <w:rsid w:val="00BE2542"/>
    <w:rsid w:val="00BE54A5"/>
    <w:rsid w:val="00BE6FF7"/>
    <w:rsid w:val="00BF56EF"/>
    <w:rsid w:val="00BF6118"/>
    <w:rsid w:val="00BF757D"/>
    <w:rsid w:val="00C02AD3"/>
    <w:rsid w:val="00C06084"/>
    <w:rsid w:val="00C06DE3"/>
    <w:rsid w:val="00C1040B"/>
    <w:rsid w:val="00C11162"/>
    <w:rsid w:val="00C11436"/>
    <w:rsid w:val="00C115D1"/>
    <w:rsid w:val="00C124E8"/>
    <w:rsid w:val="00C13C81"/>
    <w:rsid w:val="00C14C9E"/>
    <w:rsid w:val="00C15604"/>
    <w:rsid w:val="00C16A1E"/>
    <w:rsid w:val="00C176F0"/>
    <w:rsid w:val="00C2253E"/>
    <w:rsid w:val="00C233C4"/>
    <w:rsid w:val="00C234D8"/>
    <w:rsid w:val="00C2420F"/>
    <w:rsid w:val="00C26E2A"/>
    <w:rsid w:val="00C275A2"/>
    <w:rsid w:val="00C30255"/>
    <w:rsid w:val="00C33DA4"/>
    <w:rsid w:val="00C36D8B"/>
    <w:rsid w:val="00C371EA"/>
    <w:rsid w:val="00C402AB"/>
    <w:rsid w:val="00C414AB"/>
    <w:rsid w:val="00C41EEF"/>
    <w:rsid w:val="00C429F0"/>
    <w:rsid w:val="00C44C50"/>
    <w:rsid w:val="00C46B51"/>
    <w:rsid w:val="00C50DC1"/>
    <w:rsid w:val="00C52B0F"/>
    <w:rsid w:val="00C53B0E"/>
    <w:rsid w:val="00C54CF5"/>
    <w:rsid w:val="00C559A3"/>
    <w:rsid w:val="00C570F1"/>
    <w:rsid w:val="00C60951"/>
    <w:rsid w:val="00C62285"/>
    <w:rsid w:val="00C627BC"/>
    <w:rsid w:val="00C62D68"/>
    <w:rsid w:val="00C6356C"/>
    <w:rsid w:val="00C66671"/>
    <w:rsid w:val="00C66A4F"/>
    <w:rsid w:val="00C71037"/>
    <w:rsid w:val="00C74841"/>
    <w:rsid w:val="00C757AF"/>
    <w:rsid w:val="00C76BF0"/>
    <w:rsid w:val="00C77450"/>
    <w:rsid w:val="00C801B8"/>
    <w:rsid w:val="00C81598"/>
    <w:rsid w:val="00C81EA4"/>
    <w:rsid w:val="00C87FB6"/>
    <w:rsid w:val="00C90A92"/>
    <w:rsid w:val="00C90E4C"/>
    <w:rsid w:val="00C91ABD"/>
    <w:rsid w:val="00C91D93"/>
    <w:rsid w:val="00C9369C"/>
    <w:rsid w:val="00C93F2E"/>
    <w:rsid w:val="00C9580B"/>
    <w:rsid w:val="00CA60DF"/>
    <w:rsid w:val="00CA7556"/>
    <w:rsid w:val="00CB0C55"/>
    <w:rsid w:val="00CB122E"/>
    <w:rsid w:val="00CB3564"/>
    <w:rsid w:val="00CB371F"/>
    <w:rsid w:val="00CB422D"/>
    <w:rsid w:val="00CB4F5D"/>
    <w:rsid w:val="00CB5159"/>
    <w:rsid w:val="00CB6080"/>
    <w:rsid w:val="00CB628E"/>
    <w:rsid w:val="00CB6657"/>
    <w:rsid w:val="00CC0CAB"/>
    <w:rsid w:val="00CC3E4A"/>
    <w:rsid w:val="00CC45A6"/>
    <w:rsid w:val="00CC51CD"/>
    <w:rsid w:val="00CC6FC6"/>
    <w:rsid w:val="00CC7F0E"/>
    <w:rsid w:val="00CD0418"/>
    <w:rsid w:val="00CD0BB5"/>
    <w:rsid w:val="00CD2437"/>
    <w:rsid w:val="00CD3140"/>
    <w:rsid w:val="00CD3E38"/>
    <w:rsid w:val="00CD514C"/>
    <w:rsid w:val="00CD57C4"/>
    <w:rsid w:val="00CD620F"/>
    <w:rsid w:val="00CD6422"/>
    <w:rsid w:val="00CE3F04"/>
    <w:rsid w:val="00CE4C29"/>
    <w:rsid w:val="00CE7C17"/>
    <w:rsid w:val="00CE7F29"/>
    <w:rsid w:val="00CF114F"/>
    <w:rsid w:val="00CF250D"/>
    <w:rsid w:val="00CF355B"/>
    <w:rsid w:val="00CF3C71"/>
    <w:rsid w:val="00D01B5D"/>
    <w:rsid w:val="00D0265E"/>
    <w:rsid w:val="00D04F93"/>
    <w:rsid w:val="00D065DB"/>
    <w:rsid w:val="00D114DA"/>
    <w:rsid w:val="00D11A2A"/>
    <w:rsid w:val="00D12DC3"/>
    <w:rsid w:val="00D14CB7"/>
    <w:rsid w:val="00D20CE7"/>
    <w:rsid w:val="00D21294"/>
    <w:rsid w:val="00D21AD8"/>
    <w:rsid w:val="00D22821"/>
    <w:rsid w:val="00D31B88"/>
    <w:rsid w:val="00D37A3B"/>
    <w:rsid w:val="00D4272A"/>
    <w:rsid w:val="00D43434"/>
    <w:rsid w:val="00D44B21"/>
    <w:rsid w:val="00D44E0C"/>
    <w:rsid w:val="00D47210"/>
    <w:rsid w:val="00D505DD"/>
    <w:rsid w:val="00D53904"/>
    <w:rsid w:val="00D54B51"/>
    <w:rsid w:val="00D54FE7"/>
    <w:rsid w:val="00D55A1C"/>
    <w:rsid w:val="00D55B74"/>
    <w:rsid w:val="00D56A5A"/>
    <w:rsid w:val="00D603F2"/>
    <w:rsid w:val="00D60858"/>
    <w:rsid w:val="00D6176C"/>
    <w:rsid w:val="00D61CF7"/>
    <w:rsid w:val="00D63677"/>
    <w:rsid w:val="00D676C5"/>
    <w:rsid w:val="00D71FC1"/>
    <w:rsid w:val="00D747F5"/>
    <w:rsid w:val="00D74B9C"/>
    <w:rsid w:val="00D7652F"/>
    <w:rsid w:val="00D76C4B"/>
    <w:rsid w:val="00D77D1D"/>
    <w:rsid w:val="00D82E92"/>
    <w:rsid w:val="00D83A9E"/>
    <w:rsid w:val="00D84F03"/>
    <w:rsid w:val="00D86D65"/>
    <w:rsid w:val="00D914C1"/>
    <w:rsid w:val="00D915E6"/>
    <w:rsid w:val="00D92EC3"/>
    <w:rsid w:val="00D936D8"/>
    <w:rsid w:val="00D95E1F"/>
    <w:rsid w:val="00D973BF"/>
    <w:rsid w:val="00DA0BAF"/>
    <w:rsid w:val="00DA1417"/>
    <w:rsid w:val="00DA2F2D"/>
    <w:rsid w:val="00DA3FA2"/>
    <w:rsid w:val="00DB010A"/>
    <w:rsid w:val="00DB3572"/>
    <w:rsid w:val="00DB3631"/>
    <w:rsid w:val="00DB545F"/>
    <w:rsid w:val="00DC1500"/>
    <w:rsid w:val="00DC1D9A"/>
    <w:rsid w:val="00DC27BC"/>
    <w:rsid w:val="00DC3B5F"/>
    <w:rsid w:val="00DD0BBC"/>
    <w:rsid w:val="00DD5D55"/>
    <w:rsid w:val="00DE227F"/>
    <w:rsid w:val="00DE3AA1"/>
    <w:rsid w:val="00DE4A2B"/>
    <w:rsid w:val="00DE6D13"/>
    <w:rsid w:val="00DF38BD"/>
    <w:rsid w:val="00DF40B3"/>
    <w:rsid w:val="00DF6EE3"/>
    <w:rsid w:val="00E041E1"/>
    <w:rsid w:val="00E12932"/>
    <w:rsid w:val="00E13596"/>
    <w:rsid w:val="00E13E63"/>
    <w:rsid w:val="00E21B53"/>
    <w:rsid w:val="00E21FB8"/>
    <w:rsid w:val="00E22DB8"/>
    <w:rsid w:val="00E32669"/>
    <w:rsid w:val="00E33F10"/>
    <w:rsid w:val="00E34355"/>
    <w:rsid w:val="00E423FE"/>
    <w:rsid w:val="00E4392F"/>
    <w:rsid w:val="00E43D8D"/>
    <w:rsid w:val="00E448EB"/>
    <w:rsid w:val="00E44C7B"/>
    <w:rsid w:val="00E4737B"/>
    <w:rsid w:val="00E51DCB"/>
    <w:rsid w:val="00E533F4"/>
    <w:rsid w:val="00E56451"/>
    <w:rsid w:val="00E62495"/>
    <w:rsid w:val="00E6269F"/>
    <w:rsid w:val="00E63500"/>
    <w:rsid w:val="00E648C6"/>
    <w:rsid w:val="00E70456"/>
    <w:rsid w:val="00E72FCA"/>
    <w:rsid w:val="00E76119"/>
    <w:rsid w:val="00E76849"/>
    <w:rsid w:val="00E76EF2"/>
    <w:rsid w:val="00E810D7"/>
    <w:rsid w:val="00E8521D"/>
    <w:rsid w:val="00E85DB6"/>
    <w:rsid w:val="00E908A0"/>
    <w:rsid w:val="00E9093E"/>
    <w:rsid w:val="00E91EB4"/>
    <w:rsid w:val="00E938F8"/>
    <w:rsid w:val="00E96B89"/>
    <w:rsid w:val="00EA0FB5"/>
    <w:rsid w:val="00EA2810"/>
    <w:rsid w:val="00EA3BF3"/>
    <w:rsid w:val="00EA64AE"/>
    <w:rsid w:val="00EA7895"/>
    <w:rsid w:val="00EB0DB1"/>
    <w:rsid w:val="00EB1270"/>
    <w:rsid w:val="00EB1442"/>
    <w:rsid w:val="00EB1C9C"/>
    <w:rsid w:val="00EB213F"/>
    <w:rsid w:val="00EB261E"/>
    <w:rsid w:val="00EB34CB"/>
    <w:rsid w:val="00EB3922"/>
    <w:rsid w:val="00EC07D5"/>
    <w:rsid w:val="00EC35AE"/>
    <w:rsid w:val="00EC7350"/>
    <w:rsid w:val="00EC7625"/>
    <w:rsid w:val="00ED3B5C"/>
    <w:rsid w:val="00ED5E84"/>
    <w:rsid w:val="00ED685C"/>
    <w:rsid w:val="00ED7D09"/>
    <w:rsid w:val="00EE154F"/>
    <w:rsid w:val="00EE1903"/>
    <w:rsid w:val="00EE2137"/>
    <w:rsid w:val="00EE35F7"/>
    <w:rsid w:val="00EE5226"/>
    <w:rsid w:val="00EE5AD3"/>
    <w:rsid w:val="00EE623D"/>
    <w:rsid w:val="00EE75DF"/>
    <w:rsid w:val="00EF67E9"/>
    <w:rsid w:val="00F00792"/>
    <w:rsid w:val="00F05B09"/>
    <w:rsid w:val="00F0664F"/>
    <w:rsid w:val="00F1259B"/>
    <w:rsid w:val="00F147B7"/>
    <w:rsid w:val="00F14CBF"/>
    <w:rsid w:val="00F16622"/>
    <w:rsid w:val="00F20C9E"/>
    <w:rsid w:val="00F2232B"/>
    <w:rsid w:val="00F2584D"/>
    <w:rsid w:val="00F31061"/>
    <w:rsid w:val="00F3390C"/>
    <w:rsid w:val="00F33CCF"/>
    <w:rsid w:val="00F45667"/>
    <w:rsid w:val="00F56AA2"/>
    <w:rsid w:val="00F63854"/>
    <w:rsid w:val="00F64810"/>
    <w:rsid w:val="00F64DC9"/>
    <w:rsid w:val="00F657CF"/>
    <w:rsid w:val="00F6783F"/>
    <w:rsid w:val="00F67881"/>
    <w:rsid w:val="00F702C1"/>
    <w:rsid w:val="00F70E70"/>
    <w:rsid w:val="00F720BE"/>
    <w:rsid w:val="00F72B67"/>
    <w:rsid w:val="00F72E4A"/>
    <w:rsid w:val="00F7531A"/>
    <w:rsid w:val="00F762DB"/>
    <w:rsid w:val="00F77519"/>
    <w:rsid w:val="00F80D22"/>
    <w:rsid w:val="00F82445"/>
    <w:rsid w:val="00F83B34"/>
    <w:rsid w:val="00F84EB8"/>
    <w:rsid w:val="00F86161"/>
    <w:rsid w:val="00F9078D"/>
    <w:rsid w:val="00F93CDC"/>
    <w:rsid w:val="00F94629"/>
    <w:rsid w:val="00F94692"/>
    <w:rsid w:val="00F95115"/>
    <w:rsid w:val="00F95EBC"/>
    <w:rsid w:val="00FB029B"/>
    <w:rsid w:val="00FB1334"/>
    <w:rsid w:val="00FB16A8"/>
    <w:rsid w:val="00FB39F6"/>
    <w:rsid w:val="00FB3AE6"/>
    <w:rsid w:val="00FB6DE1"/>
    <w:rsid w:val="00FB6E58"/>
    <w:rsid w:val="00FC3A8B"/>
    <w:rsid w:val="00FC411E"/>
    <w:rsid w:val="00FC6387"/>
    <w:rsid w:val="00FC7C92"/>
    <w:rsid w:val="00FC7F3D"/>
    <w:rsid w:val="00FD0528"/>
    <w:rsid w:val="00FD0DC4"/>
    <w:rsid w:val="00FD1437"/>
    <w:rsid w:val="00FD7146"/>
    <w:rsid w:val="00FD7CE1"/>
    <w:rsid w:val="00FE06B0"/>
    <w:rsid w:val="00FE0A5C"/>
    <w:rsid w:val="00FE3306"/>
    <w:rsid w:val="00FE5071"/>
    <w:rsid w:val="00FF3EC5"/>
    <w:rsid w:val="00FF456D"/>
    <w:rsid w:val="00FF6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0B0"/>
  </w:style>
  <w:style w:type="paragraph" w:styleId="Footer">
    <w:name w:val="footer"/>
    <w:basedOn w:val="Normal"/>
    <w:link w:val="FooterChar"/>
    <w:uiPriority w:val="99"/>
    <w:unhideWhenUsed/>
    <w:rsid w:val="00490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0B0"/>
  </w:style>
  <w:style w:type="paragraph" w:styleId="ListParagraph">
    <w:name w:val="List Paragraph"/>
    <w:aliases w:val="Paragraph,HEAD 3,Bullet Paragraph,Bullet List,FooterText,List Paragraph1,numbered,Paragraphe de liste1,列出段落,列出段落1,Bulletr List Paragraph,List Paragraph2,List Paragraph21,Parágrafo da Lista1,Párrafo de lista1,Listeafsnit1,リスト段落1,Dot pt"/>
    <w:basedOn w:val="Normal"/>
    <w:link w:val="ListParagraphChar"/>
    <w:uiPriority w:val="34"/>
    <w:qFormat/>
    <w:rsid w:val="004900B0"/>
    <w:pPr>
      <w:spacing w:after="200" w:line="276" w:lineRule="auto"/>
      <w:ind w:left="720"/>
      <w:contextualSpacing/>
    </w:pPr>
    <w:rPr>
      <w:rFonts w:ascii="Calibri" w:eastAsia="SimSun" w:hAnsi="Calibri" w:cs="Times New Roman"/>
      <w:lang w:val="en-GB" w:eastAsia="zh-CN"/>
    </w:rPr>
  </w:style>
  <w:style w:type="paragraph" w:styleId="PlainText">
    <w:name w:val="Plain Text"/>
    <w:basedOn w:val="Normal"/>
    <w:link w:val="PlainTextChar"/>
    <w:rsid w:val="004900B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900B0"/>
    <w:rPr>
      <w:rFonts w:ascii="Courier New" w:eastAsia="Times New Roman" w:hAnsi="Courier New" w:cs="Courier New"/>
      <w:sz w:val="20"/>
      <w:szCs w:val="20"/>
      <w:lang w:val="en-US"/>
    </w:rPr>
  </w:style>
  <w:style w:type="character" w:customStyle="1" w:styleId="ListParagraphChar">
    <w:name w:val="List Paragraph Char"/>
    <w:aliases w:val="Paragraph Char,HEAD 3 Char,Bullet Paragraph Char,Bullet List Char,FooterText Char,List Paragraph1 Char,numbered Char,Paragraphe de liste1 Char,列出段落 Char,列出段落1 Char,Bulletr List Paragraph Char,List Paragraph2 Char,Listeafsnit1 Char"/>
    <w:link w:val="ListParagraph"/>
    <w:uiPriority w:val="34"/>
    <w:qFormat/>
    <w:locked/>
    <w:rsid w:val="004900B0"/>
    <w:rPr>
      <w:rFonts w:ascii="Calibri" w:eastAsia="SimSun" w:hAnsi="Calibri" w:cs="Times New Roman"/>
      <w:lang w:val="en-GB" w:eastAsia="zh-CN"/>
    </w:rPr>
  </w:style>
  <w:style w:type="character" w:styleId="CommentReference">
    <w:name w:val="annotation reference"/>
    <w:basedOn w:val="DefaultParagraphFont"/>
    <w:uiPriority w:val="99"/>
    <w:semiHidden/>
    <w:unhideWhenUsed/>
    <w:rsid w:val="000D60DC"/>
    <w:rPr>
      <w:sz w:val="16"/>
      <w:szCs w:val="16"/>
    </w:rPr>
  </w:style>
  <w:style w:type="paragraph" w:styleId="CommentText">
    <w:name w:val="annotation text"/>
    <w:basedOn w:val="Normal"/>
    <w:link w:val="CommentTextChar"/>
    <w:uiPriority w:val="99"/>
    <w:semiHidden/>
    <w:unhideWhenUsed/>
    <w:rsid w:val="000D60DC"/>
    <w:pPr>
      <w:spacing w:line="240" w:lineRule="auto"/>
    </w:pPr>
    <w:rPr>
      <w:sz w:val="20"/>
      <w:szCs w:val="20"/>
    </w:rPr>
  </w:style>
  <w:style w:type="character" w:customStyle="1" w:styleId="CommentTextChar">
    <w:name w:val="Comment Text Char"/>
    <w:basedOn w:val="DefaultParagraphFont"/>
    <w:link w:val="CommentText"/>
    <w:uiPriority w:val="99"/>
    <w:semiHidden/>
    <w:rsid w:val="000D60DC"/>
    <w:rPr>
      <w:sz w:val="20"/>
      <w:szCs w:val="20"/>
    </w:rPr>
  </w:style>
  <w:style w:type="paragraph" w:styleId="CommentSubject">
    <w:name w:val="annotation subject"/>
    <w:basedOn w:val="CommentText"/>
    <w:next w:val="CommentText"/>
    <w:link w:val="CommentSubjectChar"/>
    <w:uiPriority w:val="99"/>
    <w:semiHidden/>
    <w:unhideWhenUsed/>
    <w:rsid w:val="000D60DC"/>
    <w:rPr>
      <w:b/>
      <w:bCs/>
    </w:rPr>
  </w:style>
  <w:style w:type="character" w:customStyle="1" w:styleId="CommentSubjectChar">
    <w:name w:val="Comment Subject Char"/>
    <w:basedOn w:val="CommentTextChar"/>
    <w:link w:val="CommentSubject"/>
    <w:uiPriority w:val="99"/>
    <w:semiHidden/>
    <w:rsid w:val="000D60DC"/>
    <w:rPr>
      <w:b/>
      <w:bCs/>
      <w:sz w:val="20"/>
      <w:szCs w:val="20"/>
    </w:rPr>
  </w:style>
  <w:style w:type="paragraph" w:styleId="BalloonText">
    <w:name w:val="Balloon Text"/>
    <w:basedOn w:val="Normal"/>
    <w:link w:val="BalloonTextChar"/>
    <w:uiPriority w:val="99"/>
    <w:semiHidden/>
    <w:unhideWhenUsed/>
    <w:rsid w:val="000D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DC"/>
    <w:rPr>
      <w:rFonts w:ascii="Segoe UI" w:hAnsi="Segoe UI" w:cs="Segoe UI"/>
      <w:sz w:val="18"/>
      <w:szCs w:val="18"/>
    </w:rPr>
  </w:style>
  <w:style w:type="paragraph" w:styleId="FootnoteText">
    <w:name w:val="footnote text"/>
    <w:basedOn w:val="Normal"/>
    <w:link w:val="FootnoteTextChar"/>
    <w:uiPriority w:val="99"/>
    <w:semiHidden/>
    <w:unhideWhenUsed/>
    <w:rsid w:val="005C1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B40"/>
    <w:rPr>
      <w:sz w:val="20"/>
      <w:szCs w:val="20"/>
    </w:rPr>
  </w:style>
  <w:style w:type="character" w:styleId="FootnoteReference">
    <w:name w:val="footnote reference"/>
    <w:basedOn w:val="DefaultParagraphFont"/>
    <w:uiPriority w:val="99"/>
    <w:semiHidden/>
    <w:unhideWhenUsed/>
    <w:rsid w:val="005C1B40"/>
    <w:rPr>
      <w:vertAlign w:val="superscript"/>
    </w:rPr>
  </w:style>
  <w:style w:type="paragraph" w:customStyle="1" w:styleId="xmsonormal">
    <w:name w:val="x_msonormal"/>
    <w:basedOn w:val="Normal"/>
    <w:rsid w:val="00B93A19"/>
    <w:pPr>
      <w:spacing w:line="252" w:lineRule="auto"/>
    </w:pPr>
    <w:rPr>
      <w:rFonts w:ascii="Calibri" w:hAnsi="Calibri" w:cs="Calibri"/>
      <w:lang w:eastAsia="en-IN"/>
    </w:rPr>
  </w:style>
  <w:style w:type="paragraph" w:styleId="NoSpacing">
    <w:name w:val="No Spacing"/>
    <w:uiPriority w:val="1"/>
    <w:qFormat/>
    <w:rsid w:val="00A002D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361B10"/>
    <w:rPr>
      <w:color w:val="0000FF"/>
      <w:u w:val="single"/>
    </w:rPr>
  </w:style>
  <w:style w:type="table" w:styleId="TableGrid">
    <w:name w:val="Table Grid"/>
    <w:basedOn w:val="TableNormal"/>
    <w:uiPriority w:val="39"/>
    <w:rsid w:val="00950484"/>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5048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7830443">
      <w:bodyDiv w:val="1"/>
      <w:marLeft w:val="0"/>
      <w:marRight w:val="0"/>
      <w:marTop w:val="0"/>
      <w:marBottom w:val="0"/>
      <w:divBdr>
        <w:top w:val="none" w:sz="0" w:space="0" w:color="auto"/>
        <w:left w:val="none" w:sz="0" w:space="0" w:color="auto"/>
        <w:bottom w:val="none" w:sz="0" w:space="0" w:color="auto"/>
        <w:right w:val="none" w:sz="0" w:space="0" w:color="auto"/>
      </w:divBdr>
      <w:divsChild>
        <w:div w:id="1521895933">
          <w:marLeft w:val="1109"/>
          <w:marRight w:val="0"/>
          <w:marTop w:val="120"/>
          <w:marBottom w:val="120"/>
          <w:divBdr>
            <w:top w:val="none" w:sz="0" w:space="0" w:color="auto"/>
            <w:left w:val="none" w:sz="0" w:space="0" w:color="auto"/>
            <w:bottom w:val="none" w:sz="0" w:space="0" w:color="auto"/>
            <w:right w:val="none" w:sz="0" w:space="0" w:color="auto"/>
          </w:divBdr>
        </w:div>
      </w:divsChild>
    </w:div>
    <w:div w:id="100338934">
      <w:bodyDiv w:val="1"/>
      <w:marLeft w:val="0"/>
      <w:marRight w:val="0"/>
      <w:marTop w:val="0"/>
      <w:marBottom w:val="0"/>
      <w:divBdr>
        <w:top w:val="none" w:sz="0" w:space="0" w:color="auto"/>
        <w:left w:val="none" w:sz="0" w:space="0" w:color="auto"/>
        <w:bottom w:val="none" w:sz="0" w:space="0" w:color="auto"/>
        <w:right w:val="none" w:sz="0" w:space="0" w:color="auto"/>
      </w:divBdr>
    </w:div>
    <w:div w:id="317198815">
      <w:bodyDiv w:val="1"/>
      <w:marLeft w:val="0"/>
      <w:marRight w:val="0"/>
      <w:marTop w:val="0"/>
      <w:marBottom w:val="0"/>
      <w:divBdr>
        <w:top w:val="none" w:sz="0" w:space="0" w:color="auto"/>
        <w:left w:val="none" w:sz="0" w:space="0" w:color="auto"/>
        <w:bottom w:val="none" w:sz="0" w:space="0" w:color="auto"/>
        <w:right w:val="none" w:sz="0" w:space="0" w:color="auto"/>
      </w:divBdr>
      <w:divsChild>
        <w:div w:id="1954944894">
          <w:marLeft w:val="1138"/>
          <w:marRight w:val="0"/>
          <w:marTop w:val="120"/>
          <w:marBottom w:val="120"/>
          <w:divBdr>
            <w:top w:val="none" w:sz="0" w:space="0" w:color="auto"/>
            <w:left w:val="none" w:sz="0" w:space="0" w:color="auto"/>
            <w:bottom w:val="none" w:sz="0" w:space="0" w:color="auto"/>
            <w:right w:val="none" w:sz="0" w:space="0" w:color="auto"/>
          </w:divBdr>
        </w:div>
        <w:div w:id="542644826">
          <w:marLeft w:val="1699"/>
          <w:marRight w:val="0"/>
          <w:marTop w:val="120"/>
          <w:marBottom w:val="120"/>
          <w:divBdr>
            <w:top w:val="none" w:sz="0" w:space="0" w:color="auto"/>
            <w:left w:val="none" w:sz="0" w:space="0" w:color="auto"/>
            <w:bottom w:val="none" w:sz="0" w:space="0" w:color="auto"/>
            <w:right w:val="none" w:sz="0" w:space="0" w:color="auto"/>
          </w:divBdr>
        </w:div>
        <w:div w:id="786702161">
          <w:marLeft w:val="1699"/>
          <w:marRight w:val="0"/>
          <w:marTop w:val="120"/>
          <w:marBottom w:val="120"/>
          <w:divBdr>
            <w:top w:val="none" w:sz="0" w:space="0" w:color="auto"/>
            <w:left w:val="none" w:sz="0" w:space="0" w:color="auto"/>
            <w:bottom w:val="none" w:sz="0" w:space="0" w:color="auto"/>
            <w:right w:val="none" w:sz="0" w:space="0" w:color="auto"/>
          </w:divBdr>
        </w:div>
        <w:div w:id="1914850419">
          <w:marLeft w:val="1699"/>
          <w:marRight w:val="0"/>
          <w:marTop w:val="120"/>
          <w:marBottom w:val="120"/>
          <w:divBdr>
            <w:top w:val="none" w:sz="0" w:space="0" w:color="auto"/>
            <w:left w:val="none" w:sz="0" w:space="0" w:color="auto"/>
            <w:bottom w:val="none" w:sz="0" w:space="0" w:color="auto"/>
            <w:right w:val="none" w:sz="0" w:space="0" w:color="auto"/>
          </w:divBdr>
        </w:div>
        <w:div w:id="1905405927">
          <w:marLeft w:val="1699"/>
          <w:marRight w:val="0"/>
          <w:marTop w:val="120"/>
          <w:marBottom w:val="120"/>
          <w:divBdr>
            <w:top w:val="none" w:sz="0" w:space="0" w:color="auto"/>
            <w:left w:val="none" w:sz="0" w:space="0" w:color="auto"/>
            <w:bottom w:val="none" w:sz="0" w:space="0" w:color="auto"/>
            <w:right w:val="none" w:sz="0" w:space="0" w:color="auto"/>
          </w:divBdr>
        </w:div>
        <w:div w:id="1835148160">
          <w:marLeft w:val="1699"/>
          <w:marRight w:val="0"/>
          <w:marTop w:val="120"/>
          <w:marBottom w:val="120"/>
          <w:divBdr>
            <w:top w:val="none" w:sz="0" w:space="0" w:color="auto"/>
            <w:left w:val="none" w:sz="0" w:space="0" w:color="auto"/>
            <w:bottom w:val="none" w:sz="0" w:space="0" w:color="auto"/>
            <w:right w:val="none" w:sz="0" w:space="0" w:color="auto"/>
          </w:divBdr>
        </w:div>
        <w:div w:id="658996059">
          <w:marLeft w:val="1699"/>
          <w:marRight w:val="0"/>
          <w:marTop w:val="120"/>
          <w:marBottom w:val="120"/>
          <w:divBdr>
            <w:top w:val="none" w:sz="0" w:space="0" w:color="auto"/>
            <w:left w:val="none" w:sz="0" w:space="0" w:color="auto"/>
            <w:bottom w:val="none" w:sz="0" w:space="0" w:color="auto"/>
            <w:right w:val="none" w:sz="0" w:space="0" w:color="auto"/>
          </w:divBdr>
        </w:div>
        <w:div w:id="30501112">
          <w:marLeft w:val="1699"/>
          <w:marRight w:val="0"/>
          <w:marTop w:val="120"/>
          <w:marBottom w:val="120"/>
          <w:divBdr>
            <w:top w:val="none" w:sz="0" w:space="0" w:color="auto"/>
            <w:left w:val="none" w:sz="0" w:space="0" w:color="auto"/>
            <w:bottom w:val="none" w:sz="0" w:space="0" w:color="auto"/>
            <w:right w:val="none" w:sz="0" w:space="0" w:color="auto"/>
          </w:divBdr>
        </w:div>
      </w:divsChild>
    </w:div>
    <w:div w:id="341787026">
      <w:bodyDiv w:val="1"/>
      <w:marLeft w:val="0"/>
      <w:marRight w:val="0"/>
      <w:marTop w:val="0"/>
      <w:marBottom w:val="0"/>
      <w:divBdr>
        <w:top w:val="none" w:sz="0" w:space="0" w:color="auto"/>
        <w:left w:val="none" w:sz="0" w:space="0" w:color="auto"/>
        <w:bottom w:val="none" w:sz="0" w:space="0" w:color="auto"/>
        <w:right w:val="none" w:sz="0" w:space="0" w:color="auto"/>
      </w:divBdr>
    </w:div>
    <w:div w:id="354161131">
      <w:bodyDiv w:val="1"/>
      <w:marLeft w:val="0"/>
      <w:marRight w:val="0"/>
      <w:marTop w:val="0"/>
      <w:marBottom w:val="0"/>
      <w:divBdr>
        <w:top w:val="none" w:sz="0" w:space="0" w:color="auto"/>
        <w:left w:val="none" w:sz="0" w:space="0" w:color="auto"/>
        <w:bottom w:val="none" w:sz="0" w:space="0" w:color="auto"/>
        <w:right w:val="none" w:sz="0" w:space="0" w:color="auto"/>
      </w:divBdr>
      <w:divsChild>
        <w:div w:id="698579413">
          <w:marLeft w:val="1138"/>
          <w:marRight w:val="0"/>
          <w:marTop w:val="120"/>
          <w:marBottom w:val="120"/>
          <w:divBdr>
            <w:top w:val="none" w:sz="0" w:space="0" w:color="auto"/>
            <w:left w:val="none" w:sz="0" w:space="0" w:color="auto"/>
            <w:bottom w:val="none" w:sz="0" w:space="0" w:color="auto"/>
            <w:right w:val="none" w:sz="0" w:space="0" w:color="auto"/>
          </w:divBdr>
        </w:div>
      </w:divsChild>
    </w:div>
    <w:div w:id="372119969">
      <w:bodyDiv w:val="1"/>
      <w:marLeft w:val="0"/>
      <w:marRight w:val="0"/>
      <w:marTop w:val="0"/>
      <w:marBottom w:val="0"/>
      <w:divBdr>
        <w:top w:val="none" w:sz="0" w:space="0" w:color="auto"/>
        <w:left w:val="none" w:sz="0" w:space="0" w:color="auto"/>
        <w:bottom w:val="none" w:sz="0" w:space="0" w:color="auto"/>
        <w:right w:val="none" w:sz="0" w:space="0" w:color="auto"/>
      </w:divBdr>
    </w:div>
    <w:div w:id="524372516">
      <w:bodyDiv w:val="1"/>
      <w:marLeft w:val="0"/>
      <w:marRight w:val="0"/>
      <w:marTop w:val="0"/>
      <w:marBottom w:val="0"/>
      <w:divBdr>
        <w:top w:val="none" w:sz="0" w:space="0" w:color="auto"/>
        <w:left w:val="none" w:sz="0" w:space="0" w:color="auto"/>
        <w:bottom w:val="none" w:sz="0" w:space="0" w:color="auto"/>
        <w:right w:val="none" w:sz="0" w:space="0" w:color="auto"/>
      </w:divBdr>
    </w:div>
    <w:div w:id="580337746">
      <w:bodyDiv w:val="1"/>
      <w:marLeft w:val="0"/>
      <w:marRight w:val="0"/>
      <w:marTop w:val="0"/>
      <w:marBottom w:val="0"/>
      <w:divBdr>
        <w:top w:val="none" w:sz="0" w:space="0" w:color="auto"/>
        <w:left w:val="none" w:sz="0" w:space="0" w:color="auto"/>
        <w:bottom w:val="none" w:sz="0" w:space="0" w:color="auto"/>
        <w:right w:val="none" w:sz="0" w:space="0" w:color="auto"/>
      </w:divBdr>
      <w:divsChild>
        <w:div w:id="1831291857">
          <w:marLeft w:val="1138"/>
          <w:marRight w:val="0"/>
          <w:marTop w:val="120"/>
          <w:marBottom w:val="120"/>
          <w:divBdr>
            <w:top w:val="none" w:sz="0" w:space="0" w:color="auto"/>
            <w:left w:val="none" w:sz="0" w:space="0" w:color="auto"/>
            <w:bottom w:val="none" w:sz="0" w:space="0" w:color="auto"/>
            <w:right w:val="none" w:sz="0" w:space="0" w:color="auto"/>
          </w:divBdr>
        </w:div>
      </w:divsChild>
    </w:div>
    <w:div w:id="651715911">
      <w:bodyDiv w:val="1"/>
      <w:marLeft w:val="0"/>
      <w:marRight w:val="0"/>
      <w:marTop w:val="0"/>
      <w:marBottom w:val="0"/>
      <w:divBdr>
        <w:top w:val="none" w:sz="0" w:space="0" w:color="auto"/>
        <w:left w:val="none" w:sz="0" w:space="0" w:color="auto"/>
        <w:bottom w:val="none" w:sz="0" w:space="0" w:color="auto"/>
        <w:right w:val="none" w:sz="0" w:space="0" w:color="auto"/>
      </w:divBdr>
    </w:div>
    <w:div w:id="662393782">
      <w:bodyDiv w:val="1"/>
      <w:marLeft w:val="0"/>
      <w:marRight w:val="0"/>
      <w:marTop w:val="0"/>
      <w:marBottom w:val="0"/>
      <w:divBdr>
        <w:top w:val="none" w:sz="0" w:space="0" w:color="auto"/>
        <w:left w:val="none" w:sz="0" w:space="0" w:color="auto"/>
        <w:bottom w:val="none" w:sz="0" w:space="0" w:color="auto"/>
        <w:right w:val="none" w:sz="0" w:space="0" w:color="auto"/>
      </w:divBdr>
    </w:div>
    <w:div w:id="662396570">
      <w:bodyDiv w:val="1"/>
      <w:marLeft w:val="0"/>
      <w:marRight w:val="0"/>
      <w:marTop w:val="0"/>
      <w:marBottom w:val="0"/>
      <w:divBdr>
        <w:top w:val="none" w:sz="0" w:space="0" w:color="auto"/>
        <w:left w:val="none" w:sz="0" w:space="0" w:color="auto"/>
        <w:bottom w:val="none" w:sz="0" w:space="0" w:color="auto"/>
        <w:right w:val="none" w:sz="0" w:space="0" w:color="auto"/>
      </w:divBdr>
      <w:divsChild>
        <w:div w:id="2037924529">
          <w:marLeft w:val="1138"/>
          <w:marRight w:val="0"/>
          <w:marTop w:val="120"/>
          <w:marBottom w:val="120"/>
          <w:divBdr>
            <w:top w:val="none" w:sz="0" w:space="0" w:color="auto"/>
            <w:left w:val="none" w:sz="0" w:space="0" w:color="auto"/>
            <w:bottom w:val="none" w:sz="0" w:space="0" w:color="auto"/>
            <w:right w:val="none" w:sz="0" w:space="0" w:color="auto"/>
          </w:divBdr>
        </w:div>
      </w:divsChild>
    </w:div>
    <w:div w:id="918369755">
      <w:bodyDiv w:val="1"/>
      <w:marLeft w:val="0"/>
      <w:marRight w:val="0"/>
      <w:marTop w:val="0"/>
      <w:marBottom w:val="0"/>
      <w:divBdr>
        <w:top w:val="none" w:sz="0" w:space="0" w:color="auto"/>
        <w:left w:val="none" w:sz="0" w:space="0" w:color="auto"/>
        <w:bottom w:val="none" w:sz="0" w:space="0" w:color="auto"/>
        <w:right w:val="none" w:sz="0" w:space="0" w:color="auto"/>
      </w:divBdr>
    </w:div>
    <w:div w:id="998113961">
      <w:bodyDiv w:val="1"/>
      <w:marLeft w:val="0"/>
      <w:marRight w:val="0"/>
      <w:marTop w:val="0"/>
      <w:marBottom w:val="0"/>
      <w:divBdr>
        <w:top w:val="none" w:sz="0" w:space="0" w:color="auto"/>
        <w:left w:val="none" w:sz="0" w:space="0" w:color="auto"/>
        <w:bottom w:val="none" w:sz="0" w:space="0" w:color="auto"/>
        <w:right w:val="none" w:sz="0" w:space="0" w:color="auto"/>
      </w:divBdr>
    </w:div>
    <w:div w:id="1018315170">
      <w:bodyDiv w:val="1"/>
      <w:marLeft w:val="0"/>
      <w:marRight w:val="0"/>
      <w:marTop w:val="0"/>
      <w:marBottom w:val="0"/>
      <w:divBdr>
        <w:top w:val="none" w:sz="0" w:space="0" w:color="auto"/>
        <w:left w:val="none" w:sz="0" w:space="0" w:color="auto"/>
        <w:bottom w:val="none" w:sz="0" w:space="0" w:color="auto"/>
        <w:right w:val="none" w:sz="0" w:space="0" w:color="auto"/>
      </w:divBdr>
    </w:div>
    <w:div w:id="1069310477">
      <w:bodyDiv w:val="1"/>
      <w:marLeft w:val="0"/>
      <w:marRight w:val="0"/>
      <w:marTop w:val="0"/>
      <w:marBottom w:val="0"/>
      <w:divBdr>
        <w:top w:val="none" w:sz="0" w:space="0" w:color="auto"/>
        <w:left w:val="none" w:sz="0" w:space="0" w:color="auto"/>
        <w:bottom w:val="none" w:sz="0" w:space="0" w:color="auto"/>
        <w:right w:val="none" w:sz="0" w:space="0" w:color="auto"/>
      </w:divBdr>
    </w:div>
    <w:div w:id="1079640927">
      <w:bodyDiv w:val="1"/>
      <w:marLeft w:val="0"/>
      <w:marRight w:val="0"/>
      <w:marTop w:val="0"/>
      <w:marBottom w:val="0"/>
      <w:divBdr>
        <w:top w:val="none" w:sz="0" w:space="0" w:color="auto"/>
        <w:left w:val="none" w:sz="0" w:space="0" w:color="auto"/>
        <w:bottom w:val="none" w:sz="0" w:space="0" w:color="auto"/>
        <w:right w:val="none" w:sz="0" w:space="0" w:color="auto"/>
      </w:divBdr>
    </w:div>
    <w:div w:id="1098601635">
      <w:bodyDiv w:val="1"/>
      <w:marLeft w:val="0"/>
      <w:marRight w:val="0"/>
      <w:marTop w:val="0"/>
      <w:marBottom w:val="0"/>
      <w:divBdr>
        <w:top w:val="none" w:sz="0" w:space="0" w:color="auto"/>
        <w:left w:val="none" w:sz="0" w:space="0" w:color="auto"/>
        <w:bottom w:val="none" w:sz="0" w:space="0" w:color="auto"/>
        <w:right w:val="none" w:sz="0" w:space="0" w:color="auto"/>
      </w:divBdr>
      <w:divsChild>
        <w:div w:id="1899776183">
          <w:marLeft w:val="1138"/>
          <w:marRight w:val="0"/>
          <w:marTop w:val="120"/>
          <w:marBottom w:val="120"/>
          <w:divBdr>
            <w:top w:val="none" w:sz="0" w:space="0" w:color="auto"/>
            <w:left w:val="none" w:sz="0" w:space="0" w:color="auto"/>
            <w:bottom w:val="none" w:sz="0" w:space="0" w:color="auto"/>
            <w:right w:val="none" w:sz="0" w:space="0" w:color="auto"/>
          </w:divBdr>
        </w:div>
      </w:divsChild>
    </w:div>
    <w:div w:id="1133641829">
      <w:bodyDiv w:val="1"/>
      <w:marLeft w:val="0"/>
      <w:marRight w:val="0"/>
      <w:marTop w:val="0"/>
      <w:marBottom w:val="0"/>
      <w:divBdr>
        <w:top w:val="none" w:sz="0" w:space="0" w:color="auto"/>
        <w:left w:val="none" w:sz="0" w:space="0" w:color="auto"/>
        <w:bottom w:val="none" w:sz="0" w:space="0" w:color="auto"/>
        <w:right w:val="none" w:sz="0" w:space="0" w:color="auto"/>
      </w:divBdr>
    </w:div>
    <w:div w:id="1194728399">
      <w:bodyDiv w:val="1"/>
      <w:marLeft w:val="0"/>
      <w:marRight w:val="0"/>
      <w:marTop w:val="0"/>
      <w:marBottom w:val="0"/>
      <w:divBdr>
        <w:top w:val="none" w:sz="0" w:space="0" w:color="auto"/>
        <w:left w:val="none" w:sz="0" w:space="0" w:color="auto"/>
        <w:bottom w:val="none" w:sz="0" w:space="0" w:color="auto"/>
        <w:right w:val="none" w:sz="0" w:space="0" w:color="auto"/>
      </w:divBdr>
    </w:div>
    <w:div w:id="1227566417">
      <w:bodyDiv w:val="1"/>
      <w:marLeft w:val="0"/>
      <w:marRight w:val="0"/>
      <w:marTop w:val="0"/>
      <w:marBottom w:val="0"/>
      <w:divBdr>
        <w:top w:val="none" w:sz="0" w:space="0" w:color="auto"/>
        <w:left w:val="none" w:sz="0" w:space="0" w:color="auto"/>
        <w:bottom w:val="none" w:sz="0" w:space="0" w:color="auto"/>
        <w:right w:val="none" w:sz="0" w:space="0" w:color="auto"/>
      </w:divBdr>
      <w:divsChild>
        <w:div w:id="1251742061">
          <w:marLeft w:val="1138"/>
          <w:marRight w:val="0"/>
          <w:marTop w:val="120"/>
          <w:marBottom w:val="120"/>
          <w:divBdr>
            <w:top w:val="none" w:sz="0" w:space="0" w:color="auto"/>
            <w:left w:val="none" w:sz="0" w:space="0" w:color="auto"/>
            <w:bottom w:val="none" w:sz="0" w:space="0" w:color="auto"/>
            <w:right w:val="none" w:sz="0" w:space="0" w:color="auto"/>
          </w:divBdr>
        </w:div>
        <w:div w:id="541787667">
          <w:marLeft w:val="1138"/>
          <w:marRight w:val="0"/>
          <w:marTop w:val="120"/>
          <w:marBottom w:val="120"/>
          <w:divBdr>
            <w:top w:val="none" w:sz="0" w:space="0" w:color="auto"/>
            <w:left w:val="none" w:sz="0" w:space="0" w:color="auto"/>
            <w:bottom w:val="none" w:sz="0" w:space="0" w:color="auto"/>
            <w:right w:val="none" w:sz="0" w:space="0" w:color="auto"/>
          </w:divBdr>
        </w:div>
        <w:div w:id="505901659">
          <w:marLeft w:val="1138"/>
          <w:marRight w:val="0"/>
          <w:marTop w:val="120"/>
          <w:marBottom w:val="120"/>
          <w:divBdr>
            <w:top w:val="none" w:sz="0" w:space="0" w:color="auto"/>
            <w:left w:val="none" w:sz="0" w:space="0" w:color="auto"/>
            <w:bottom w:val="none" w:sz="0" w:space="0" w:color="auto"/>
            <w:right w:val="none" w:sz="0" w:space="0" w:color="auto"/>
          </w:divBdr>
        </w:div>
      </w:divsChild>
    </w:div>
    <w:div w:id="1403793682">
      <w:bodyDiv w:val="1"/>
      <w:marLeft w:val="0"/>
      <w:marRight w:val="0"/>
      <w:marTop w:val="0"/>
      <w:marBottom w:val="0"/>
      <w:divBdr>
        <w:top w:val="none" w:sz="0" w:space="0" w:color="auto"/>
        <w:left w:val="none" w:sz="0" w:space="0" w:color="auto"/>
        <w:bottom w:val="none" w:sz="0" w:space="0" w:color="auto"/>
        <w:right w:val="none" w:sz="0" w:space="0" w:color="auto"/>
      </w:divBdr>
    </w:div>
    <w:div w:id="1440953329">
      <w:bodyDiv w:val="1"/>
      <w:marLeft w:val="0"/>
      <w:marRight w:val="0"/>
      <w:marTop w:val="0"/>
      <w:marBottom w:val="0"/>
      <w:divBdr>
        <w:top w:val="none" w:sz="0" w:space="0" w:color="auto"/>
        <w:left w:val="none" w:sz="0" w:space="0" w:color="auto"/>
        <w:bottom w:val="none" w:sz="0" w:space="0" w:color="auto"/>
        <w:right w:val="none" w:sz="0" w:space="0" w:color="auto"/>
      </w:divBdr>
      <w:divsChild>
        <w:div w:id="1768505759">
          <w:marLeft w:val="1138"/>
          <w:marRight w:val="0"/>
          <w:marTop w:val="120"/>
          <w:marBottom w:val="120"/>
          <w:divBdr>
            <w:top w:val="none" w:sz="0" w:space="0" w:color="auto"/>
            <w:left w:val="none" w:sz="0" w:space="0" w:color="auto"/>
            <w:bottom w:val="none" w:sz="0" w:space="0" w:color="auto"/>
            <w:right w:val="none" w:sz="0" w:space="0" w:color="auto"/>
          </w:divBdr>
        </w:div>
        <w:div w:id="1805393557">
          <w:marLeft w:val="1138"/>
          <w:marRight w:val="0"/>
          <w:marTop w:val="120"/>
          <w:marBottom w:val="120"/>
          <w:divBdr>
            <w:top w:val="none" w:sz="0" w:space="0" w:color="auto"/>
            <w:left w:val="none" w:sz="0" w:space="0" w:color="auto"/>
            <w:bottom w:val="none" w:sz="0" w:space="0" w:color="auto"/>
            <w:right w:val="none" w:sz="0" w:space="0" w:color="auto"/>
          </w:divBdr>
        </w:div>
      </w:divsChild>
    </w:div>
    <w:div w:id="1487236359">
      <w:bodyDiv w:val="1"/>
      <w:marLeft w:val="0"/>
      <w:marRight w:val="0"/>
      <w:marTop w:val="0"/>
      <w:marBottom w:val="0"/>
      <w:divBdr>
        <w:top w:val="none" w:sz="0" w:space="0" w:color="auto"/>
        <w:left w:val="none" w:sz="0" w:space="0" w:color="auto"/>
        <w:bottom w:val="none" w:sz="0" w:space="0" w:color="auto"/>
        <w:right w:val="none" w:sz="0" w:space="0" w:color="auto"/>
      </w:divBdr>
    </w:div>
    <w:div w:id="1488789101">
      <w:bodyDiv w:val="1"/>
      <w:marLeft w:val="0"/>
      <w:marRight w:val="0"/>
      <w:marTop w:val="0"/>
      <w:marBottom w:val="0"/>
      <w:divBdr>
        <w:top w:val="none" w:sz="0" w:space="0" w:color="auto"/>
        <w:left w:val="none" w:sz="0" w:space="0" w:color="auto"/>
        <w:bottom w:val="none" w:sz="0" w:space="0" w:color="auto"/>
        <w:right w:val="none" w:sz="0" w:space="0" w:color="auto"/>
      </w:divBdr>
    </w:div>
    <w:div w:id="1716848253">
      <w:bodyDiv w:val="1"/>
      <w:marLeft w:val="0"/>
      <w:marRight w:val="0"/>
      <w:marTop w:val="0"/>
      <w:marBottom w:val="0"/>
      <w:divBdr>
        <w:top w:val="none" w:sz="0" w:space="0" w:color="auto"/>
        <w:left w:val="none" w:sz="0" w:space="0" w:color="auto"/>
        <w:bottom w:val="none" w:sz="0" w:space="0" w:color="auto"/>
        <w:right w:val="none" w:sz="0" w:space="0" w:color="auto"/>
      </w:divBdr>
    </w:div>
    <w:div w:id="1761752890">
      <w:bodyDiv w:val="1"/>
      <w:marLeft w:val="0"/>
      <w:marRight w:val="0"/>
      <w:marTop w:val="0"/>
      <w:marBottom w:val="0"/>
      <w:divBdr>
        <w:top w:val="none" w:sz="0" w:space="0" w:color="auto"/>
        <w:left w:val="none" w:sz="0" w:space="0" w:color="auto"/>
        <w:bottom w:val="none" w:sz="0" w:space="0" w:color="auto"/>
        <w:right w:val="none" w:sz="0" w:space="0" w:color="auto"/>
      </w:divBdr>
    </w:div>
    <w:div w:id="1828784326">
      <w:bodyDiv w:val="1"/>
      <w:marLeft w:val="0"/>
      <w:marRight w:val="0"/>
      <w:marTop w:val="0"/>
      <w:marBottom w:val="0"/>
      <w:divBdr>
        <w:top w:val="none" w:sz="0" w:space="0" w:color="auto"/>
        <w:left w:val="none" w:sz="0" w:space="0" w:color="auto"/>
        <w:bottom w:val="none" w:sz="0" w:space="0" w:color="auto"/>
        <w:right w:val="none" w:sz="0" w:space="0" w:color="auto"/>
      </w:divBdr>
      <w:divsChild>
        <w:div w:id="123156518">
          <w:marLeft w:val="1138"/>
          <w:marRight w:val="0"/>
          <w:marTop w:val="120"/>
          <w:marBottom w:val="120"/>
          <w:divBdr>
            <w:top w:val="none" w:sz="0" w:space="0" w:color="auto"/>
            <w:left w:val="none" w:sz="0" w:space="0" w:color="auto"/>
            <w:bottom w:val="none" w:sz="0" w:space="0" w:color="auto"/>
            <w:right w:val="none" w:sz="0" w:space="0" w:color="auto"/>
          </w:divBdr>
        </w:div>
        <w:div w:id="1396902052">
          <w:marLeft w:val="1138"/>
          <w:marRight w:val="0"/>
          <w:marTop w:val="120"/>
          <w:marBottom w:val="120"/>
          <w:divBdr>
            <w:top w:val="none" w:sz="0" w:space="0" w:color="auto"/>
            <w:left w:val="none" w:sz="0" w:space="0" w:color="auto"/>
            <w:bottom w:val="none" w:sz="0" w:space="0" w:color="auto"/>
            <w:right w:val="none" w:sz="0" w:space="0" w:color="auto"/>
          </w:divBdr>
        </w:div>
        <w:div w:id="724455350">
          <w:marLeft w:val="1670"/>
          <w:marRight w:val="0"/>
          <w:marTop w:val="120"/>
          <w:marBottom w:val="120"/>
          <w:divBdr>
            <w:top w:val="none" w:sz="0" w:space="0" w:color="auto"/>
            <w:left w:val="none" w:sz="0" w:space="0" w:color="auto"/>
            <w:bottom w:val="none" w:sz="0" w:space="0" w:color="auto"/>
            <w:right w:val="none" w:sz="0" w:space="0" w:color="auto"/>
          </w:divBdr>
        </w:div>
        <w:div w:id="1305891832">
          <w:marLeft w:val="1670"/>
          <w:marRight w:val="0"/>
          <w:marTop w:val="120"/>
          <w:marBottom w:val="120"/>
          <w:divBdr>
            <w:top w:val="none" w:sz="0" w:space="0" w:color="auto"/>
            <w:left w:val="none" w:sz="0" w:space="0" w:color="auto"/>
            <w:bottom w:val="none" w:sz="0" w:space="0" w:color="auto"/>
            <w:right w:val="none" w:sz="0" w:space="0" w:color="auto"/>
          </w:divBdr>
        </w:div>
      </w:divsChild>
    </w:div>
    <w:div w:id="1883130610">
      <w:bodyDiv w:val="1"/>
      <w:marLeft w:val="0"/>
      <w:marRight w:val="0"/>
      <w:marTop w:val="0"/>
      <w:marBottom w:val="0"/>
      <w:divBdr>
        <w:top w:val="none" w:sz="0" w:space="0" w:color="auto"/>
        <w:left w:val="none" w:sz="0" w:space="0" w:color="auto"/>
        <w:bottom w:val="none" w:sz="0" w:space="0" w:color="auto"/>
        <w:right w:val="none" w:sz="0" w:space="0" w:color="auto"/>
      </w:divBdr>
    </w:div>
    <w:div w:id="1886216611">
      <w:bodyDiv w:val="1"/>
      <w:marLeft w:val="0"/>
      <w:marRight w:val="0"/>
      <w:marTop w:val="0"/>
      <w:marBottom w:val="0"/>
      <w:divBdr>
        <w:top w:val="none" w:sz="0" w:space="0" w:color="auto"/>
        <w:left w:val="none" w:sz="0" w:space="0" w:color="auto"/>
        <w:bottom w:val="none" w:sz="0" w:space="0" w:color="auto"/>
        <w:right w:val="none" w:sz="0" w:space="0" w:color="auto"/>
      </w:divBdr>
      <w:divsChild>
        <w:div w:id="259607152">
          <w:marLeft w:val="1138"/>
          <w:marRight w:val="0"/>
          <w:marTop w:val="120"/>
          <w:marBottom w:val="120"/>
          <w:divBdr>
            <w:top w:val="none" w:sz="0" w:space="0" w:color="auto"/>
            <w:left w:val="none" w:sz="0" w:space="0" w:color="auto"/>
            <w:bottom w:val="none" w:sz="0" w:space="0" w:color="auto"/>
            <w:right w:val="none" w:sz="0" w:space="0" w:color="auto"/>
          </w:divBdr>
        </w:div>
        <w:div w:id="1465270366">
          <w:marLeft w:val="1670"/>
          <w:marRight w:val="0"/>
          <w:marTop w:val="120"/>
          <w:marBottom w:val="120"/>
          <w:divBdr>
            <w:top w:val="none" w:sz="0" w:space="0" w:color="auto"/>
            <w:left w:val="none" w:sz="0" w:space="0" w:color="auto"/>
            <w:bottom w:val="none" w:sz="0" w:space="0" w:color="auto"/>
            <w:right w:val="none" w:sz="0" w:space="0" w:color="auto"/>
          </w:divBdr>
        </w:div>
        <w:div w:id="36787139">
          <w:marLeft w:val="1670"/>
          <w:marRight w:val="0"/>
          <w:marTop w:val="120"/>
          <w:marBottom w:val="120"/>
          <w:divBdr>
            <w:top w:val="none" w:sz="0" w:space="0" w:color="auto"/>
            <w:left w:val="none" w:sz="0" w:space="0" w:color="auto"/>
            <w:bottom w:val="none" w:sz="0" w:space="0" w:color="auto"/>
            <w:right w:val="none" w:sz="0" w:space="0" w:color="auto"/>
          </w:divBdr>
        </w:div>
      </w:divsChild>
    </w:div>
    <w:div w:id="1998336447">
      <w:bodyDiv w:val="1"/>
      <w:marLeft w:val="0"/>
      <w:marRight w:val="0"/>
      <w:marTop w:val="0"/>
      <w:marBottom w:val="0"/>
      <w:divBdr>
        <w:top w:val="none" w:sz="0" w:space="0" w:color="auto"/>
        <w:left w:val="none" w:sz="0" w:space="0" w:color="auto"/>
        <w:bottom w:val="none" w:sz="0" w:space="0" w:color="auto"/>
        <w:right w:val="none" w:sz="0" w:space="0" w:color="auto"/>
      </w:divBdr>
      <w:divsChild>
        <w:div w:id="1138034942">
          <w:marLeft w:val="0"/>
          <w:marRight w:val="0"/>
          <w:marTop w:val="0"/>
          <w:marBottom w:val="0"/>
          <w:divBdr>
            <w:top w:val="none" w:sz="0" w:space="0" w:color="auto"/>
            <w:left w:val="none" w:sz="0" w:space="0" w:color="auto"/>
            <w:bottom w:val="none" w:sz="0" w:space="0" w:color="auto"/>
            <w:right w:val="none" w:sz="0" w:space="0" w:color="auto"/>
          </w:divBdr>
        </w:div>
      </w:divsChild>
    </w:div>
    <w:div w:id="2001494434">
      <w:bodyDiv w:val="1"/>
      <w:marLeft w:val="0"/>
      <w:marRight w:val="0"/>
      <w:marTop w:val="0"/>
      <w:marBottom w:val="0"/>
      <w:divBdr>
        <w:top w:val="none" w:sz="0" w:space="0" w:color="auto"/>
        <w:left w:val="none" w:sz="0" w:space="0" w:color="auto"/>
        <w:bottom w:val="none" w:sz="0" w:space="0" w:color="auto"/>
        <w:right w:val="none" w:sz="0" w:space="0" w:color="auto"/>
      </w:divBdr>
      <w:divsChild>
        <w:div w:id="632948910">
          <w:marLeft w:val="1138"/>
          <w:marRight w:val="0"/>
          <w:marTop w:val="120"/>
          <w:marBottom w:val="120"/>
          <w:divBdr>
            <w:top w:val="none" w:sz="0" w:space="0" w:color="auto"/>
            <w:left w:val="none" w:sz="0" w:space="0" w:color="auto"/>
            <w:bottom w:val="none" w:sz="0" w:space="0" w:color="auto"/>
            <w:right w:val="none" w:sz="0" w:space="0" w:color="auto"/>
          </w:divBdr>
        </w:div>
        <w:div w:id="434011875">
          <w:marLeft w:val="1138"/>
          <w:marRight w:val="0"/>
          <w:marTop w:val="120"/>
          <w:marBottom w:val="120"/>
          <w:divBdr>
            <w:top w:val="none" w:sz="0" w:space="0" w:color="auto"/>
            <w:left w:val="none" w:sz="0" w:space="0" w:color="auto"/>
            <w:bottom w:val="none" w:sz="0" w:space="0" w:color="auto"/>
            <w:right w:val="none" w:sz="0" w:space="0" w:color="auto"/>
          </w:divBdr>
        </w:div>
      </w:divsChild>
    </w:div>
    <w:div w:id="2101901617">
      <w:bodyDiv w:val="1"/>
      <w:marLeft w:val="0"/>
      <w:marRight w:val="0"/>
      <w:marTop w:val="0"/>
      <w:marBottom w:val="0"/>
      <w:divBdr>
        <w:top w:val="none" w:sz="0" w:space="0" w:color="auto"/>
        <w:left w:val="none" w:sz="0" w:space="0" w:color="auto"/>
        <w:bottom w:val="none" w:sz="0" w:space="0" w:color="auto"/>
        <w:right w:val="none" w:sz="0" w:space="0" w:color="auto"/>
      </w:divBdr>
      <w:divsChild>
        <w:div w:id="536164032">
          <w:marLeft w:val="562"/>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76EA3842EA4498346A0EB4848728C" ma:contentTypeVersion="12" ma:contentTypeDescription="Create a new document." ma:contentTypeScope="" ma:versionID="7c104f1da0c0a57d9e7b23a3ff50e168">
  <xsd:schema xmlns:xsd="http://www.w3.org/2001/XMLSchema" xmlns:xs="http://www.w3.org/2001/XMLSchema" xmlns:p="http://schemas.microsoft.com/office/2006/metadata/properties" xmlns:ns3="446d75ff-97dd-48e7-b599-1a5253670bdf" xmlns:ns4="fe06ab4a-8e72-4159-b5ae-ef177e87c6a6" targetNamespace="http://schemas.microsoft.com/office/2006/metadata/properties" ma:root="true" ma:fieldsID="98112b5154648954446fc94367beccac" ns3:_="" ns4:_="">
    <xsd:import namespace="446d75ff-97dd-48e7-b599-1a5253670bdf"/>
    <xsd:import namespace="fe06ab4a-8e72-4159-b5ae-ef177e87c6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75ff-97dd-48e7-b599-1a5253670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6ab4a-8e72-4159-b5ae-ef177e87c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2F51-A143-4E1C-B8A8-F683EF546C09}">
  <ds:schemaRefs>
    <ds:schemaRef ds:uri="http://schemas.microsoft.com/sharepoint/v3/contenttype/forms"/>
  </ds:schemaRefs>
</ds:datastoreItem>
</file>

<file path=customXml/itemProps2.xml><?xml version="1.0" encoding="utf-8"?>
<ds:datastoreItem xmlns:ds="http://schemas.openxmlformats.org/officeDocument/2006/customXml" ds:itemID="{E1D7AFBB-9D2F-4B03-9272-EFA52E075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B6F2D5-7CC0-42A8-A4C7-304D0B3C7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75ff-97dd-48e7-b599-1a5253670bdf"/>
    <ds:schemaRef ds:uri="fe06ab4a-8e72-4159-b5ae-ef177e87c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254ED-94F7-4400-B71F-D4903C2E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7042</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Moolya, Rajesh</dc:creator>
  <cp:lastModifiedBy>R Ganesh</cp:lastModifiedBy>
  <cp:revision>2</cp:revision>
  <cp:lastPrinted>2023-02-14T11:12:00Z</cp:lastPrinted>
  <dcterms:created xsi:type="dcterms:W3CDTF">2023-03-08T07:27:00Z</dcterms:created>
  <dcterms:modified xsi:type="dcterms:W3CDTF">2023-03-08T07:27:00Z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0x01010076176EA3842EA4498346A0EB4848728C</vt:lpwstr>
  </property>
</Properties>
</file>