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DBA" w:rsidRPr="00CE7147" w:rsidRDefault="00697DBA" w:rsidP="00F07A1B">
      <w:pPr>
        <w:pBdr>
          <w:bottom w:val="single" w:sz="4" w:space="1" w:color="auto"/>
        </w:pBdr>
        <w:spacing w:after="0" w:line="276" w:lineRule="auto"/>
        <w:jc w:val="center"/>
        <w:rPr>
          <w:rFonts w:ascii="Arial" w:hAnsi="Arial" w:cs="Arial"/>
          <w:b/>
          <w:bCs/>
          <w:sz w:val="24"/>
          <w:szCs w:val="24"/>
        </w:rPr>
      </w:pPr>
      <w:r w:rsidRPr="00CE7147">
        <w:rPr>
          <w:rFonts w:ascii="Arial" w:hAnsi="Arial" w:cs="Arial"/>
          <w:b/>
          <w:bCs/>
          <w:sz w:val="24"/>
          <w:szCs w:val="24"/>
        </w:rPr>
        <w:t xml:space="preserve">Roadmap for </w:t>
      </w:r>
      <w:r w:rsidR="009E6BBA">
        <w:rPr>
          <w:rFonts w:ascii="Arial" w:hAnsi="Arial" w:cs="Arial"/>
          <w:b/>
          <w:bCs/>
          <w:sz w:val="24"/>
          <w:szCs w:val="24"/>
        </w:rPr>
        <w:t xml:space="preserve">rationalising domestic </w:t>
      </w:r>
      <w:r w:rsidRPr="00CE7147">
        <w:rPr>
          <w:rFonts w:ascii="Arial" w:hAnsi="Arial" w:cs="Arial"/>
          <w:b/>
          <w:bCs/>
          <w:sz w:val="24"/>
          <w:szCs w:val="24"/>
        </w:rPr>
        <w:t>withholding tax rates</w:t>
      </w:r>
    </w:p>
    <w:p w:rsidR="00697DBA" w:rsidRPr="00697DBA" w:rsidRDefault="00697DBA" w:rsidP="00F07A1B">
      <w:pPr>
        <w:spacing w:after="0" w:line="276" w:lineRule="auto"/>
        <w:jc w:val="both"/>
        <w:rPr>
          <w:rFonts w:ascii="Arial" w:hAnsi="Arial" w:cs="Arial"/>
          <w:b/>
          <w:bCs/>
          <w:szCs w:val="22"/>
          <w:u w:val="single"/>
        </w:rPr>
      </w:pPr>
    </w:p>
    <w:p w:rsidR="00674B5C" w:rsidRDefault="00674B5C" w:rsidP="00F07A1B">
      <w:pPr>
        <w:spacing w:after="0" w:line="276" w:lineRule="auto"/>
        <w:jc w:val="both"/>
        <w:rPr>
          <w:rFonts w:ascii="Arial" w:hAnsi="Arial" w:cs="Arial"/>
          <w:b/>
          <w:bCs/>
          <w:szCs w:val="22"/>
          <w:u w:val="single"/>
        </w:rPr>
      </w:pPr>
    </w:p>
    <w:p w:rsidR="00674B5C" w:rsidRDefault="00674B5C" w:rsidP="00F07A1B">
      <w:pPr>
        <w:spacing w:after="0" w:line="276" w:lineRule="auto"/>
        <w:jc w:val="both"/>
        <w:rPr>
          <w:rFonts w:ascii="Arial" w:hAnsi="Arial" w:cs="Arial"/>
          <w:b/>
          <w:bCs/>
          <w:szCs w:val="22"/>
          <w:u w:val="single"/>
        </w:rPr>
      </w:pPr>
      <w:r w:rsidRPr="00674B5C">
        <w:rPr>
          <w:rFonts w:ascii="Arial" w:hAnsi="Arial" w:cs="Arial"/>
          <w:b/>
          <w:bCs/>
          <w:szCs w:val="22"/>
          <w:u w:val="single"/>
        </w:rPr>
        <w:t>Background</w:t>
      </w:r>
    </w:p>
    <w:p w:rsidR="00CE2B36" w:rsidRDefault="00CE2B36" w:rsidP="00F07A1B">
      <w:pPr>
        <w:spacing w:after="0" w:line="276" w:lineRule="auto"/>
        <w:jc w:val="both"/>
        <w:rPr>
          <w:rFonts w:ascii="Arial" w:hAnsi="Arial" w:cs="Arial"/>
          <w:b/>
          <w:bCs/>
          <w:szCs w:val="22"/>
          <w:u w:val="single"/>
        </w:rPr>
      </w:pPr>
    </w:p>
    <w:p w:rsidR="00697DBA" w:rsidRDefault="00697DBA" w:rsidP="00F07A1B">
      <w:pPr>
        <w:spacing w:after="0" w:line="276" w:lineRule="auto"/>
        <w:jc w:val="both"/>
        <w:rPr>
          <w:rFonts w:ascii="Arial" w:hAnsi="Arial" w:cs="Arial"/>
          <w:szCs w:val="22"/>
        </w:rPr>
      </w:pPr>
      <w:r w:rsidRPr="00697DBA">
        <w:rPr>
          <w:rFonts w:ascii="Arial" w:hAnsi="Arial" w:cs="Arial"/>
          <w:szCs w:val="22"/>
        </w:rPr>
        <w:t xml:space="preserve">With the addition of </w:t>
      </w:r>
      <w:r w:rsidR="00544E22">
        <w:rPr>
          <w:rFonts w:ascii="Arial" w:hAnsi="Arial" w:cs="Arial"/>
          <w:szCs w:val="22"/>
        </w:rPr>
        <w:t>one or two new TDS provisions every year</w:t>
      </w:r>
      <w:r w:rsidRPr="00697DBA">
        <w:rPr>
          <w:rFonts w:ascii="Arial" w:hAnsi="Arial" w:cs="Arial"/>
          <w:szCs w:val="22"/>
        </w:rPr>
        <w:t>, there is now a wide variety of TDS provisions applicable to payments to residents with different rates and different thresholds which gives rise to unwarranted characterisation disputes</w:t>
      </w:r>
      <w:r w:rsidR="009C5621">
        <w:rPr>
          <w:rFonts w:ascii="Arial" w:hAnsi="Arial" w:cs="Arial"/>
          <w:szCs w:val="22"/>
        </w:rPr>
        <w:t xml:space="preserve"> and</w:t>
      </w:r>
      <w:r w:rsidR="00D95E57">
        <w:rPr>
          <w:rFonts w:ascii="Arial" w:hAnsi="Arial" w:cs="Arial"/>
          <w:szCs w:val="22"/>
        </w:rPr>
        <w:t xml:space="preserve"> complexities</w:t>
      </w:r>
      <w:r w:rsidRPr="00697DBA">
        <w:rPr>
          <w:rFonts w:ascii="Arial" w:hAnsi="Arial" w:cs="Arial"/>
          <w:szCs w:val="22"/>
        </w:rPr>
        <w:t xml:space="preserve">. </w:t>
      </w:r>
    </w:p>
    <w:p w:rsidR="00F07A1B" w:rsidRDefault="00F07A1B" w:rsidP="00F07A1B">
      <w:pPr>
        <w:spacing w:after="0" w:line="276" w:lineRule="auto"/>
        <w:jc w:val="both"/>
        <w:rPr>
          <w:rFonts w:ascii="Arial" w:hAnsi="Arial" w:cs="Arial"/>
          <w:szCs w:val="22"/>
        </w:rPr>
      </w:pPr>
    </w:p>
    <w:p w:rsidR="00C67C30" w:rsidRDefault="00C67C30" w:rsidP="00F07A1B">
      <w:pPr>
        <w:spacing w:after="0" w:line="276" w:lineRule="auto"/>
        <w:jc w:val="both"/>
        <w:rPr>
          <w:rFonts w:ascii="Arial" w:hAnsi="Arial" w:cs="Arial"/>
          <w:szCs w:val="22"/>
        </w:rPr>
      </w:pPr>
      <w:r>
        <w:rPr>
          <w:rFonts w:ascii="Arial" w:hAnsi="Arial" w:cs="Arial"/>
          <w:szCs w:val="22"/>
        </w:rPr>
        <w:t xml:space="preserve">The following </w:t>
      </w:r>
      <w:r w:rsidR="001A4C7D">
        <w:rPr>
          <w:rFonts w:ascii="Arial" w:hAnsi="Arial" w:cs="Arial"/>
          <w:szCs w:val="22"/>
        </w:rPr>
        <w:t xml:space="preserve">aspects </w:t>
      </w:r>
      <w:r w:rsidR="00520FAE">
        <w:rPr>
          <w:rFonts w:ascii="Arial" w:hAnsi="Arial" w:cs="Arial"/>
          <w:szCs w:val="22"/>
        </w:rPr>
        <w:t xml:space="preserve">and difficulties </w:t>
      </w:r>
      <w:r>
        <w:rPr>
          <w:rFonts w:ascii="Arial" w:hAnsi="Arial" w:cs="Arial"/>
          <w:szCs w:val="22"/>
        </w:rPr>
        <w:t xml:space="preserve">may be noted about the current </w:t>
      </w:r>
      <w:r w:rsidR="00DE6B8B">
        <w:rPr>
          <w:rFonts w:ascii="Arial" w:hAnsi="Arial" w:cs="Arial"/>
          <w:szCs w:val="22"/>
        </w:rPr>
        <w:t xml:space="preserve">domestic </w:t>
      </w:r>
      <w:r>
        <w:rPr>
          <w:rFonts w:ascii="Arial" w:hAnsi="Arial" w:cs="Arial"/>
          <w:szCs w:val="22"/>
        </w:rPr>
        <w:t xml:space="preserve">TDS rate structure: </w:t>
      </w:r>
    </w:p>
    <w:p w:rsidR="00F07A1B" w:rsidRPr="00697DBA" w:rsidRDefault="00F07A1B" w:rsidP="00F07A1B">
      <w:pPr>
        <w:spacing w:after="0" w:line="276" w:lineRule="auto"/>
        <w:jc w:val="both"/>
        <w:rPr>
          <w:rFonts w:ascii="Arial" w:hAnsi="Arial" w:cs="Arial"/>
          <w:szCs w:val="22"/>
        </w:rPr>
      </w:pPr>
    </w:p>
    <w:p w:rsidR="00D85ACD" w:rsidRPr="00D85ACD" w:rsidRDefault="00D85ACD" w:rsidP="00F07A1B">
      <w:pPr>
        <w:pStyle w:val="ListParagraph"/>
        <w:numPr>
          <w:ilvl w:val="0"/>
          <w:numId w:val="6"/>
        </w:numPr>
        <w:spacing w:after="0" w:line="276" w:lineRule="auto"/>
        <w:jc w:val="both"/>
        <w:rPr>
          <w:rFonts w:ascii="Arial" w:hAnsi="Arial" w:cs="Arial"/>
          <w:b/>
          <w:bCs/>
          <w:szCs w:val="22"/>
        </w:rPr>
      </w:pPr>
      <w:r w:rsidRPr="00D85ACD">
        <w:rPr>
          <w:rFonts w:ascii="Arial" w:hAnsi="Arial" w:cs="Arial"/>
          <w:b/>
          <w:bCs/>
          <w:szCs w:val="22"/>
        </w:rPr>
        <w:t xml:space="preserve">Multiplicity of </w:t>
      </w:r>
      <w:r w:rsidR="008B0AC5">
        <w:rPr>
          <w:rFonts w:ascii="Arial" w:hAnsi="Arial" w:cs="Arial"/>
          <w:b/>
          <w:bCs/>
          <w:szCs w:val="22"/>
        </w:rPr>
        <w:t xml:space="preserve">domestic TDS </w:t>
      </w:r>
      <w:r w:rsidRPr="00D85ACD">
        <w:rPr>
          <w:rFonts w:ascii="Arial" w:hAnsi="Arial" w:cs="Arial"/>
          <w:b/>
          <w:bCs/>
          <w:szCs w:val="22"/>
        </w:rPr>
        <w:t>sections</w:t>
      </w:r>
      <w:r w:rsidR="00BA0078">
        <w:rPr>
          <w:rFonts w:ascii="Arial" w:hAnsi="Arial" w:cs="Arial"/>
          <w:b/>
          <w:bCs/>
          <w:szCs w:val="22"/>
        </w:rPr>
        <w:t xml:space="preserve"> in the Income tax Act</w:t>
      </w:r>
      <w:r w:rsidRPr="00D85ACD">
        <w:rPr>
          <w:rFonts w:ascii="Arial" w:hAnsi="Arial" w:cs="Arial"/>
          <w:b/>
          <w:bCs/>
          <w:szCs w:val="22"/>
        </w:rPr>
        <w:t xml:space="preserve"> </w:t>
      </w:r>
    </w:p>
    <w:p w:rsidR="00D85ACD" w:rsidRDefault="00D85ACD" w:rsidP="00D85ACD">
      <w:pPr>
        <w:pStyle w:val="ListParagraph"/>
        <w:spacing w:after="0" w:line="276" w:lineRule="auto"/>
        <w:jc w:val="both"/>
        <w:rPr>
          <w:rFonts w:ascii="Arial" w:hAnsi="Arial" w:cs="Arial"/>
          <w:szCs w:val="22"/>
        </w:rPr>
      </w:pPr>
    </w:p>
    <w:p w:rsidR="005F68DE" w:rsidRDefault="00697DBA" w:rsidP="00D85ACD">
      <w:pPr>
        <w:pStyle w:val="ListParagraph"/>
        <w:spacing w:after="0" w:line="276" w:lineRule="auto"/>
        <w:jc w:val="both"/>
        <w:rPr>
          <w:rFonts w:ascii="Arial" w:hAnsi="Arial" w:cs="Arial"/>
          <w:szCs w:val="22"/>
        </w:rPr>
      </w:pPr>
      <w:r w:rsidRPr="00C67C30">
        <w:rPr>
          <w:rFonts w:ascii="Arial" w:hAnsi="Arial" w:cs="Arial"/>
          <w:szCs w:val="22"/>
        </w:rPr>
        <w:t xml:space="preserve">Currently, there are 31 sections dealing with different types of payments to residents where the TDS rates vary from 0.1% to 30%. </w:t>
      </w:r>
      <w:r w:rsidR="002C5BE8">
        <w:rPr>
          <w:rFonts w:ascii="Arial" w:hAnsi="Arial" w:cs="Arial"/>
          <w:szCs w:val="22"/>
        </w:rPr>
        <w:t xml:space="preserve">  </w:t>
      </w:r>
    </w:p>
    <w:p w:rsidR="005F68DE" w:rsidRDefault="005F68DE" w:rsidP="00D85ACD">
      <w:pPr>
        <w:pStyle w:val="ListParagraph"/>
        <w:spacing w:after="0" w:line="276" w:lineRule="auto"/>
        <w:jc w:val="both"/>
        <w:rPr>
          <w:rFonts w:ascii="Arial" w:hAnsi="Arial" w:cs="Arial"/>
          <w:szCs w:val="22"/>
        </w:rPr>
      </w:pPr>
    </w:p>
    <w:p w:rsidR="00C67C30" w:rsidRPr="005F68DE" w:rsidRDefault="002C5BE8" w:rsidP="00D85ACD">
      <w:pPr>
        <w:pStyle w:val="ListParagraph"/>
        <w:spacing w:after="0" w:line="276" w:lineRule="auto"/>
        <w:jc w:val="both"/>
        <w:rPr>
          <w:rFonts w:ascii="Arial" w:hAnsi="Arial" w:cs="Arial"/>
          <w:szCs w:val="22"/>
        </w:rPr>
      </w:pPr>
      <w:r>
        <w:rPr>
          <w:rFonts w:ascii="Arial" w:hAnsi="Arial" w:cs="Arial"/>
          <w:szCs w:val="22"/>
        </w:rPr>
        <w:t xml:space="preserve">The details of various sections </w:t>
      </w:r>
      <w:r w:rsidR="00DB780D">
        <w:rPr>
          <w:rFonts w:ascii="Arial" w:hAnsi="Arial" w:cs="Arial"/>
          <w:szCs w:val="22"/>
        </w:rPr>
        <w:t xml:space="preserve">are </w:t>
      </w:r>
      <w:r>
        <w:rPr>
          <w:rFonts w:ascii="Arial" w:hAnsi="Arial" w:cs="Arial"/>
          <w:szCs w:val="22"/>
        </w:rPr>
        <w:t xml:space="preserve">given as </w:t>
      </w:r>
      <w:r w:rsidRPr="002C5BE8">
        <w:rPr>
          <w:rFonts w:ascii="Arial" w:hAnsi="Arial" w:cs="Arial"/>
          <w:b/>
          <w:bCs/>
          <w:szCs w:val="22"/>
          <w:u w:val="single"/>
        </w:rPr>
        <w:t>Annexure A.</w:t>
      </w:r>
      <w:r w:rsidR="005F68DE" w:rsidRPr="005F68DE">
        <w:rPr>
          <w:rFonts w:ascii="Arial" w:hAnsi="Arial" w:cs="Arial"/>
          <w:szCs w:val="22"/>
        </w:rPr>
        <w:t xml:space="preserve">  </w:t>
      </w:r>
      <w:r w:rsidR="00DB780D">
        <w:rPr>
          <w:rFonts w:ascii="Arial" w:hAnsi="Arial" w:cs="Arial"/>
          <w:szCs w:val="22"/>
        </w:rPr>
        <w:t xml:space="preserve">A short summary is given below: </w:t>
      </w:r>
    </w:p>
    <w:p w:rsidR="00E1095E" w:rsidRDefault="00E1095E" w:rsidP="00D85ACD">
      <w:pPr>
        <w:pStyle w:val="ListParagraph"/>
        <w:spacing w:after="0" w:line="276" w:lineRule="auto"/>
        <w:jc w:val="both"/>
        <w:rPr>
          <w:rFonts w:ascii="Arial" w:hAnsi="Arial" w:cs="Arial"/>
          <w:b/>
          <w:bCs/>
          <w:szCs w:val="22"/>
          <w:u w:val="single"/>
        </w:rPr>
      </w:pPr>
    </w:p>
    <w:tbl>
      <w:tblPr>
        <w:tblW w:w="7811"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133"/>
        <w:gridCol w:w="4873"/>
        <w:gridCol w:w="1805"/>
      </w:tblGrid>
      <w:tr w:rsidR="005F68DE" w:rsidTr="00DB780D">
        <w:trPr>
          <w:trHeight w:val="283"/>
          <w:tblHeader/>
        </w:trPr>
        <w:tc>
          <w:tcPr>
            <w:tcW w:w="1007" w:type="dxa"/>
            <w:tcMar>
              <w:top w:w="0" w:type="dxa"/>
              <w:left w:w="108" w:type="dxa"/>
              <w:bottom w:w="0" w:type="dxa"/>
              <w:right w:w="108" w:type="dxa"/>
            </w:tcMar>
            <w:hideMark/>
          </w:tcPr>
          <w:p w:rsidR="005F68DE" w:rsidRDefault="005F68DE">
            <w:pPr>
              <w:spacing w:after="0" w:line="276" w:lineRule="auto"/>
              <w:rPr>
                <w:rFonts w:ascii="Arial" w:hAnsi="Arial" w:cs="Arial"/>
                <w:b/>
                <w:bCs/>
              </w:rPr>
            </w:pPr>
            <w:r>
              <w:rPr>
                <w:rFonts w:ascii="Arial" w:hAnsi="Arial" w:cs="Arial"/>
                <w:b/>
                <w:bCs/>
              </w:rPr>
              <w:t>No of Sections</w:t>
            </w:r>
          </w:p>
        </w:tc>
        <w:tc>
          <w:tcPr>
            <w:tcW w:w="4961" w:type="dxa"/>
            <w:tcMar>
              <w:top w:w="0" w:type="dxa"/>
              <w:left w:w="108" w:type="dxa"/>
              <w:bottom w:w="0" w:type="dxa"/>
              <w:right w:w="108" w:type="dxa"/>
            </w:tcMar>
            <w:vAlign w:val="center"/>
            <w:hideMark/>
          </w:tcPr>
          <w:p w:rsidR="005F68DE" w:rsidRDefault="005F68DE">
            <w:pPr>
              <w:spacing w:after="0" w:line="276" w:lineRule="auto"/>
              <w:rPr>
                <w:rFonts w:ascii="Arial" w:hAnsi="Arial" w:cs="Arial"/>
                <w:b/>
                <w:bCs/>
              </w:rPr>
            </w:pPr>
            <w:r>
              <w:rPr>
                <w:rFonts w:ascii="Arial" w:hAnsi="Arial" w:cs="Arial"/>
                <w:b/>
                <w:bCs/>
              </w:rPr>
              <w:t>Particulars</w:t>
            </w:r>
          </w:p>
        </w:tc>
        <w:tc>
          <w:tcPr>
            <w:tcW w:w="1843" w:type="dxa"/>
            <w:tcMar>
              <w:top w:w="0" w:type="dxa"/>
              <w:left w:w="108" w:type="dxa"/>
              <w:bottom w:w="0" w:type="dxa"/>
              <w:right w:w="108" w:type="dxa"/>
            </w:tcMar>
            <w:vAlign w:val="center"/>
            <w:hideMark/>
          </w:tcPr>
          <w:p w:rsidR="005F68DE" w:rsidRDefault="005F68DE">
            <w:pPr>
              <w:spacing w:after="0" w:line="276" w:lineRule="auto"/>
              <w:jc w:val="center"/>
              <w:rPr>
                <w:rFonts w:ascii="Arial" w:hAnsi="Arial" w:cs="Arial"/>
                <w:b/>
                <w:bCs/>
              </w:rPr>
            </w:pPr>
            <w:r>
              <w:rPr>
                <w:rFonts w:ascii="Arial" w:hAnsi="Arial" w:cs="Arial"/>
                <w:b/>
                <w:bCs/>
              </w:rPr>
              <w:t>TDS rate (%)</w:t>
            </w:r>
          </w:p>
        </w:tc>
      </w:tr>
      <w:tr w:rsidR="005F68DE" w:rsidTr="00DB780D">
        <w:trPr>
          <w:trHeight w:val="283"/>
        </w:trPr>
        <w:tc>
          <w:tcPr>
            <w:tcW w:w="1007" w:type="dxa"/>
            <w:tcMar>
              <w:top w:w="0" w:type="dxa"/>
              <w:left w:w="108" w:type="dxa"/>
              <w:bottom w:w="0" w:type="dxa"/>
              <w:right w:w="108" w:type="dxa"/>
            </w:tcMar>
            <w:vAlign w:val="center"/>
            <w:hideMark/>
          </w:tcPr>
          <w:p w:rsidR="005F68DE" w:rsidRDefault="005F68DE">
            <w:pPr>
              <w:spacing w:after="0" w:line="276" w:lineRule="auto"/>
              <w:jc w:val="center"/>
              <w:rPr>
                <w:rFonts w:ascii="Arial" w:hAnsi="Arial" w:cs="Arial"/>
              </w:rPr>
            </w:pPr>
            <w:r>
              <w:rPr>
                <w:rFonts w:ascii="Arial" w:hAnsi="Arial" w:cs="Arial"/>
              </w:rPr>
              <w:t>2</w:t>
            </w:r>
          </w:p>
        </w:tc>
        <w:tc>
          <w:tcPr>
            <w:tcW w:w="4961" w:type="dxa"/>
            <w:tcMar>
              <w:top w:w="0" w:type="dxa"/>
              <w:left w:w="108" w:type="dxa"/>
              <w:bottom w:w="0" w:type="dxa"/>
              <w:right w:w="108" w:type="dxa"/>
            </w:tcMar>
            <w:vAlign w:val="center"/>
            <w:hideMark/>
          </w:tcPr>
          <w:p w:rsidR="005F68DE" w:rsidRDefault="005F68DE">
            <w:pPr>
              <w:spacing w:after="0" w:line="276" w:lineRule="auto"/>
              <w:rPr>
                <w:rFonts w:ascii="Arial" w:hAnsi="Arial" w:cs="Arial"/>
              </w:rPr>
            </w:pPr>
            <w:r>
              <w:rPr>
                <w:rFonts w:ascii="Arial" w:hAnsi="Arial" w:cs="Arial"/>
              </w:rPr>
              <w:t>192</w:t>
            </w:r>
            <w:r w:rsidR="00CF11A0">
              <w:rPr>
                <w:rFonts w:ascii="Arial" w:hAnsi="Arial" w:cs="Arial"/>
              </w:rPr>
              <w:t xml:space="preserve"> (Salary)</w:t>
            </w:r>
            <w:r>
              <w:rPr>
                <w:rFonts w:ascii="Arial" w:hAnsi="Arial" w:cs="Arial"/>
              </w:rPr>
              <w:t>/ 194P</w:t>
            </w:r>
            <w:r w:rsidR="00CF11A0">
              <w:rPr>
                <w:rFonts w:ascii="Arial" w:hAnsi="Arial" w:cs="Arial"/>
              </w:rPr>
              <w:t xml:space="preserve"> (</w:t>
            </w:r>
            <w:r w:rsidR="00256C33">
              <w:rPr>
                <w:rFonts w:ascii="Arial" w:hAnsi="Arial" w:cs="Arial"/>
              </w:rPr>
              <w:t>Senior Citizens Pension)</w:t>
            </w:r>
          </w:p>
        </w:tc>
        <w:tc>
          <w:tcPr>
            <w:tcW w:w="1843" w:type="dxa"/>
            <w:tcMar>
              <w:top w:w="0" w:type="dxa"/>
              <w:left w:w="108" w:type="dxa"/>
              <w:bottom w:w="0" w:type="dxa"/>
              <w:right w:w="108" w:type="dxa"/>
            </w:tcMar>
            <w:vAlign w:val="center"/>
            <w:hideMark/>
          </w:tcPr>
          <w:p w:rsidR="005F68DE" w:rsidRDefault="005F68DE">
            <w:pPr>
              <w:spacing w:after="0" w:line="276" w:lineRule="auto"/>
              <w:jc w:val="center"/>
              <w:rPr>
                <w:rFonts w:ascii="Arial" w:hAnsi="Arial" w:cs="Arial"/>
              </w:rPr>
            </w:pPr>
            <w:r>
              <w:rPr>
                <w:rFonts w:ascii="Arial" w:hAnsi="Arial" w:cs="Arial"/>
                <w:sz w:val="20"/>
                <w:lang w:eastAsia="en-IN"/>
              </w:rPr>
              <w:t>Normal Slab Rate/ rate in force</w:t>
            </w:r>
          </w:p>
        </w:tc>
      </w:tr>
      <w:tr w:rsidR="005F68DE" w:rsidTr="00DB780D">
        <w:trPr>
          <w:trHeight w:val="283"/>
        </w:trPr>
        <w:tc>
          <w:tcPr>
            <w:tcW w:w="1007" w:type="dxa"/>
            <w:tcMar>
              <w:top w:w="0" w:type="dxa"/>
              <w:left w:w="108" w:type="dxa"/>
              <w:bottom w:w="0" w:type="dxa"/>
              <w:right w:w="108" w:type="dxa"/>
            </w:tcMar>
            <w:vAlign w:val="center"/>
            <w:hideMark/>
          </w:tcPr>
          <w:p w:rsidR="005F68DE" w:rsidRDefault="005F68DE">
            <w:pPr>
              <w:spacing w:after="0" w:line="276" w:lineRule="auto"/>
              <w:jc w:val="center"/>
              <w:rPr>
                <w:rFonts w:ascii="Arial" w:hAnsi="Arial" w:cs="Arial"/>
              </w:rPr>
            </w:pPr>
            <w:r>
              <w:rPr>
                <w:rFonts w:ascii="Arial" w:hAnsi="Arial" w:cs="Arial"/>
              </w:rPr>
              <w:t>1</w:t>
            </w:r>
          </w:p>
        </w:tc>
        <w:tc>
          <w:tcPr>
            <w:tcW w:w="4961" w:type="dxa"/>
            <w:tcMar>
              <w:top w:w="0" w:type="dxa"/>
              <w:left w:w="108" w:type="dxa"/>
              <w:bottom w:w="0" w:type="dxa"/>
              <w:right w:w="108" w:type="dxa"/>
            </w:tcMar>
            <w:vAlign w:val="center"/>
            <w:hideMark/>
          </w:tcPr>
          <w:p w:rsidR="005F68DE" w:rsidRDefault="005F68DE">
            <w:pPr>
              <w:spacing w:after="0" w:line="276" w:lineRule="auto"/>
              <w:rPr>
                <w:rFonts w:ascii="Arial" w:hAnsi="Arial" w:cs="Arial"/>
              </w:rPr>
            </w:pPr>
            <w:r>
              <w:rPr>
                <w:rFonts w:ascii="Arial" w:hAnsi="Arial" w:cs="Arial"/>
              </w:rPr>
              <w:t>194Q</w:t>
            </w:r>
            <w:r w:rsidR="00256C33">
              <w:rPr>
                <w:rFonts w:ascii="Arial" w:hAnsi="Arial" w:cs="Arial"/>
              </w:rPr>
              <w:t xml:space="preserve"> (Purchase of goods)</w:t>
            </w:r>
          </w:p>
        </w:tc>
        <w:tc>
          <w:tcPr>
            <w:tcW w:w="1843" w:type="dxa"/>
            <w:tcMar>
              <w:top w:w="0" w:type="dxa"/>
              <w:left w:w="108" w:type="dxa"/>
              <w:bottom w:w="0" w:type="dxa"/>
              <w:right w:w="108" w:type="dxa"/>
            </w:tcMar>
            <w:vAlign w:val="center"/>
            <w:hideMark/>
          </w:tcPr>
          <w:p w:rsidR="005F68DE" w:rsidRDefault="005F68DE">
            <w:pPr>
              <w:spacing w:after="0" w:line="276" w:lineRule="auto"/>
              <w:jc w:val="center"/>
              <w:rPr>
                <w:rFonts w:ascii="Arial" w:hAnsi="Arial" w:cs="Arial"/>
                <w:sz w:val="20"/>
                <w:lang w:eastAsia="en-IN"/>
              </w:rPr>
            </w:pPr>
            <w:r>
              <w:rPr>
                <w:rFonts w:ascii="Arial" w:hAnsi="Arial" w:cs="Arial"/>
                <w:sz w:val="20"/>
                <w:lang w:eastAsia="en-IN"/>
              </w:rPr>
              <w:t>0.1</w:t>
            </w:r>
          </w:p>
        </w:tc>
      </w:tr>
      <w:tr w:rsidR="005F68DE" w:rsidTr="00DB780D">
        <w:trPr>
          <w:trHeight w:val="283"/>
        </w:trPr>
        <w:tc>
          <w:tcPr>
            <w:tcW w:w="1007" w:type="dxa"/>
            <w:tcMar>
              <w:top w:w="0" w:type="dxa"/>
              <w:left w:w="108" w:type="dxa"/>
              <w:bottom w:w="0" w:type="dxa"/>
              <w:right w:w="108" w:type="dxa"/>
            </w:tcMar>
            <w:vAlign w:val="center"/>
            <w:hideMark/>
          </w:tcPr>
          <w:p w:rsidR="005F68DE" w:rsidRDefault="005F68DE">
            <w:pPr>
              <w:spacing w:after="0" w:line="276" w:lineRule="auto"/>
              <w:jc w:val="center"/>
              <w:rPr>
                <w:rFonts w:ascii="Arial" w:hAnsi="Arial" w:cs="Arial"/>
              </w:rPr>
            </w:pPr>
            <w:r>
              <w:rPr>
                <w:rFonts w:ascii="Arial" w:hAnsi="Arial" w:cs="Arial"/>
              </w:rPr>
              <w:t>4</w:t>
            </w:r>
          </w:p>
        </w:tc>
        <w:tc>
          <w:tcPr>
            <w:tcW w:w="4961" w:type="dxa"/>
            <w:tcMar>
              <w:top w:w="0" w:type="dxa"/>
              <w:left w:w="108" w:type="dxa"/>
              <w:bottom w:w="0" w:type="dxa"/>
              <w:right w:w="108" w:type="dxa"/>
            </w:tcMar>
            <w:vAlign w:val="center"/>
            <w:hideMark/>
          </w:tcPr>
          <w:p w:rsidR="005F68DE" w:rsidRDefault="005F68DE">
            <w:pPr>
              <w:spacing w:after="0" w:line="276" w:lineRule="auto"/>
              <w:rPr>
                <w:rFonts w:ascii="Arial" w:hAnsi="Arial" w:cs="Arial"/>
              </w:rPr>
            </w:pPr>
            <w:r>
              <w:rPr>
                <w:rFonts w:ascii="Arial" w:hAnsi="Arial" w:cs="Arial"/>
              </w:rPr>
              <w:t>194C</w:t>
            </w:r>
            <w:r w:rsidR="00256C33">
              <w:rPr>
                <w:rFonts w:ascii="Arial" w:hAnsi="Arial" w:cs="Arial"/>
              </w:rPr>
              <w:t xml:space="preserve"> (Contracts) </w:t>
            </w:r>
            <w:r>
              <w:rPr>
                <w:rFonts w:ascii="Arial" w:hAnsi="Arial" w:cs="Arial"/>
              </w:rPr>
              <w:t>/ 194IA</w:t>
            </w:r>
            <w:r w:rsidR="00256C33">
              <w:rPr>
                <w:rFonts w:ascii="Arial" w:hAnsi="Arial" w:cs="Arial"/>
              </w:rPr>
              <w:t xml:space="preserve"> (Immovable property)</w:t>
            </w:r>
            <w:r>
              <w:rPr>
                <w:rFonts w:ascii="Arial" w:hAnsi="Arial" w:cs="Arial"/>
              </w:rPr>
              <w:t>/ 194O</w:t>
            </w:r>
            <w:r w:rsidR="00256C33">
              <w:rPr>
                <w:rFonts w:ascii="Arial" w:hAnsi="Arial" w:cs="Arial"/>
              </w:rPr>
              <w:t xml:space="preserve"> (E-commerce transactions)</w:t>
            </w:r>
            <w:r>
              <w:rPr>
                <w:rFonts w:ascii="Arial" w:hAnsi="Arial" w:cs="Arial"/>
              </w:rPr>
              <w:t>/ 194S</w:t>
            </w:r>
            <w:r w:rsidR="00256C33">
              <w:rPr>
                <w:rFonts w:ascii="Arial" w:hAnsi="Arial" w:cs="Arial"/>
              </w:rPr>
              <w:t>(Crypto transactions)</w:t>
            </w:r>
          </w:p>
        </w:tc>
        <w:tc>
          <w:tcPr>
            <w:tcW w:w="1843" w:type="dxa"/>
            <w:tcMar>
              <w:top w:w="0" w:type="dxa"/>
              <w:left w:w="108" w:type="dxa"/>
              <w:bottom w:w="0" w:type="dxa"/>
              <w:right w:w="108" w:type="dxa"/>
            </w:tcMar>
            <w:vAlign w:val="center"/>
            <w:hideMark/>
          </w:tcPr>
          <w:p w:rsidR="005F68DE" w:rsidRDefault="005F68DE">
            <w:pPr>
              <w:spacing w:after="0" w:line="276" w:lineRule="auto"/>
              <w:jc w:val="center"/>
              <w:rPr>
                <w:rFonts w:ascii="Arial" w:hAnsi="Arial" w:cs="Arial"/>
                <w:sz w:val="20"/>
                <w:lang w:eastAsia="en-IN"/>
              </w:rPr>
            </w:pPr>
            <w:r>
              <w:rPr>
                <w:rFonts w:ascii="Arial" w:hAnsi="Arial" w:cs="Arial"/>
                <w:sz w:val="20"/>
                <w:lang w:eastAsia="en-IN"/>
              </w:rPr>
              <w:t>1</w:t>
            </w:r>
          </w:p>
        </w:tc>
      </w:tr>
      <w:tr w:rsidR="005F68DE" w:rsidTr="00DB780D">
        <w:trPr>
          <w:trHeight w:val="283"/>
        </w:trPr>
        <w:tc>
          <w:tcPr>
            <w:tcW w:w="1007" w:type="dxa"/>
            <w:tcMar>
              <w:top w:w="0" w:type="dxa"/>
              <w:left w:w="108" w:type="dxa"/>
              <w:bottom w:w="0" w:type="dxa"/>
              <w:right w:w="108" w:type="dxa"/>
            </w:tcMar>
            <w:vAlign w:val="center"/>
            <w:hideMark/>
          </w:tcPr>
          <w:p w:rsidR="005F68DE" w:rsidRDefault="005F68DE">
            <w:pPr>
              <w:spacing w:after="0" w:line="276" w:lineRule="auto"/>
              <w:jc w:val="center"/>
              <w:rPr>
                <w:rFonts w:ascii="Arial" w:hAnsi="Arial" w:cs="Arial"/>
              </w:rPr>
            </w:pPr>
            <w:r>
              <w:rPr>
                <w:rFonts w:ascii="Arial" w:hAnsi="Arial" w:cs="Arial"/>
              </w:rPr>
              <w:t>4</w:t>
            </w:r>
          </w:p>
        </w:tc>
        <w:tc>
          <w:tcPr>
            <w:tcW w:w="4961" w:type="dxa"/>
            <w:tcMar>
              <w:top w:w="0" w:type="dxa"/>
              <w:left w:w="108" w:type="dxa"/>
              <w:bottom w:w="0" w:type="dxa"/>
              <w:right w:w="108" w:type="dxa"/>
            </w:tcMar>
            <w:vAlign w:val="center"/>
            <w:hideMark/>
          </w:tcPr>
          <w:p w:rsidR="005F68DE" w:rsidRDefault="005F68DE">
            <w:pPr>
              <w:spacing w:after="0" w:line="276" w:lineRule="auto"/>
              <w:rPr>
                <w:rFonts w:ascii="Arial" w:hAnsi="Arial" w:cs="Arial"/>
              </w:rPr>
            </w:pPr>
            <w:r>
              <w:rPr>
                <w:rFonts w:ascii="Arial" w:hAnsi="Arial" w:cs="Arial"/>
              </w:rPr>
              <w:t>194C</w:t>
            </w:r>
            <w:r w:rsidR="00256C33">
              <w:rPr>
                <w:rFonts w:ascii="Arial" w:hAnsi="Arial" w:cs="Arial"/>
              </w:rPr>
              <w:t xml:space="preserve"> (Contracts) </w:t>
            </w:r>
            <w:r>
              <w:rPr>
                <w:rFonts w:ascii="Arial" w:hAnsi="Arial" w:cs="Arial"/>
              </w:rPr>
              <w:t>/ 194I</w:t>
            </w:r>
            <w:r w:rsidR="00256C33">
              <w:rPr>
                <w:rFonts w:ascii="Arial" w:hAnsi="Arial" w:cs="Arial"/>
              </w:rPr>
              <w:t xml:space="preserve"> (Machinery rent)</w:t>
            </w:r>
            <w:r>
              <w:rPr>
                <w:rFonts w:ascii="Arial" w:hAnsi="Arial" w:cs="Arial"/>
              </w:rPr>
              <w:t>/ 194J</w:t>
            </w:r>
            <w:r w:rsidR="00256C33">
              <w:rPr>
                <w:rFonts w:ascii="Arial" w:hAnsi="Arial" w:cs="Arial"/>
              </w:rPr>
              <w:t xml:space="preserve"> (Fees for technical services)</w:t>
            </w:r>
            <w:r>
              <w:rPr>
                <w:rFonts w:ascii="Arial" w:hAnsi="Arial" w:cs="Arial"/>
              </w:rPr>
              <w:t>/ 194N</w:t>
            </w:r>
            <w:r w:rsidR="00256C33">
              <w:rPr>
                <w:rFonts w:ascii="Arial" w:hAnsi="Arial" w:cs="Arial"/>
              </w:rPr>
              <w:t xml:space="preserve"> (</w:t>
            </w:r>
            <w:r w:rsidR="00442012">
              <w:rPr>
                <w:rFonts w:ascii="Arial" w:hAnsi="Arial" w:cs="Arial"/>
              </w:rPr>
              <w:t>Cash withdrawals)</w:t>
            </w:r>
          </w:p>
        </w:tc>
        <w:tc>
          <w:tcPr>
            <w:tcW w:w="1843" w:type="dxa"/>
            <w:tcMar>
              <w:top w:w="0" w:type="dxa"/>
              <w:left w:w="108" w:type="dxa"/>
              <w:bottom w:w="0" w:type="dxa"/>
              <w:right w:w="108" w:type="dxa"/>
            </w:tcMar>
            <w:vAlign w:val="center"/>
            <w:hideMark/>
          </w:tcPr>
          <w:p w:rsidR="005F68DE" w:rsidRDefault="005F68DE">
            <w:pPr>
              <w:spacing w:after="0" w:line="276" w:lineRule="auto"/>
              <w:jc w:val="center"/>
              <w:rPr>
                <w:rFonts w:ascii="Arial" w:hAnsi="Arial" w:cs="Arial"/>
                <w:sz w:val="20"/>
                <w:lang w:eastAsia="en-IN"/>
              </w:rPr>
            </w:pPr>
            <w:r>
              <w:rPr>
                <w:rFonts w:ascii="Arial" w:hAnsi="Arial" w:cs="Arial"/>
                <w:sz w:val="20"/>
                <w:lang w:eastAsia="en-IN"/>
              </w:rPr>
              <w:t>2</w:t>
            </w:r>
          </w:p>
        </w:tc>
      </w:tr>
      <w:tr w:rsidR="005F68DE" w:rsidTr="00DB780D">
        <w:trPr>
          <w:trHeight w:val="283"/>
        </w:trPr>
        <w:tc>
          <w:tcPr>
            <w:tcW w:w="1007" w:type="dxa"/>
            <w:tcMar>
              <w:top w:w="0" w:type="dxa"/>
              <w:left w:w="108" w:type="dxa"/>
              <w:bottom w:w="0" w:type="dxa"/>
              <w:right w:w="108" w:type="dxa"/>
            </w:tcMar>
            <w:vAlign w:val="center"/>
            <w:hideMark/>
          </w:tcPr>
          <w:p w:rsidR="005F68DE" w:rsidRDefault="005F68DE">
            <w:pPr>
              <w:spacing w:after="0" w:line="276" w:lineRule="auto"/>
              <w:jc w:val="center"/>
              <w:rPr>
                <w:rFonts w:ascii="Arial" w:hAnsi="Arial" w:cs="Arial"/>
              </w:rPr>
            </w:pPr>
            <w:r>
              <w:rPr>
                <w:rFonts w:ascii="Arial" w:hAnsi="Arial" w:cs="Arial"/>
              </w:rPr>
              <w:t>7</w:t>
            </w:r>
          </w:p>
        </w:tc>
        <w:tc>
          <w:tcPr>
            <w:tcW w:w="4961" w:type="dxa"/>
            <w:tcMar>
              <w:top w:w="0" w:type="dxa"/>
              <w:left w:w="108" w:type="dxa"/>
              <w:bottom w:w="0" w:type="dxa"/>
              <w:right w:w="108" w:type="dxa"/>
            </w:tcMar>
            <w:vAlign w:val="center"/>
            <w:hideMark/>
          </w:tcPr>
          <w:p w:rsidR="005F68DE" w:rsidRDefault="005F68DE">
            <w:pPr>
              <w:spacing w:after="0" w:line="276" w:lineRule="auto"/>
              <w:rPr>
                <w:rFonts w:ascii="Arial" w:hAnsi="Arial" w:cs="Arial"/>
              </w:rPr>
            </w:pPr>
            <w:r>
              <w:rPr>
                <w:rFonts w:ascii="Arial" w:hAnsi="Arial" w:cs="Arial"/>
              </w:rPr>
              <w:t>194D</w:t>
            </w:r>
            <w:r w:rsidR="00442012">
              <w:rPr>
                <w:rFonts w:ascii="Arial" w:hAnsi="Arial" w:cs="Arial"/>
              </w:rPr>
              <w:t xml:space="preserve"> (Insurance commission)</w:t>
            </w:r>
            <w:r>
              <w:rPr>
                <w:rFonts w:ascii="Arial" w:hAnsi="Arial" w:cs="Arial"/>
              </w:rPr>
              <w:t>/ 194DA</w:t>
            </w:r>
            <w:r w:rsidR="00442012">
              <w:rPr>
                <w:rFonts w:ascii="Arial" w:hAnsi="Arial" w:cs="Arial"/>
              </w:rPr>
              <w:t>(</w:t>
            </w:r>
            <w:r w:rsidR="008F4BAE">
              <w:rPr>
                <w:rFonts w:ascii="Arial" w:hAnsi="Arial" w:cs="Arial"/>
              </w:rPr>
              <w:t>non-qualifying life insurance policy)</w:t>
            </w:r>
            <w:r>
              <w:rPr>
                <w:rFonts w:ascii="Arial" w:hAnsi="Arial" w:cs="Arial"/>
              </w:rPr>
              <w:t>/ 194G</w:t>
            </w:r>
            <w:r w:rsidR="008F4BAE">
              <w:rPr>
                <w:rFonts w:ascii="Arial" w:hAnsi="Arial" w:cs="Arial"/>
              </w:rPr>
              <w:t>(Lottery commission)</w:t>
            </w:r>
            <w:r>
              <w:rPr>
                <w:rFonts w:ascii="Arial" w:hAnsi="Arial" w:cs="Arial"/>
              </w:rPr>
              <w:t>/ 194H</w:t>
            </w:r>
            <w:r w:rsidR="008F4BAE">
              <w:rPr>
                <w:rFonts w:ascii="Arial" w:hAnsi="Arial" w:cs="Arial"/>
              </w:rPr>
              <w:t xml:space="preserve"> (Commission/Brokerage)</w:t>
            </w:r>
            <w:r>
              <w:rPr>
                <w:rFonts w:ascii="Arial" w:hAnsi="Arial" w:cs="Arial"/>
              </w:rPr>
              <w:t>/ 194IB</w:t>
            </w:r>
            <w:r w:rsidR="008F4BAE">
              <w:rPr>
                <w:rFonts w:ascii="Arial" w:hAnsi="Arial" w:cs="Arial"/>
              </w:rPr>
              <w:t xml:space="preserve"> (</w:t>
            </w:r>
            <w:r w:rsidR="00532ACE">
              <w:rPr>
                <w:rFonts w:ascii="Arial" w:hAnsi="Arial" w:cs="Arial"/>
              </w:rPr>
              <w:t>Rent payment by individuals)</w:t>
            </w:r>
            <w:r>
              <w:rPr>
                <w:rFonts w:ascii="Arial" w:hAnsi="Arial" w:cs="Arial"/>
              </w:rPr>
              <w:t>/ 194M</w:t>
            </w:r>
            <w:r w:rsidR="00532ACE">
              <w:rPr>
                <w:rFonts w:ascii="Arial" w:hAnsi="Arial" w:cs="Arial"/>
              </w:rPr>
              <w:t xml:space="preserve"> (</w:t>
            </w:r>
            <w:r w:rsidR="00326935">
              <w:rPr>
                <w:rFonts w:ascii="Arial" w:hAnsi="Arial" w:cs="Arial"/>
              </w:rPr>
              <w:t>Large payments by individuals)</w:t>
            </w:r>
            <w:r>
              <w:rPr>
                <w:rFonts w:ascii="Arial" w:hAnsi="Arial" w:cs="Arial"/>
              </w:rPr>
              <w:t>/ 194N</w:t>
            </w:r>
            <w:r w:rsidR="00326935">
              <w:rPr>
                <w:rFonts w:ascii="Arial" w:hAnsi="Arial" w:cs="Arial"/>
              </w:rPr>
              <w:t xml:space="preserve"> (Cash withdrawals)</w:t>
            </w:r>
          </w:p>
        </w:tc>
        <w:tc>
          <w:tcPr>
            <w:tcW w:w="1843" w:type="dxa"/>
            <w:tcMar>
              <w:top w:w="0" w:type="dxa"/>
              <w:left w:w="108" w:type="dxa"/>
              <w:bottom w:w="0" w:type="dxa"/>
              <w:right w:w="108" w:type="dxa"/>
            </w:tcMar>
            <w:vAlign w:val="center"/>
            <w:hideMark/>
          </w:tcPr>
          <w:p w:rsidR="005F68DE" w:rsidRDefault="005F68DE">
            <w:pPr>
              <w:spacing w:after="0" w:line="276" w:lineRule="auto"/>
              <w:jc w:val="center"/>
              <w:rPr>
                <w:rFonts w:ascii="Arial" w:hAnsi="Arial" w:cs="Arial"/>
                <w:sz w:val="20"/>
                <w:lang w:eastAsia="en-IN"/>
              </w:rPr>
            </w:pPr>
            <w:r>
              <w:rPr>
                <w:rFonts w:ascii="Arial" w:hAnsi="Arial" w:cs="Arial"/>
                <w:sz w:val="20"/>
                <w:lang w:eastAsia="en-IN"/>
              </w:rPr>
              <w:t>5</w:t>
            </w:r>
          </w:p>
        </w:tc>
      </w:tr>
      <w:tr w:rsidR="005F68DE" w:rsidTr="00DB780D">
        <w:trPr>
          <w:trHeight w:val="283"/>
        </w:trPr>
        <w:tc>
          <w:tcPr>
            <w:tcW w:w="1007" w:type="dxa"/>
            <w:tcMar>
              <w:top w:w="0" w:type="dxa"/>
              <w:left w:w="108" w:type="dxa"/>
              <w:bottom w:w="0" w:type="dxa"/>
              <w:right w:w="108" w:type="dxa"/>
            </w:tcMar>
            <w:vAlign w:val="center"/>
            <w:hideMark/>
          </w:tcPr>
          <w:p w:rsidR="005F68DE" w:rsidRDefault="005F68DE">
            <w:pPr>
              <w:spacing w:after="0" w:line="276" w:lineRule="auto"/>
              <w:jc w:val="center"/>
              <w:rPr>
                <w:rFonts w:ascii="Arial" w:hAnsi="Arial" w:cs="Arial"/>
              </w:rPr>
            </w:pPr>
            <w:r>
              <w:rPr>
                <w:rFonts w:ascii="Arial" w:hAnsi="Arial" w:cs="Arial"/>
              </w:rPr>
              <w:t>13</w:t>
            </w:r>
          </w:p>
        </w:tc>
        <w:tc>
          <w:tcPr>
            <w:tcW w:w="4961" w:type="dxa"/>
            <w:tcMar>
              <w:top w:w="0" w:type="dxa"/>
              <w:left w:w="108" w:type="dxa"/>
              <w:bottom w:w="0" w:type="dxa"/>
              <w:right w:w="108" w:type="dxa"/>
            </w:tcMar>
            <w:vAlign w:val="center"/>
            <w:hideMark/>
          </w:tcPr>
          <w:p w:rsidR="005F68DE" w:rsidRDefault="005F68DE">
            <w:pPr>
              <w:spacing w:after="0" w:line="276" w:lineRule="auto"/>
              <w:rPr>
                <w:rFonts w:ascii="Arial" w:hAnsi="Arial" w:cs="Arial"/>
              </w:rPr>
            </w:pPr>
            <w:r>
              <w:rPr>
                <w:rFonts w:ascii="Arial" w:hAnsi="Arial" w:cs="Arial"/>
              </w:rPr>
              <w:t>192A</w:t>
            </w:r>
            <w:r w:rsidR="00326935">
              <w:rPr>
                <w:rFonts w:ascii="Arial" w:hAnsi="Arial" w:cs="Arial"/>
              </w:rPr>
              <w:t xml:space="preserve"> (PF withdrawals)</w:t>
            </w:r>
            <w:r>
              <w:rPr>
                <w:rFonts w:ascii="Arial" w:hAnsi="Arial" w:cs="Arial"/>
              </w:rPr>
              <w:t>/ 193</w:t>
            </w:r>
            <w:r w:rsidR="00326935">
              <w:rPr>
                <w:rFonts w:ascii="Arial" w:hAnsi="Arial" w:cs="Arial"/>
              </w:rPr>
              <w:t xml:space="preserve"> (Interest on securities) </w:t>
            </w:r>
            <w:r>
              <w:rPr>
                <w:rFonts w:ascii="Arial" w:hAnsi="Arial" w:cs="Arial"/>
              </w:rPr>
              <w:t>/ 194</w:t>
            </w:r>
            <w:r w:rsidR="00326935">
              <w:rPr>
                <w:rFonts w:ascii="Arial" w:hAnsi="Arial" w:cs="Arial"/>
              </w:rPr>
              <w:t xml:space="preserve"> (Dividends) </w:t>
            </w:r>
            <w:r>
              <w:rPr>
                <w:rFonts w:ascii="Arial" w:hAnsi="Arial" w:cs="Arial"/>
              </w:rPr>
              <w:t>/ 194A</w:t>
            </w:r>
            <w:r w:rsidR="00326935">
              <w:rPr>
                <w:rFonts w:ascii="Arial" w:hAnsi="Arial" w:cs="Arial"/>
              </w:rPr>
              <w:t xml:space="preserve"> (Interest other than on securities) </w:t>
            </w:r>
            <w:r>
              <w:rPr>
                <w:rFonts w:ascii="Arial" w:hAnsi="Arial" w:cs="Arial"/>
              </w:rPr>
              <w:t>/ 194EE</w:t>
            </w:r>
            <w:r w:rsidR="00326935">
              <w:rPr>
                <w:rFonts w:ascii="Arial" w:hAnsi="Arial" w:cs="Arial"/>
              </w:rPr>
              <w:t xml:space="preserve"> </w:t>
            </w:r>
            <w:r w:rsidR="00985012">
              <w:rPr>
                <w:rFonts w:ascii="Arial" w:hAnsi="Arial" w:cs="Arial"/>
              </w:rPr>
              <w:t xml:space="preserve">(NSS) </w:t>
            </w:r>
            <w:r>
              <w:rPr>
                <w:rFonts w:ascii="Arial" w:hAnsi="Arial" w:cs="Arial"/>
              </w:rPr>
              <w:t>/ 194I</w:t>
            </w:r>
            <w:r w:rsidR="00985012">
              <w:rPr>
                <w:rFonts w:ascii="Arial" w:hAnsi="Arial" w:cs="Arial"/>
              </w:rPr>
              <w:t>(</w:t>
            </w:r>
            <w:r w:rsidR="009F57E3">
              <w:rPr>
                <w:rFonts w:ascii="Arial" w:hAnsi="Arial" w:cs="Arial"/>
              </w:rPr>
              <w:t>Immovable property rent)</w:t>
            </w:r>
            <w:r>
              <w:rPr>
                <w:rFonts w:ascii="Arial" w:hAnsi="Arial" w:cs="Arial"/>
              </w:rPr>
              <w:t>/ 194IC</w:t>
            </w:r>
            <w:r w:rsidR="009F57E3">
              <w:rPr>
                <w:rFonts w:ascii="Arial" w:hAnsi="Arial" w:cs="Arial"/>
              </w:rPr>
              <w:t xml:space="preserve"> (</w:t>
            </w:r>
            <w:r w:rsidR="000B3787">
              <w:rPr>
                <w:rFonts w:ascii="Arial" w:hAnsi="Arial" w:cs="Arial"/>
              </w:rPr>
              <w:t>Joint Development Agreements)</w:t>
            </w:r>
            <w:r>
              <w:rPr>
                <w:rFonts w:ascii="Arial" w:hAnsi="Arial" w:cs="Arial"/>
              </w:rPr>
              <w:t>/ 194J</w:t>
            </w:r>
            <w:r w:rsidR="000B3787">
              <w:rPr>
                <w:rFonts w:ascii="Arial" w:hAnsi="Arial" w:cs="Arial"/>
              </w:rPr>
              <w:t>(Fees for prof</w:t>
            </w:r>
            <w:r w:rsidR="004B50E2">
              <w:rPr>
                <w:rFonts w:ascii="Arial" w:hAnsi="Arial" w:cs="Arial"/>
              </w:rPr>
              <w:t>essional services)</w:t>
            </w:r>
            <w:r>
              <w:rPr>
                <w:rFonts w:ascii="Arial" w:hAnsi="Arial" w:cs="Arial"/>
              </w:rPr>
              <w:t>/ 194K</w:t>
            </w:r>
            <w:r w:rsidR="004B50E2">
              <w:rPr>
                <w:rFonts w:ascii="Arial" w:hAnsi="Arial" w:cs="Arial"/>
              </w:rPr>
              <w:t xml:space="preserve"> (Mutual fund dividends)</w:t>
            </w:r>
            <w:r>
              <w:rPr>
                <w:rFonts w:ascii="Arial" w:hAnsi="Arial" w:cs="Arial"/>
              </w:rPr>
              <w:t>/ 194LA</w:t>
            </w:r>
            <w:r w:rsidR="000D4520">
              <w:rPr>
                <w:rFonts w:ascii="Arial" w:hAnsi="Arial" w:cs="Arial"/>
              </w:rPr>
              <w:t xml:space="preserve"> (Compulsory acquisition of immovable property)</w:t>
            </w:r>
            <w:r>
              <w:rPr>
                <w:rFonts w:ascii="Arial" w:hAnsi="Arial" w:cs="Arial"/>
              </w:rPr>
              <w:t>/ 194LBA</w:t>
            </w:r>
            <w:r w:rsidR="000D4520">
              <w:rPr>
                <w:rFonts w:ascii="Arial" w:hAnsi="Arial" w:cs="Arial"/>
              </w:rPr>
              <w:t xml:space="preserve"> (REIT/</w:t>
            </w:r>
            <w:proofErr w:type="spellStart"/>
            <w:r w:rsidR="000D4520">
              <w:rPr>
                <w:rFonts w:ascii="Arial" w:hAnsi="Arial" w:cs="Arial"/>
              </w:rPr>
              <w:t>InVIT</w:t>
            </w:r>
            <w:proofErr w:type="spellEnd"/>
            <w:r w:rsidR="000D4520">
              <w:rPr>
                <w:rFonts w:ascii="Arial" w:hAnsi="Arial" w:cs="Arial"/>
              </w:rPr>
              <w:t xml:space="preserve"> income)</w:t>
            </w:r>
            <w:r>
              <w:rPr>
                <w:rFonts w:ascii="Arial" w:hAnsi="Arial" w:cs="Arial"/>
              </w:rPr>
              <w:t>/ 194LBB</w:t>
            </w:r>
            <w:r w:rsidR="00666442">
              <w:rPr>
                <w:rFonts w:ascii="Arial" w:hAnsi="Arial" w:cs="Arial"/>
              </w:rPr>
              <w:t xml:space="preserve"> (AIF income)</w:t>
            </w:r>
            <w:r>
              <w:rPr>
                <w:rFonts w:ascii="Arial" w:hAnsi="Arial" w:cs="Arial"/>
              </w:rPr>
              <w:t>/ 194R</w:t>
            </w:r>
            <w:r w:rsidR="00666442">
              <w:rPr>
                <w:rFonts w:ascii="Arial" w:hAnsi="Arial" w:cs="Arial"/>
              </w:rPr>
              <w:t xml:space="preserve"> </w:t>
            </w:r>
            <w:r w:rsidR="00666442">
              <w:rPr>
                <w:rFonts w:ascii="Arial" w:hAnsi="Arial" w:cs="Arial"/>
              </w:rPr>
              <w:lastRenderedPageBreak/>
              <w:t>(Business perquisites)</w:t>
            </w:r>
          </w:p>
        </w:tc>
        <w:tc>
          <w:tcPr>
            <w:tcW w:w="1843" w:type="dxa"/>
            <w:tcMar>
              <w:top w:w="0" w:type="dxa"/>
              <w:left w:w="108" w:type="dxa"/>
              <w:bottom w:w="0" w:type="dxa"/>
              <w:right w:w="108" w:type="dxa"/>
            </w:tcMar>
            <w:vAlign w:val="center"/>
            <w:hideMark/>
          </w:tcPr>
          <w:p w:rsidR="005F68DE" w:rsidRDefault="005F68DE">
            <w:pPr>
              <w:spacing w:after="0" w:line="276" w:lineRule="auto"/>
              <w:jc w:val="center"/>
              <w:rPr>
                <w:rFonts w:ascii="Arial" w:hAnsi="Arial" w:cs="Arial"/>
              </w:rPr>
            </w:pPr>
            <w:r>
              <w:rPr>
                <w:rFonts w:ascii="Arial" w:hAnsi="Arial" w:cs="Arial"/>
              </w:rPr>
              <w:lastRenderedPageBreak/>
              <w:t>10</w:t>
            </w:r>
          </w:p>
        </w:tc>
      </w:tr>
      <w:tr w:rsidR="005F68DE" w:rsidTr="00DB780D">
        <w:trPr>
          <w:trHeight w:val="283"/>
        </w:trPr>
        <w:tc>
          <w:tcPr>
            <w:tcW w:w="1007" w:type="dxa"/>
            <w:tcMar>
              <w:top w:w="0" w:type="dxa"/>
              <w:left w:w="108" w:type="dxa"/>
              <w:bottom w:w="0" w:type="dxa"/>
              <w:right w:w="108" w:type="dxa"/>
            </w:tcMar>
            <w:vAlign w:val="center"/>
            <w:hideMark/>
          </w:tcPr>
          <w:p w:rsidR="005F68DE" w:rsidRDefault="005F68DE">
            <w:pPr>
              <w:spacing w:after="0" w:line="276" w:lineRule="auto"/>
              <w:jc w:val="center"/>
              <w:rPr>
                <w:rFonts w:ascii="Arial" w:hAnsi="Arial" w:cs="Arial"/>
              </w:rPr>
            </w:pPr>
            <w:r>
              <w:rPr>
                <w:rFonts w:ascii="Arial" w:hAnsi="Arial" w:cs="Arial"/>
              </w:rPr>
              <w:lastRenderedPageBreak/>
              <w:t>1</w:t>
            </w:r>
          </w:p>
        </w:tc>
        <w:tc>
          <w:tcPr>
            <w:tcW w:w="4961" w:type="dxa"/>
            <w:tcMar>
              <w:top w:w="0" w:type="dxa"/>
              <w:left w:w="108" w:type="dxa"/>
              <w:bottom w:w="0" w:type="dxa"/>
              <w:right w:w="108" w:type="dxa"/>
            </w:tcMar>
            <w:vAlign w:val="center"/>
            <w:hideMark/>
          </w:tcPr>
          <w:p w:rsidR="005F68DE" w:rsidRDefault="005F68DE">
            <w:pPr>
              <w:spacing w:after="0" w:line="276" w:lineRule="auto"/>
              <w:rPr>
                <w:rFonts w:ascii="Arial" w:hAnsi="Arial" w:cs="Arial"/>
              </w:rPr>
            </w:pPr>
            <w:r>
              <w:rPr>
                <w:rFonts w:ascii="Arial" w:hAnsi="Arial" w:cs="Arial"/>
              </w:rPr>
              <w:t>194F</w:t>
            </w:r>
            <w:r w:rsidR="005F5347">
              <w:rPr>
                <w:rStyle w:val="FootnoteReference"/>
                <w:rFonts w:ascii="Arial" w:hAnsi="Arial" w:cs="Arial"/>
              </w:rPr>
              <w:footnoteReference w:id="1"/>
            </w:r>
            <w:r w:rsidR="00E10192">
              <w:rPr>
                <w:rFonts w:ascii="Arial" w:hAnsi="Arial" w:cs="Arial"/>
              </w:rPr>
              <w:t xml:space="preserve"> (Repurchase of Mutual Funds)</w:t>
            </w:r>
          </w:p>
        </w:tc>
        <w:tc>
          <w:tcPr>
            <w:tcW w:w="1843" w:type="dxa"/>
            <w:tcMar>
              <w:top w:w="0" w:type="dxa"/>
              <w:left w:w="108" w:type="dxa"/>
              <w:bottom w:w="0" w:type="dxa"/>
              <w:right w:w="108" w:type="dxa"/>
            </w:tcMar>
            <w:vAlign w:val="center"/>
            <w:hideMark/>
          </w:tcPr>
          <w:p w:rsidR="005F68DE" w:rsidRDefault="005F68DE">
            <w:pPr>
              <w:spacing w:after="0" w:line="276" w:lineRule="auto"/>
              <w:jc w:val="center"/>
              <w:rPr>
                <w:rFonts w:ascii="Arial" w:hAnsi="Arial" w:cs="Arial"/>
              </w:rPr>
            </w:pPr>
            <w:r>
              <w:rPr>
                <w:rFonts w:ascii="Arial" w:hAnsi="Arial" w:cs="Arial"/>
              </w:rPr>
              <w:t>20</w:t>
            </w:r>
          </w:p>
        </w:tc>
      </w:tr>
      <w:tr w:rsidR="005F68DE" w:rsidTr="00DB780D">
        <w:trPr>
          <w:trHeight w:val="283"/>
        </w:trPr>
        <w:tc>
          <w:tcPr>
            <w:tcW w:w="1007" w:type="dxa"/>
            <w:tcMar>
              <w:top w:w="0" w:type="dxa"/>
              <w:left w:w="108" w:type="dxa"/>
              <w:bottom w:w="0" w:type="dxa"/>
              <w:right w:w="108" w:type="dxa"/>
            </w:tcMar>
            <w:vAlign w:val="center"/>
            <w:hideMark/>
          </w:tcPr>
          <w:p w:rsidR="005F68DE" w:rsidRDefault="005F68DE">
            <w:pPr>
              <w:spacing w:after="0" w:line="276" w:lineRule="auto"/>
              <w:jc w:val="center"/>
              <w:rPr>
                <w:rFonts w:ascii="Arial" w:hAnsi="Arial" w:cs="Arial"/>
              </w:rPr>
            </w:pPr>
            <w:r>
              <w:rPr>
                <w:rFonts w:ascii="Arial" w:hAnsi="Arial" w:cs="Arial"/>
              </w:rPr>
              <w:t>1</w:t>
            </w:r>
          </w:p>
        </w:tc>
        <w:tc>
          <w:tcPr>
            <w:tcW w:w="4961" w:type="dxa"/>
            <w:tcMar>
              <w:top w:w="0" w:type="dxa"/>
              <w:left w:w="108" w:type="dxa"/>
              <w:bottom w:w="0" w:type="dxa"/>
              <w:right w:w="108" w:type="dxa"/>
            </w:tcMar>
            <w:vAlign w:val="center"/>
            <w:hideMark/>
          </w:tcPr>
          <w:p w:rsidR="005F68DE" w:rsidRDefault="005F68DE">
            <w:pPr>
              <w:spacing w:after="0" w:line="276" w:lineRule="auto"/>
              <w:rPr>
                <w:rFonts w:ascii="Arial" w:hAnsi="Arial" w:cs="Arial"/>
              </w:rPr>
            </w:pPr>
            <w:r>
              <w:rPr>
                <w:rFonts w:ascii="Arial" w:hAnsi="Arial" w:cs="Arial"/>
              </w:rPr>
              <w:t>194LBC</w:t>
            </w:r>
            <w:r w:rsidR="005C330E">
              <w:rPr>
                <w:rFonts w:ascii="Arial" w:hAnsi="Arial" w:cs="Arial"/>
              </w:rPr>
              <w:t xml:space="preserve"> (Securitisation Trust income)</w:t>
            </w:r>
          </w:p>
        </w:tc>
        <w:tc>
          <w:tcPr>
            <w:tcW w:w="1843" w:type="dxa"/>
            <w:tcMar>
              <w:top w:w="0" w:type="dxa"/>
              <w:left w:w="108" w:type="dxa"/>
              <w:bottom w:w="0" w:type="dxa"/>
              <w:right w:w="108" w:type="dxa"/>
            </w:tcMar>
            <w:vAlign w:val="center"/>
            <w:hideMark/>
          </w:tcPr>
          <w:p w:rsidR="005F68DE" w:rsidRDefault="005F68DE">
            <w:pPr>
              <w:spacing w:after="0" w:line="276" w:lineRule="auto"/>
              <w:jc w:val="center"/>
              <w:rPr>
                <w:rFonts w:ascii="Arial" w:hAnsi="Arial" w:cs="Arial"/>
              </w:rPr>
            </w:pPr>
            <w:r>
              <w:rPr>
                <w:rFonts w:ascii="Arial" w:hAnsi="Arial" w:cs="Arial"/>
              </w:rPr>
              <w:t>25</w:t>
            </w:r>
          </w:p>
        </w:tc>
      </w:tr>
      <w:tr w:rsidR="005F68DE" w:rsidTr="00DB780D">
        <w:trPr>
          <w:trHeight w:val="283"/>
        </w:trPr>
        <w:tc>
          <w:tcPr>
            <w:tcW w:w="1007" w:type="dxa"/>
            <w:tcMar>
              <w:top w:w="0" w:type="dxa"/>
              <w:left w:w="108" w:type="dxa"/>
              <w:bottom w:w="0" w:type="dxa"/>
              <w:right w:w="108" w:type="dxa"/>
            </w:tcMar>
            <w:vAlign w:val="center"/>
            <w:hideMark/>
          </w:tcPr>
          <w:p w:rsidR="005F68DE" w:rsidRDefault="005F68DE">
            <w:pPr>
              <w:spacing w:after="0" w:line="276" w:lineRule="auto"/>
              <w:jc w:val="center"/>
              <w:rPr>
                <w:rFonts w:ascii="Arial" w:hAnsi="Arial" w:cs="Arial"/>
              </w:rPr>
            </w:pPr>
            <w:r>
              <w:rPr>
                <w:rFonts w:ascii="Arial" w:hAnsi="Arial" w:cs="Arial"/>
              </w:rPr>
              <w:t>3</w:t>
            </w:r>
          </w:p>
        </w:tc>
        <w:tc>
          <w:tcPr>
            <w:tcW w:w="4961" w:type="dxa"/>
            <w:tcMar>
              <w:top w:w="0" w:type="dxa"/>
              <w:left w:w="108" w:type="dxa"/>
              <w:bottom w:w="0" w:type="dxa"/>
              <w:right w:w="108" w:type="dxa"/>
            </w:tcMar>
            <w:vAlign w:val="center"/>
            <w:hideMark/>
          </w:tcPr>
          <w:p w:rsidR="005F68DE" w:rsidRDefault="005F68DE">
            <w:pPr>
              <w:spacing w:after="0" w:line="276" w:lineRule="auto"/>
              <w:rPr>
                <w:rFonts w:ascii="Arial" w:hAnsi="Arial" w:cs="Arial"/>
              </w:rPr>
            </w:pPr>
            <w:r>
              <w:rPr>
                <w:rFonts w:ascii="Arial" w:hAnsi="Arial" w:cs="Arial"/>
              </w:rPr>
              <w:t>194B</w:t>
            </w:r>
            <w:r w:rsidR="005C330E">
              <w:rPr>
                <w:rFonts w:ascii="Arial" w:hAnsi="Arial" w:cs="Arial"/>
              </w:rPr>
              <w:t xml:space="preserve"> </w:t>
            </w:r>
            <w:r w:rsidR="004F5224">
              <w:rPr>
                <w:rFonts w:ascii="Arial" w:hAnsi="Arial" w:cs="Arial"/>
              </w:rPr>
              <w:t>(Lottery winnings)</w:t>
            </w:r>
            <w:r>
              <w:rPr>
                <w:rFonts w:ascii="Arial" w:hAnsi="Arial" w:cs="Arial"/>
              </w:rPr>
              <w:t>/ 194BB</w:t>
            </w:r>
            <w:r w:rsidR="004F5224">
              <w:rPr>
                <w:rFonts w:ascii="Arial" w:hAnsi="Arial" w:cs="Arial"/>
              </w:rPr>
              <w:t xml:space="preserve"> (Horse race winnings)</w:t>
            </w:r>
            <w:r>
              <w:rPr>
                <w:rFonts w:ascii="Arial" w:hAnsi="Arial" w:cs="Arial"/>
              </w:rPr>
              <w:t>/ 194LBC</w:t>
            </w:r>
            <w:r w:rsidR="004F5224">
              <w:rPr>
                <w:rFonts w:ascii="Arial" w:hAnsi="Arial" w:cs="Arial"/>
              </w:rPr>
              <w:t xml:space="preserve"> (Securitisation Trust income)</w:t>
            </w:r>
          </w:p>
        </w:tc>
        <w:tc>
          <w:tcPr>
            <w:tcW w:w="1843" w:type="dxa"/>
            <w:tcMar>
              <w:top w:w="0" w:type="dxa"/>
              <w:left w:w="108" w:type="dxa"/>
              <w:bottom w:w="0" w:type="dxa"/>
              <w:right w:w="108" w:type="dxa"/>
            </w:tcMar>
            <w:vAlign w:val="center"/>
            <w:hideMark/>
          </w:tcPr>
          <w:p w:rsidR="005F68DE" w:rsidRDefault="005F68DE">
            <w:pPr>
              <w:spacing w:after="0" w:line="276" w:lineRule="auto"/>
              <w:jc w:val="center"/>
              <w:rPr>
                <w:rFonts w:ascii="Arial" w:hAnsi="Arial" w:cs="Arial"/>
              </w:rPr>
            </w:pPr>
            <w:r>
              <w:rPr>
                <w:rFonts w:ascii="Arial" w:hAnsi="Arial" w:cs="Arial"/>
              </w:rPr>
              <w:t>30</w:t>
            </w:r>
          </w:p>
        </w:tc>
      </w:tr>
      <w:tr w:rsidR="00B740F3" w:rsidRPr="00C1482A" w:rsidTr="00DB780D">
        <w:trPr>
          <w:trHeight w:val="283"/>
        </w:trPr>
        <w:tc>
          <w:tcPr>
            <w:tcW w:w="1007" w:type="dxa"/>
            <w:tcMar>
              <w:top w:w="0" w:type="dxa"/>
              <w:left w:w="108" w:type="dxa"/>
              <w:bottom w:w="0" w:type="dxa"/>
              <w:right w:w="108" w:type="dxa"/>
            </w:tcMar>
            <w:vAlign w:val="center"/>
          </w:tcPr>
          <w:p w:rsidR="00B740F3" w:rsidRPr="00C1482A" w:rsidRDefault="00753105">
            <w:pPr>
              <w:spacing w:after="0" w:line="276" w:lineRule="auto"/>
              <w:jc w:val="center"/>
              <w:rPr>
                <w:rFonts w:ascii="Arial" w:hAnsi="Arial" w:cs="Arial"/>
                <w:b/>
                <w:bCs/>
              </w:rPr>
            </w:pPr>
            <w:r w:rsidRPr="00C1482A">
              <w:rPr>
                <w:rFonts w:ascii="Arial" w:hAnsi="Arial" w:cs="Arial"/>
                <w:b/>
                <w:bCs/>
              </w:rPr>
              <w:t>36</w:t>
            </w:r>
            <w:r w:rsidRPr="00C1482A">
              <w:rPr>
                <w:rStyle w:val="FootnoteReference"/>
                <w:rFonts w:ascii="Arial" w:hAnsi="Arial" w:cs="Arial"/>
                <w:b/>
                <w:bCs/>
              </w:rPr>
              <w:footnoteReference w:id="2"/>
            </w:r>
          </w:p>
        </w:tc>
        <w:tc>
          <w:tcPr>
            <w:tcW w:w="4961" w:type="dxa"/>
            <w:tcMar>
              <w:top w:w="0" w:type="dxa"/>
              <w:left w:w="108" w:type="dxa"/>
              <w:bottom w:w="0" w:type="dxa"/>
              <w:right w:w="108" w:type="dxa"/>
            </w:tcMar>
            <w:vAlign w:val="center"/>
          </w:tcPr>
          <w:p w:rsidR="00B740F3" w:rsidRPr="00C1482A" w:rsidRDefault="00753105">
            <w:pPr>
              <w:spacing w:after="0" w:line="276" w:lineRule="auto"/>
              <w:rPr>
                <w:rFonts w:ascii="Arial" w:hAnsi="Arial" w:cs="Arial"/>
                <w:b/>
                <w:bCs/>
              </w:rPr>
            </w:pPr>
            <w:r w:rsidRPr="00C1482A">
              <w:rPr>
                <w:rFonts w:ascii="Arial" w:hAnsi="Arial" w:cs="Arial"/>
                <w:b/>
                <w:bCs/>
              </w:rPr>
              <w:t>Total</w:t>
            </w:r>
          </w:p>
        </w:tc>
        <w:tc>
          <w:tcPr>
            <w:tcW w:w="1843" w:type="dxa"/>
            <w:tcMar>
              <w:top w:w="0" w:type="dxa"/>
              <w:left w:w="108" w:type="dxa"/>
              <w:bottom w:w="0" w:type="dxa"/>
              <w:right w:w="108" w:type="dxa"/>
            </w:tcMar>
            <w:vAlign w:val="center"/>
          </w:tcPr>
          <w:p w:rsidR="00B740F3" w:rsidRPr="00C1482A" w:rsidRDefault="00B740F3">
            <w:pPr>
              <w:spacing w:after="0" w:line="276" w:lineRule="auto"/>
              <w:jc w:val="center"/>
              <w:rPr>
                <w:rFonts w:ascii="Arial" w:hAnsi="Arial" w:cs="Arial"/>
                <w:b/>
                <w:bCs/>
              </w:rPr>
            </w:pPr>
          </w:p>
        </w:tc>
      </w:tr>
    </w:tbl>
    <w:p w:rsidR="007D44A7" w:rsidRDefault="007D44A7" w:rsidP="007D44A7">
      <w:pPr>
        <w:pStyle w:val="ListParagraph"/>
        <w:spacing w:after="0" w:line="276" w:lineRule="auto"/>
        <w:jc w:val="both"/>
        <w:rPr>
          <w:rFonts w:ascii="Arial" w:hAnsi="Arial" w:cs="Arial"/>
          <w:szCs w:val="22"/>
        </w:rPr>
      </w:pPr>
    </w:p>
    <w:p w:rsidR="00F91DC5" w:rsidRDefault="00F91DC5" w:rsidP="007D44A7">
      <w:pPr>
        <w:pStyle w:val="ListParagraph"/>
        <w:spacing w:after="0" w:line="276" w:lineRule="auto"/>
        <w:jc w:val="both"/>
        <w:rPr>
          <w:rFonts w:ascii="Arial" w:hAnsi="Arial" w:cs="Arial"/>
          <w:szCs w:val="22"/>
        </w:rPr>
      </w:pPr>
    </w:p>
    <w:p w:rsidR="00BA0078" w:rsidRPr="00BA0078" w:rsidRDefault="00BA0078" w:rsidP="00F07A1B">
      <w:pPr>
        <w:pStyle w:val="ListParagraph"/>
        <w:numPr>
          <w:ilvl w:val="0"/>
          <w:numId w:val="6"/>
        </w:numPr>
        <w:spacing w:after="0" w:line="276" w:lineRule="auto"/>
        <w:jc w:val="both"/>
        <w:rPr>
          <w:rFonts w:ascii="Arial" w:hAnsi="Arial" w:cs="Arial"/>
          <w:b/>
          <w:bCs/>
          <w:szCs w:val="22"/>
        </w:rPr>
      </w:pPr>
      <w:r w:rsidRPr="00BA0078">
        <w:rPr>
          <w:rFonts w:ascii="Arial" w:hAnsi="Arial" w:cs="Arial"/>
          <w:b/>
          <w:bCs/>
          <w:szCs w:val="22"/>
        </w:rPr>
        <w:t xml:space="preserve">Varying rates </w:t>
      </w:r>
      <w:r w:rsidR="008B0AC5">
        <w:rPr>
          <w:rFonts w:ascii="Arial" w:hAnsi="Arial" w:cs="Arial"/>
          <w:b/>
          <w:bCs/>
          <w:szCs w:val="22"/>
        </w:rPr>
        <w:t>within single TDS section</w:t>
      </w:r>
    </w:p>
    <w:p w:rsidR="00BA0078" w:rsidRDefault="00BA0078" w:rsidP="00BA0078">
      <w:pPr>
        <w:pStyle w:val="ListParagraph"/>
        <w:spacing w:after="0" w:line="276" w:lineRule="auto"/>
        <w:jc w:val="both"/>
        <w:rPr>
          <w:rFonts w:ascii="Arial" w:hAnsi="Arial" w:cs="Arial"/>
          <w:szCs w:val="22"/>
        </w:rPr>
      </w:pPr>
    </w:p>
    <w:p w:rsidR="00F07A1B" w:rsidRDefault="00697DBA" w:rsidP="00BA0078">
      <w:pPr>
        <w:pStyle w:val="ListParagraph"/>
        <w:spacing w:after="0" w:line="276" w:lineRule="auto"/>
        <w:jc w:val="both"/>
        <w:rPr>
          <w:rFonts w:ascii="Arial" w:hAnsi="Arial" w:cs="Arial"/>
          <w:szCs w:val="22"/>
        </w:rPr>
      </w:pPr>
      <w:r w:rsidRPr="00C67C30">
        <w:rPr>
          <w:rFonts w:ascii="Arial" w:hAnsi="Arial" w:cs="Arial"/>
          <w:szCs w:val="22"/>
        </w:rPr>
        <w:t>In some sections, there are varying rates of TDS depending upon status of payees</w:t>
      </w:r>
      <w:r w:rsidR="00F07A1B">
        <w:rPr>
          <w:rFonts w:ascii="Arial" w:hAnsi="Arial" w:cs="Arial"/>
          <w:szCs w:val="22"/>
        </w:rPr>
        <w:t xml:space="preserve"> / nature of payments. For example:</w:t>
      </w:r>
    </w:p>
    <w:p w:rsidR="00F07A1B" w:rsidRDefault="00F07A1B" w:rsidP="007D44A7">
      <w:pPr>
        <w:pStyle w:val="ListParagraph"/>
        <w:spacing w:after="0" w:line="276" w:lineRule="auto"/>
        <w:jc w:val="both"/>
        <w:rPr>
          <w:rFonts w:ascii="Arial" w:hAnsi="Arial" w:cs="Arial"/>
          <w:szCs w:val="22"/>
        </w:rPr>
      </w:pPr>
    </w:p>
    <w:p w:rsidR="00F07A1B" w:rsidRDefault="00697DBA" w:rsidP="00F07A1B">
      <w:pPr>
        <w:pStyle w:val="ListParagraph"/>
        <w:numPr>
          <w:ilvl w:val="1"/>
          <w:numId w:val="6"/>
        </w:numPr>
        <w:spacing w:after="0" w:line="276" w:lineRule="auto"/>
        <w:jc w:val="both"/>
        <w:rPr>
          <w:rFonts w:ascii="Arial" w:hAnsi="Arial" w:cs="Arial"/>
          <w:szCs w:val="22"/>
        </w:rPr>
      </w:pPr>
      <w:r w:rsidRPr="00C67C30">
        <w:rPr>
          <w:rFonts w:ascii="Arial" w:hAnsi="Arial" w:cs="Arial"/>
          <w:szCs w:val="22"/>
        </w:rPr>
        <w:t>TDS rate u/s. 194C for individuals is 1% and 2% for others</w:t>
      </w:r>
    </w:p>
    <w:p w:rsidR="00F07A1B" w:rsidRDefault="00F07A1B" w:rsidP="00F07A1B">
      <w:pPr>
        <w:pStyle w:val="ListParagraph"/>
        <w:spacing w:after="0" w:line="276" w:lineRule="auto"/>
        <w:ind w:left="1440"/>
        <w:jc w:val="both"/>
        <w:rPr>
          <w:rFonts w:ascii="Arial" w:hAnsi="Arial" w:cs="Arial"/>
          <w:szCs w:val="22"/>
        </w:rPr>
      </w:pPr>
    </w:p>
    <w:p w:rsidR="00697DBA" w:rsidRPr="00C67C30" w:rsidRDefault="00697DBA" w:rsidP="00F07A1B">
      <w:pPr>
        <w:pStyle w:val="ListParagraph"/>
        <w:numPr>
          <w:ilvl w:val="1"/>
          <w:numId w:val="6"/>
        </w:numPr>
        <w:spacing w:after="0" w:line="276" w:lineRule="auto"/>
        <w:jc w:val="both"/>
        <w:rPr>
          <w:rFonts w:ascii="Arial" w:hAnsi="Arial" w:cs="Arial"/>
          <w:szCs w:val="22"/>
        </w:rPr>
      </w:pPr>
      <w:r w:rsidRPr="00C67C30">
        <w:rPr>
          <w:rFonts w:ascii="Arial" w:hAnsi="Arial" w:cs="Arial"/>
          <w:szCs w:val="22"/>
        </w:rPr>
        <w:t xml:space="preserve">TDS rate u/s. 194J for Fees for technical services is 2% and Fees for professional services is 10%. </w:t>
      </w:r>
    </w:p>
    <w:p w:rsidR="007D44A7" w:rsidRDefault="007D44A7" w:rsidP="00F07A1B">
      <w:pPr>
        <w:spacing w:after="0" w:line="276" w:lineRule="auto"/>
        <w:jc w:val="both"/>
        <w:rPr>
          <w:rFonts w:ascii="Arial" w:hAnsi="Arial" w:cs="Arial"/>
          <w:szCs w:val="22"/>
        </w:rPr>
      </w:pPr>
    </w:p>
    <w:p w:rsidR="000D0541" w:rsidRPr="006D1C32" w:rsidRDefault="000D0541" w:rsidP="000D0541">
      <w:pPr>
        <w:pStyle w:val="ListParagraph"/>
        <w:numPr>
          <w:ilvl w:val="0"/>
          <w:numId w:val="6"/>
        </w:numPr>
        <w:spacing w:after="0" w:line="276" w:lineRule="auto"/>
        <w:jc w:val="both"/>
        <w:rPr>
          <w:rFonts w:ascii="Arial" w:hAnsi="Arial" w:cs="Arial"/>
          <w:b/>
          <w:bCs/>
          <w:szCs w:val="22"/>
        </w:rPr>
      </w:pPr>
      <w:r w:rsidRPr="006D1C32">
        <w:rPr>
          <w:rFonts w:ascii="Arial" w:hAnsi="Arial" w:cs="Arial"/>
          <w:b/>
          <w:bCs/>
          <w:szCs w:val="22"/>
        </w:rPr>
        <w:t xml:space="preserve">Different thresholds for different TDS provisions </w:t>
      </w:r>
    </w:p>
    <w:p w:rsidR="006D1C32" w:rsidRDefault="006D1C32" w:rsidP="006D1C32">
      <w:pPr>
        <w:pStyle w:val="ListParagraph"/>
        <w:spacing w:after="0" w:line="276" w:lineRule="auto"/>
        <w:jc w:val="both"/>
        <w:rPr>
          <w:rFonts w:ascii="Arial" w:hAnsi="Arial" w:cs="Arial"/>
          <w:szCs w:val="22"/>
        </w:rPr>
      </w:pPr>
    </w:p>
    <w:p w:rsidR="00D847A7" w:rsidRDefault="006D1C32" w:rsidP="006D1C32">
      <w:pPr>
        <w:spacing w:after="0" w:line="276" w:lineRule="auto"/>
        <w:ind w:left="720"/>
        <w:jc w:val="both"/>
        <w:rPr>
          <w:rFonts w:ascii="Arial" w:hAnsi="Arial" w:cs="Arial"/>
          <w:szCs w:val="22"/>
        </w:rPr>
      </w:pPr>
      <w:r>
        <w:rPr>
          <w:rFonts w:ascii="Arial" w:hAnsi="Arial" w:cs="Arial"/>
          <w:szCs w:val="22"/>
        </w:rPr>
        <w:t xml:space="preserve">There are different thresholds for applicability of different TDS provisions which makes it very cumbersome to keep </w:t>
      </w:r>
      <w:r w:rsidR="00402799">
        <w:rPr>
          <w:rFonts w:ascii="Arial" w:hAnsi="Arial" w:cs="Arial"/>
          <w:szCs w:val="22"/>
        </w:rPr>
        <w:t xml:space="preserve">track and apply TDS. </w:t>
      </w:r>
      <w:r w:rsidR="00D50A31">
        <w:rPr>
          <w:rFonts w:ascii="Arial" w:hAnsi="Arial" w:cs="Arial"/>
          <w:szCs w:val="22"/>
        </w:rPr>
        <w:t>For instance, the TDS threshold for s.194C (</w:t>
      </w:r>
      <w:r w:rsidR="00090457">
        <w:rPr>
          <w:rFonts w:ascii="Arial" w:hAnsi="Arial" w:cs="Arial"/>
          <w:szCs w:val="22"/>
        </w:rPr>
        <w:t xml:space="preserve">Payments to contractors) is Rs. 30,000 for individual payment </w:t>
      </w:r>
      <w:r w:rsidR="00BB3A37">
        <w:rPr>
          <w:rFonts w:ascii="Arial" w:hAnsi="Arial" w:cs="Arial"/>
          <w:szCs w:val="22"/>
        </w:rPr>
        <w:t xml:space="preserve">to a single person </w:t>
      </w:r>
      <w:r w:rsidR="00090457">
        <w:rPr>
          <w:rFonts w:ascii="Arial" w:hAnsi="Arial" w:cs="Arial"/>
          <w:szCs w:val="22"/>
        </w:rPr>
        <w:t xml:space="preserve">and Rs. 1 lakh </w:t>
      </w:r>
      <w:r w:rsidR="00BB3A37">
        <w:rPr>
          <w:rFonts w:ascii="Arial" w:hAnsi="Arial" w:cs="Arial"/>
          <w:szCs w:val="22"/>
        </w:rPr>
        <w:t>in aggregate for entire financial year</w:t>
      </w:r>
      <w:r w:rsidR="00D847A7">
        <w:rPr>
          <w:rFonts w:ascii="Arial" w:hAnsi="Arial" w:cs="Arial"/>
          <w:szCs w:val="22"/>
        </w:rPr>
        <w:t xml:space="preserve">. On the other hand, </w:t>
      </w:r>
      <w:r w:rsidR="00217F73">
        <w:rPr>
          <w:rFonts w:ascii="Arial" w:hAnsi="Arial" w:cs="Arial"/>
          <w:szCs w:val="22"/>
        </w:rPr>
        <w:t>in case of s.194J (Fees for professional and technical services), the threshold of Rs. 30,000 applies to entire financial year.</w:t>
      </w:r>
      <w:r w:rsidR="00255EB9">
        <w:rPr>
          <w:rFonts w:ascii="Arial" w:hAnsi="Arial" w:cs="Arial"/>
          <w:szCs w:val="22"/>
        </w:rPr>
        <w:t xml:space="preserve"> For dividend payment by companies and mutual funds, the threshold limit under s.194 and 194K is Rs. 5000 in a financial year.</w:t>
      </w:r>
    </w:p>
    <w:p w:rsidR="006D1C32" w:rsidRDefault="006D1C32" w:rsidP="006D1C32">
      <w:pPr>
        <w:spacing w:after="0" w:line="276" w:lineRule="auto"/>
        <w:ind w:left="720"/>
        <w:jc w:val="both"/>
        <w:rPr>
          <w:rFonts w:ascii="Arial" w:hAnsi="Arial" w:cs="Arial"/>
          <w:szCs w:val="22"/>
        </w:rPr>
      </w:pPr>
    </w:p>
    <w:p w:rsidR="0098649B" w:rsidRPr="0098649B" w:rsidRDefault="0098649B" w:rsidP="00BA0078">
      <w:pPr>
        <w:pStyle w:val="ListParagraph"/>
        <w:numPr>
          <w:ilvl w:val="0"/>
          <w:numId w:val="6"/>
        </w:numPr>
        <w:spacing w:after="0" w:line="276" w:lineRule="auto"/>
        <w:jc w:val="both"/>
        <w:rPr>
          <w:rFonts w:ascii="Arial" w:hAnsi="Arial" w:cs="Arial"/>
          <w:b/>
          <w:bCs/>
          <w:szCs w:val="22"/>
        </w:rPr>
      </w:pPr>
      <w:r w:rsidRPr="0098649B">
        <w:rPr>
          <w:rFonts w:ascii="Arial" w:hAnsi="Arial" w:cs="Arial"/>
          <w:b/>
          <w:bCs/>
          <w:szCs w:val="22"/>
        </w:rPr>
        <w:t>Complexity gives rise to disputes</w:t>
      </w:r>
    </w:p>
    <w:p w:rsidR="0098649B" w:rsidRDefault="0098649B" w:rsidP="0098649B">
      <w:pPr>
        <w:pStyle w:val="ListParagraph"/>
        <w:spacing w:after="0" w:line="276" w:lineRule="auto"/>
        <w:jc w:val="both"/>
        <w:rPr>
          <w:rFonts w:ascii="Arial" w:hAnsi="Arial" w:cs="Arial"/>
          <w:szCs w:val="22"/>
        </w:rPr>
      </w:pPr>
    </w:p>
    <w:p w:rsidR="00706248" w:rsidRDefault="00697DBA" w:rsidP="0098649B">
      <w:pPr>
        <w:pStyle w:val="ListParagraph"/>
        <w:spacing w:after="0" w:line="276" w:lineRule="auto"/>
        <w:jc w:val="both"/>
        <w:rPr>
          <w:rFonts w:ascii="Arial" w:hAnsi="Arial" w:cs="Arial"/>
          <w:szCs w:val="22"/>
        </w:rPr>
      </w:pPr>
      <w:r w:rsidRPr="00BA0078">
        <w:rPr>
          <w:rFonts w:ascii="Arial" w:hAnsi="Arial" w:cs="Arial"/>
          <w:szCs w:val="22"/>
        </w:rPr>
        <w:t xml:space="preserve">The wide variety of TDS rates </w:t>
      </w:r>
      <w:r w:rsidR="00255EB9">
        <w:rPr>
          <w:rFonts w:ascii="Arial" w:hAnsi="Arial" w:cs="Arial"/>
          <w:szCs w:val="22"/>
        </w:rPr>
        <w:t xml:space="preserve">with different thresholds </w:t>
      </w:r>
      <w:r w:rsidRPr="00BA0078">
        <w:rPr>
          <w:rFonts w:ascii="Arial" w:hAnsi="Arial" w:cs="Arial"/>
          <w:szCs w:val="22"/>
        </w:rPr>
        <w:t xml:space="preserve">creates </w:t>
      </w:r>
      <w:r w:rsidR="007E3133" w:rsidRPr="00BA0078">
        <w:rPr>
          <w:rFonts w:ascii="Arial" w:hAnsi="Arial" w:cs="Arial"/>
          <w:szCs w:val="22"/>
        </w:rPr>
        <w:t xml:space="preserve">complexity and </w:t>
      </w:r>
      <w:r w:rsidRPr="00BA0078">
        <w:rPr>
          <w:rFonts w:ascii="Arial" w:hAnsi="Arial" w:cs="Arial"/>
          <w:szCs w:val="22"/>
        </w:rPr>
        <w:t>confusion for the taxpayers, increases compliance burden and gives rise to characterisation disputes. For instance, there is ambiguity on bright line test to distinguish between Fees for technical services (2%) vs. Fees for professional services (10%)</w:t>
      </w:r>
      <w:r w:rsidR="00814B98">
        <w:rPr>
          <w:rFonts w:ascii="Arial" w:hAnsi="Arial" w:cs="Arial"/>
          <w:szCs w:val="22"/>
        </w:rPr>
        <w:t xml:space="preserve"> – more particularly, where </w:t>
      </w:r>
      <w:r w:rsidR="00991FC6">
        <w:rPr>
          <w:rFonts w:ascii="Arial" w:hAnsi="Arial" w:cs="Arial"/>
          <w:szCs w:val="22"/>
        </w:rPr>
        <w:t xml:space="preserve">similar services are rendered by corporates and professional firms </w:t>
      </w:r>
      <w:r w:rsidR="00DC58F7">
        <w:rPr>
          <w:rFonts w:ascii="Arial" w:hAnsi="Arial" w:cs="Arial"/>
          <w:szCs w:val="22"/>
        </w:rPr>
        <w:t>like technical consultancy or information technology</w:t>
      </w:r>
      <w:r w:rsidRPr="00BA0078">
        <w:rPr>
          <w:rFonts w:ascii="Arial" w:hAnsi="Arial" w:cs="Arial"/>
          <w:szCs w:val="22"/>
        </w:rPr>
        <w:t>.</w:t>
      </w:r>
    </w:p>
    <w:p w:rsidR="001C3ACB" w:rsidRDefault="001C3ACB" w:rsidP="0098649B">
      <w:pPr>
        <w:pStyle w:val="ListParagraph"/>
        <w:spacing w:after="0" w:line="276" w:lineRule="auto"/>
        <w:jc w:val="both"/>
        <w:rPr>
          <w:rFonts w:ascii="Arial" w:hAnsi="Arial" w:cs="Arial"/>
          <w:szCs w:val="22"/>
        </w:rPr>
      </w:pPr>
    </w:p>
    <w:p w:rsidR="00CD3C94" w:rsidRDefault="00CD3C94" w:rsidP="0098649B">
      <w:pPr>
        <w:pStyle w:val="ListParagraph"/>
        <w:spacing w:after="0" w:line="276" w:lineRule="auto"/>
        <w:jc w:val="both"/>
        <w:rPr>
          <w:rFonts w:ascii="Arial" w:hAnsi="Arial" w:cs="Arial"/>
          <w:szCs w:val="22"/>
        </w:rPr>
      </w:pPr>
    </w:p>
    <w:p w:rsidR="00CD3C94" w:rsidRDefault="00CD3C94" w:rsidP="0098649B">
      <w:pPr>
        <w:pStyle w:val="ListParagraph"/>
        <w:spacing w:after="0" w:line="276" w:lineRule="auto"/>
        <w:jc w:val="both"/>
        <w:rPr>
          <w:rFonts w:ascii="Arial" w:hAnsi="Arial" w:cs="Arial"/>
          <w:szCs w:val="22"/>
        </w:rPr>
      </w:pPr>
    </w:p>
    <w:p w:rsidR="007D2E98" w:rsidRDefault="007D2E98" w:rsidP="0098649B">
      <w:pPr>
        <w:pStyle w:val="ListParagraph"/>
        <w:spacing w:after="0" w:line="276" w:lineRule="auto"/>
        <w:jc w:val="both"/>
        <w:rPr>
          <w:rFonts w:ascii="Arial" w:hAnsi="Arial" w:cs="Arial"/>
          <w:szCs w:val="22"/>
        </w:rPr>
      </w:pPr>
    </w:p>
    <w:p w:rsidR="0054231E" w:rsidRPr="0054231E" w:rsidRDefault="0054231E" w:rsidP="0054231E">
      <w:pPr>
        <w:pStyle w:val="ListParagraph"/>
        <w:numPr>
          <w:ilvl w:val="0"/>
          <w:numId w:val="6"/>
        </w:numPr>
        <w:spacing w:after="0" w:line="276" w:lineRule="auto"/>
        <w:jc w:val="both"/>
        <w:rPr>
          <w:rFonts w:ascii="Arial" w:hAnsi="Arial" w:cs="Arial"/>
          <w:b/>
          <w:bCs/>
        </w:rPr>
      </w:pPr>
      <w:r w:rsidRPr="0054231E">
        <w:rPr>
          <w:rFonts w:ascii="Arial" w:hAnsi="Arial" w:cs="Arial"/>
          <w:b/>
          <w:bCs/>
        </w:rPr>
        <w:t>TDS/TCS on purchase/sale of goods</w:t>
      </w:r>
      <w:r>
        <w:rPr>
          <w:rFonts w:ascii="Arial" w:hAnsi="Arial" w:cs="Arial"/>
          <w:b/>
          <w:bCs/>
        </w:rPr>
        <w:t xml:space="preserve"> increases compliance</w:t>
      </w:r>
    </w:p>
    <w:p w:rsidR="0054231E" w:rsidRDefault="0054231E" w:rsidP="0054231E">
      <w:pPr>
        <w:pStyle w:val="ListParagraph"/>
        <w:spacing w:after="0" w:line="276" w:lineRule="auto"/>
        <w:jc w:val="both"/>
        <w:rPr>
          <w:rFonts w:ascii="Arial" w:hAnsi="Arial" w:cs="Arial"/>
        </w:rPr>
      </w:pPr>
    </w:p>
    <w:p w:rsidR="00DD5600" w:rsidRPr="00DD5600" w:rsidRDefault="004274EC" w:rsidP="0054231E">
      <w:pPr>
        <w:pStyle w:val="ListParagraph"/>
        <w:spacing w:after="0" w:line="276" w:lineRule="auto"/>
        <w:jc w:val="both"/>
        <w:rPr>
          <w:rFonts w:ascii="Arial" w:hAnsi="Arial" w:cs="Arial"/>
        </w:rPr>
      </w:pPr>
      <w:r>
        <w:rPr>
          <w:rFonts w:ascii="Arial" w:hAnsi="Arial" w:cs="Arial"/>
        </w:rPr>
        <w:t>T</w:t>
      </w:r>
      <w:r w:rsidR="00DD5600" w:rsidRPr="00DD5600">
        <w:rPr>
          <w:rFonts w:ascii="Arial" w:hAnsi="Arial" w:cs="Arial"/>
        </w:rPr>
        <w:t>he Government’s intent to widen and deepen the tax base is well appreciated</w:t>
      </w:r>
      <w:r>
        <w:rPr>
          <w:rFonts w:ascii="Arial" w:hAnsi="Arial" w:cs="Arial"/>
        </w:rPr>
        <w:t>. However</w:t>
      </w:r>
      <w:r w:rsidR="00DD5600" w:rsidRPr="00DD5600">
        <w:rPr>
          <w:rFonts w:ascii="Arial" w:hAnsi="Arial" w:cs="Arial"/>
        </w:rPr>
        <w:t xml:space="preserve">, the industry perceives compliance for TDS u/s 194Q </w:t>
      </w:r>
      <w:r w:rsidR="00BB77F2">
        <w:rPr>
          <w:rFonts w:ascii="Arial" w:hAnsi="Arial" w:cs="Arial"/>
        </w:rPr>
        <w:t xml:space="preserve">@ 0.1% </w:t>
      </w:r>
      <w:r w:rsidR="00DD5600" w:rsidRPr="00DD5600">
        <w:rPr>
          <w:rFonts w:ascii="Arial" w:hAnsi="Arial" w:cs="Arial"/>
        </w:rPr>
        <w:t xml:space="preserve">on purchase of goods and TCS u/s 206C(1H) </w:t>
      </w:r>
      <w:r w:rsidR="00BB77F2">
        <w:rPr>
          <w:rFonts w:ascii="Arial" w:hAnsi="Arial" w:cs="Arial"/>
        </w:rPr>
        <w:t xml:space="preserve">@ 0.1% </w:t>
      </w:r>
      <w:r w:rsidR="00DD5600" w:rsidRPr="00DD5600">
        <w:rPr>
          <w:rFonts w:ascii="Arial" w:hAnsi="Arial" w:cs="Arial"/>
        </w:rPr>
        <w:t xml:space="preserve">on sale of goods to be onerous. </w:t>
      </w:r>
      <w:r w:rsidR="00CC5CE6">
        <w:rPr>
          <w:rFonts w:ascii="Arial" w:hAnsi="Arial" w:cs="Arial"/>
        </w:rPr>
        <w:t xml:space="preserve">These provisions apply where the entities have turnover &gt; Rs. 10 Cr in preceding financial year and current year’s transaction value </w:t>
      </w:r>
      <w:r w:rsidR="002C5F96">
        <w:rPr>
          <w:rFonts w:ascii="Arial" w:hAnsi="Arial" w:cs="Arial"/>
        </w:rPr>
        <w:t>for a single payee/payer exceeds Rs. 50 lakhs.</w:t>
      </w:r>
    </w:p>
    <w:p w:rsidR="00DD5600" w:rsidRPr="00DD5600" w:rsidRDefault="00DD5600" w:rsidP="00DD5600">
      <w:pPr>
        <w:pStyle w:val="ListParagraph"/>
        <w:spacing w:after="0" w:line="276" w:lineRule="auto"/>
        <w:jc w:val="both"/>
        <w:rPr>
          <w:rFonts w:ascii="Arial" w:hAnsi="Arial" w:cs="Arial"/>
        </w:rPr>
      </w:pPr>
    </w:p>
    <w:p w:rsidR="00DD5600" w:rsidRDefault="00DD5600" w:rsidP="00DD5600">
      <w:pPr>
        <w:pStyle w:val="ListParagraph"/>
        <w:spacing w:after="0" w:line="276" w:lineRule="auto"/>
        <w:jc w:val="both"/>
        <w:rPr>
          <w:rFonts w:ascii="Arial" w:hAnsi="Arial" w:cs="Arial"/>
        </w:rPr>
      </w:pPr>
      <w:r w:rsidRPr="00DD5600">
        <w:rPr>
          <w:rFonts w:ascii="Arial" w:hAnsi="Arial" w:cs="Arial"/>
        </w:rPr>
        <w:t>The entities with threshold limits of Rs. 10 Cr turnover and/or Rs. 50 lakhs transaction value are already within GST regime and relevant information is populated in AIS/Form 26AS from GST returns pursuant to automatic information sharing arrangement between CBDT and CBIC.</w:t>
      </w:r>
      <w:r w:rsidR="00AC7BD6">
        <w:rPr>
          <w:rFonts w:ascii="Arial" w:hAnsi="Arial" w:cs="Arial"/>
        </w:rPr>
        <w:t xml:space="preserve"> Hence, TDS/TCS @ 0.1% merely leads to duplication of </w:t>
      </w:r>
      <w:r w:rsidR="00A24481">
        <w:rPr>
          <w:rFonts w:ascii="Arial" w:hAnsi="Arial" w:cs="Arial"/>
        </w:rPr>
        <w:t xml:space="preserve">information and additional compliance burden for the industry. </w:t>
      </w:r>
    </w:p>
    <w:p w:rsidR="001C3ACB" w:rsidRDefault="001C3ACB" w:rsidP="00DD5600">
      <w:pPr>
        <w:pStyle w:val="ListParagraph"/>
        <w:spacing w:after="0" w:line="276" w:lineRule="auto"/>
        <w:jc w:val="both"/>
        <w:rPr>
          <w:rFonts w:ascii="Arial" w:hAnsi="Arial" w:cs="Arial"/>
        </w:rPr>
      </w:pPr>
    </w:p>
    <w:p w:rsidR="001C3ACB" w:rsidRDefault="001C3ACB" w:rsidP="00DD5600">
      <w:pPr>
        <w:pStyle w:val="ListParagraph"/>
        <w:spacing w:after="0" w:line="276" w:lineRule="auto"/>
        <w:jc w:val="both"/>
        <w:rPr>
          <w:rFonts w:ascii="Arial" w:hAnsi="Arial" w:cs="Arial"/>
        </w:rPr>
      </w:pPr>
    </w:p>
    <w:p w:rsidR="00DE30A3" w:rsidRPr="00DE30A3" w:rsidRDefault="00DE30A3" w:rsidP="0098649B">
      <w:pPr>
        <w:pStyle w:val="ListParagraph"/>
        <w:numPr>
          <w:ilvl w:val="0"/>
          <w:numId w:val="6"/>
        </w:numPr>
        <w:spacing w:after="0" w:line="276" w:lineRule="auto"/>
        <w:jc w:val="both"/>
        <w:rPr>
          <w:rFonts w:ascii="Arial" w:hAnsi="Arial" w:cs="Arial"/>
          <w:b/>
          <w:bCs/>
          <w:szCs w:val="22"/>
        </w:rPr>
      </w:pPr>
      <w:r w:rsidRPr="00DE30A3">
        <w:rPr>
          <w:rFonts w:ascii="Arial" w:hAnsi="Arial" w:cs="Arial"/>
          <w:b/>
          <w:bCs/>
          <w:szCs w:val="22"/>
        </w:rPr>
        <w:t xml:space="preserve">Working capital blockage </w:t>
      </w:r>
      <w:r w:rsidR="00DA6529">
        <w:rPr>
          <w:rFonts w:ascii="Arial" w:hAnsi="Arial" w:cs="Arial"/>
          <w:b/>
          <w:bCs/>
          <w:szCs w:val="22"/>
        </w:rPr>
        <w:t>for businesses</w:t>
      </w:r>
    </w:p>
    <w:p w:rsidR="00DE30A3" w:rsidRDefault="00DE30A3" w:rsidP="00DE30A3">
      <w:pPr>
        <w:pStyle w:val="ListParagraph"/>
        <w:spacing w:after="0" w:line="276" w:lineRule="auto"/>
        <w:jc w:val="both"/>
        <w:rPr>
          <w:rFonts w:ascii="Arial" w:hAnsi="Arial" w:cs="Arial"/>
          <w:szCs w:val="22"/>
        </w:rPr>
      </w:pPr>
    </w:p>
    <w:p w:rsidR="00470D88" w:rsidRDefault="00D03335" w:rsidP="002214F2">
      <w:pPr>
        <w:spacing w:after="0" w:line="276" w:lineRule="auto"/>
        <w:ind w:left="720"/>
        <w:jc w:val="both"/>
        <w:rPr>
          <w:rFonts w:ascii="Arial" w:hAnsi="Arial" w:cs="Arial"/>
          <w:szCs w:val="22"/>
        </w:rPr>
      </w:pPr>
      <w:r>
        <w:rPr>
          <w:rFonts w:ascii="Arial" w:hAnsi="Arial" w:cs="Arial"/>
          <w:szCs w:val="22"/>
        </w:rPr>
        <w:t xml:space="preserve">The TDS rate at 10% and above </w:t>
      </w:r>
      <w:r w:rsidR="00B227D0">
        <w:rPr>
          <w:rFonts w:ascii="Arial" w:hAnsi="Arial" w:cs="Arial"/>
          <w:szCs w:val="22"/>
        </w:rPr>
        <w:t xml:space="preserve">results in blockage of working capital – more particularly, where the profitability is less than 20%. </w:t>
      </w:r>
    </w:p>
    <w:p w:rsidR="00470D88" w:rsidRDefault="00470D88" w:rsidP="002214F2">
      <w:pPr>
        <w:spacing w:after="0" w:line="276" w:lineRule="auto"/>
        <w:ind w:left="720"/>
        <w:jc w:val="both"/>
        <w:rPr>
          <w:rFonts w:ascii="Arial" w:hAnsi="Arial" w:cs="Arial"/>
          <w:szCs w:val="22"/>
        </w:rPr>
      </w:pPr>
    </w:p>
    <w:p w:rsidR="00470D88" w:rsidRDefault="00BC20EE" w:rsidP="002214F2">
      <w:pPr>
        <w:spacing w:after="0" w:line="276" w:lineRule="auto"/>
        <w:ind w:left="720"/>
        <w:jc w:val="both"/>
        <w:rPr>
          <w:rFonts w:ascii="Arial" w:hAnsi="Arial" w:cs="Arial"/>
          <w:szCs w:val="22"/>
        </w:rPr>
      </w:pPr>
      <w:r w:rsidRPr="00BC20EE">
        <w:rPr>
          <w:rFonts w:ascii="Arial" w:hAnsi="Arial" w:cs="Arial"/>
          <w:szCs w:val="22"/>
        </w:rPr>
        <w:t>So, if gross revenue is Rs. 100 and net profit is Rs. 20, the tax liability at 25.17% is Rs. 5</w:t>
      </w:r>
      <w:r w:rsidR="00DA6529">
        <w:rPr>
          <w:rFonts w:ascii="Arial" w:hAnsi="Arial" w:cs="Arial"/>
          <w:szCs w:val="22"/>
        </w:rPr>
        <w:t xml:space="preserve">. </w:t>
      </w:r>
      <w:r w:rsidRPr="00697DBA">
        <w:rPr>
          <w:rFonts w:ascii="Arial" w:hAnsi="Arial" w:cs="Arial"/>
          <w:szCs w:val="22"/>
        </w:rPr>
        <w:t>Hence, if the gross revenue is subject to TDS rate of 10% and above, it results in blockage of working capital.</w:t>
      </w:r>
      <w:r w:rsidR="004E6109">
        <w:rPr>
          <w:rFonts w:ascii="Arial" w:hAnsi="Arial" w:cs="Arial"/>
          <w:szCs w:val="22"/>
        </w:rPr>
        <w:t xml:space="preserve"> </w:t>
      </w:r>
    </w:p>
    <w:p w:rsidR="00470D88" w:rsidRDefault="00470D88" w:rsidP="002214F2">
      <w:pPr>
        <w:spacing w:after="0" w:line="276" w:lineRule="auto"/>
        <w:ind w:left="720"/>
        <w:jc w:val="both"/>
        <w:rPr>
          <w:rFonts w:ascii="Arial" w:hAnsi="Arial" w:cs="Arial"/>
          <w:szCs w:val="22"/>
        </w:rPr>
      </w:pPr>
    </w:p>
    <w:p w:rsidR="00BC20EE" w:rsidRDefault="004E6109" w:rsidP="002214F2">
      <w:pPr>
        <w:spacing w:after="0" w:line="276" w:lineRule="auto"/>
        <w:ind w:left="720"/>
        <w:jc w:val="both"/>
        <w:rPr>
          <w:rFonts w:ascii="Arial" w:hAnsi="Arial" w:cs="Arial"/>
          <w:szCs w:val="22"/>
        </w:rPr>
      </w:pPr>
      <w:r>
        <w:rPr>
          <w:rFonts w:ascii="Arial" w:hAnsi="Arial" w:cs="Arial"/>
          <w:szCs w:val="22"/>
        </w:rPr>
        <w:t xml:space="preserve">The blockage of funds in TDS </w:t>
      </w:r>
      <w:r w:rsidR="00D43D09">
        <w:rPr>
          <w:rFonts w:ascii="Arial" w:hAnsi="Arial" w:cs="Arial"/>
          <w:szCs w:val="22"/>
        </w:rPr>
        <w:t xml:space="preserve">to be received back as refunds </w:t>
      </w:r>
      <w:r w:rsidR="00D919DA">
        <w:rPr>
          <w:rFonts w:ascii="Arial" w:hAnsi="Arial" w:cs="Arial"/>
          <w:szCs w:val="22"/>
        </w:rPr>
        <w:t xml:space="preserve">results in loss of business opportunities for the industry and </w:t>
      </w:r>
      <w:r w:rsidR="00B972CD">
        <w:rPr>
          <w:rFonts w:ascii="Arial" w:hAnsi="Arial" w:cs="Arial"/>
          <w:szCs w:val="22"/>
        </w:rPr>
        <w:t>increase in borrowing cost. Although the refund is received with 6% p</w:t>
      </w:r>
      <w:r w:rsidR="0008312C">
        <w:rPr>
          <w:rFonts w:ascii="Arial" w:hAnsi="Arial" w:cs="Arial"/>
          <w:szCs w:val="22"/>
        </w:rPr>
        <w:t xml:space="preserve">er annum interest, </w:t>
      </w:r>
      <w:r w:rsidR="004B1534">
        <w:rPr>
          <w:rFonts w:ascii="Arial" w:hAnsi="Arial" w:cs="Arial"/>
          <w:szCs w:val="22"/>
        </w:rPr>
        <w:t xml:space="preserve">the blockage of funds with Government neither helps the Government (since it has to bear interest cost) nor helps the industry </w:t>
      </w:r>
      <w:r w:rsidR="00430F1B">
        <w:rPr>
          <w:rFonts w:ascii="Arial" w:hAnsi="Arial" w:cs="Arial"/>
          <w:szCs w:val="22"/>
        </w:rPr>
        <w:t>who can make better alternative use of the funds.</w:t>
      </w:r>
    </w:p>
    <w:p w:rsidR="0041145D" w:rsidRDefault="0041145D" w:rsidP="002214F2">
      <w:pPr>
        <w:spacing w:after="0" w:line="276" w:lineRule="auto"/>
        <w:ind w:left="720"/>
        <w:jc w:val="both"/>
        <w:rPr>
          <w:rFonts w:ascii="Arial" w:hAnsi="Arial" w:cs="Arial"/>
          <w:szCs w:val="22"/>
        </w:rPr>
      </w:pPr>
    </w:p>
    <w:p w:rsidR="0041145D" w:rsidRDefault="0041145D" w:rsidP="002214F2">
      <w:pPr>
        <w:spacing w:after="0" w:line="276" w:lineRule="auto"/>
        <w:ind w:left="720"/>
        <w:jc w:val="both"/>
        <w:rPr>
          <w:rFonts w:ascii="Arial" w:hAnsi="Arial" w:cs="Arial"/>
          <w:szCs w:val="22"/>
        </w:rPr>
      </w:pPr>
      <w:r>
        <w:rPr>
          <w:rFonts w:ascii="Arial" w:hAnsi="Arial" w:cs="Arial"/>
          <w:szCs w:val="22"/>
        </w:rPr>
        <w:t xml:space="preserve">Illustratively, in case of professional services, the TDS rate of 10% as compared to TDS rate of 2% for fees for technical services assumes higher profit margin </w:t>
      </w:r>
      <w:r w:rsidR="007E5D31">
        <w:rPr>
          <w:rFonts w:ascii="Arial" w:hAnsi="Arial" w:cs="Arial"/>
          <w:szCs w:val="22"/>
        </w:rPr>
        <w:t xml:space="preserve">(30% to 40%) </w:t>
      </w:r>
      <w:r>
        <w:rPr>
          <w:rFonts w:ascii="Arial" w:hAnsi="Arial" w:cs="Arial"/>
          <w:szCs w:val="22"/>
        </w:rPr>
        <w:t xml:space="preserve">for professional services as compared to technical services.  </w:t>
      </w:r>
    </w:p>
    <w:p w:rsidR="0041145D" w:rsidRDefault="0041145D" w:rsidP="00DA6529">
      <w:pPr>
        <w:spacing w:after="0" w:line="276" w:lineRule="auto"/>
        <w:ind w:left="720"/>
        <w:rPr>
          <w:rFonts w:ascii="Arial" w:hAnsi="Arial" w:cs="Arial"/>
          <w:szCs w:val="22"/>
        </w:rPr>
      </w:pPr>
    </w:p>
    <w:p w:rsidR="00DA6529" w:rsidRPr="00DA6529" w:rsidRDefault="00DA6529" w:rsidP="00DA6529">
      <w:pPr>
        <w:pStyle w:val="ListParagraph"/>
        <w:numPr>
          <w:ilvl w:val="0"/>
          <w:numId w:val="6"/>
        </w:numPr>
        <w:spacing w:after="0" w:line="276" w:lineRule="auto"/>
        <w:jc w:val="both"/>
        <w:rPr>
          <w:rFonts w:ascii="Arial" w:hAnsi="Arial" w:cs="Arial"/>
          <w:b/>
          <w:bCs/>
          <w:szCs w:val="22"/>
        </w:rPr>
      </w:pPr>
      <w:r w:rsidRPr="00DA6529">
        <w:rPr>
          <w:rFonts w:ascii="Arial" w:hAnsi="Arial" w:cs="Arial"/>
          <w:b/>
          <w:bCs/>
          <w:szCs w:val="22"/>
        </w:rPr>
        <w:t>Additional cost for the government</w:t>
      </w:r>
    </w:p>
    <w:p w:rsidR="00DA6529" w:rsidRDefault="00DA6529" w:rsidP="00DA6529">
      <w:pPr>
        <w:pStyle w:val="ListParagraph"/>
        <w:spacing w:after="0" w:line="276" w:lineRule="auto"/>
        <w:jc w:val="both"/>
        <w:rPr>
          <w:rFonts w:ascii="Arial" w:hAnsi="Arial" w:cs="Arial"/>
          <w:szCs w:val="22"/>
        </w:rPr>
      </w:pPr>
    </w:p>
    <w:p w:rsidR="00706248" w:rsidRDefault="00706248" w:rsidP="00DA6529">
      <w:pPr>
        <w:pStyle w:val="ListParagraph"/>
        <w:spacing w:after="0" w:line="276" w:lineRule="auto"/>
        <w:jc w:val="both"/>
        <w:rPr>
          <w:rFonts w:ascii="Arial" w:hAnsi="Arial" w:cs="Arial"/>
          <w:szCs w:val="22"/>
        </w:rPr>
      </w:pPr>
      <w:r w:rsidRPr="00DA6529">
        <w:rPr>
          <w:rFonts w:ascii="Arial" w:hAnsi="Arial" w:cs="Arial"/>
          <w:szCs w:val="22"/>
        </w:rPr>
        <w:t xml:space="preserve">There is also </w:t>
      </w:r>
      <w:r w:rsidR="00AA5A7E">
        <w:rPr>
          <w:rFonts w:ascii="Arial" w:hAnsi="Arial" w:cs="Arial"/>
          <w:szCs w:val="22"/>
        </w:rPr>
        <w:t xml:space="preserve">avoidable </w:t>
      </w:r>
      <w:r w:rsidRPr="00DA6529">
        <w:rPr>
          <w:rFonts w:ascii="Arial" w:hAnsi="Arial" w:cs="Arial"/>
          <w:szCs w:val="22"/>
        </w:rPr>
        <w:t>cost involved for the Government in terms of interest u/s. 244A of 6% p.a.</w:t>
      </w:r>
    </w:p>
    <w:p w:rsidR="00E9383B" w:rsidRDefault="00E9383B" w:rsidP="00DA6529">
      <w:pPr>
        <w:pStyle w:val="ListParagraph"/>
        <w:spacing w:after="0" w:line="276" w:lineRule="auto"/>
        <w:jc w:val="both"/>
        <w:rPr>
          <w:rFonts w:ascii="Arial" w:hAnsi="Arial" w:cs="Arial"/>
          <w:szCs w:val="22"/>
        </w:rPr>
      </w:pPr>
    </w:p>
    <w:p w:rsidR="00C35732" w:rsidRDefault="00C35732" w:rsidP="00DA6529">
      <w:pPr>
        <w:pStyle w:val="ListParagraph"/>
        <w:spacing w:after="0" w:line="276" w:lineRule="auto"/>
        <w:jc w:val="both"/>
        <w:rPr>
          <w:rFonts w:ascii="Arial" w:hAnsi="Arial" w:cs="Arial"/>
          <w:szCs w:val="22"/>
        </w:rPr>
      </w:pPr>
      <w:r>
        <w:rPr>
          <w:rFonts w:ascii="Arial" w:hAnsi="Arial" w:cs="Arial"/>
          <w:szCs w:val="22"/>
        </w:rPr>
        <w:t xml:space="preserve">The </w:t>
      </w:r>
      <w:r w:rsidR="00693183">
        <w:rPr>
          <w:rFonts w:ascii="Arial" w:hAnsi="Arial" w:cs="Arial"/>
          <w:szCs w:val="22"/>
        </w:rPr>
        <w:t xml:space="preserve">Parliamentary Standing Committee on Finance noted that </w:t>
      </w:r>
      <w:r w:rsidR="00DA43D5">
        <w:rPr>
          <w:rFonts w:ascii="Arial" w:hAnsi="Arial" w:cs="Arial"/>
          <w:szCs w:val="22"/>
        </w:rPr>
        <w:t xml:space="preserve">for the year 2019-20, direct tax refunds of more than Rs 1.7 lakh crores were given during the year and </w:t>
      </w:r>
      <w:r w:rsidR="00375F27">
        <w:rPr>
          <w:rFonts w:ascii="Arial" w:hAnsi="Arial" w:cs="Arial"/>
          <w:szCs w:val="22"/>
        </w:rPr>
        <w:t>the amount of interest burden on the same was about Rs 23,000 crores.</w:t>
      </w:r>
    </w:p>
    <w:p w:rsidR="00693183" w:rsidRDefault="00693183" w:rsidP="00DA6529">
      <w:pPr>
        <w:pStyle w:val="ListParagraph"/>
        <w:spacing w:after="0" w:line="276" w:lineRule="auto"/>
        <w:jc w:val="both"/>
        <w:rPr>
          <w:rFonts w:ascii="Arial" w:hAnsi="Arial" w:cs="Arial"/>
          <w:szCs w:val="22"/>
        </w:rPr>
      </w:pPr>
    </w:p>
    <w:p w:rsidR="000C611A" w:rsidRDefault="00C74529" w:rsidP="00925AE9">
      <w:pPr>
        <w:pStyle w:val="ListParagraph"/>
        <w:spacing w:after="0" w:line="276" w:lineRule="auto"/>
        <w:jc w:val="both"/>
        <w:rPr>
          <w:rFonts w:ascii="Arial" w:hAnsi="Arial" w:cs="Arial"/>
          <w:szCs w:val="22"/>
        </w:rPr>
      </w:pPr>
      <w:r>
        <w:rPr>
          <w:rFonts w:ascii="Arial" w:hAnsi="Arial" w:cs="Arial"/>
          <w:szCs w:val="22"/>
        </w:rPr>
        <w:t xml:space="preserve">As per the government’s own estimates, </w:t>
      </w:r>
      <w:r w:rsidRPr="00C74529">
        <w:rPr>
          <w:rFonts w:ascii="Arial" w:hAnsi="Arial" w:cs="Arial"/>
          <w:szCs w:val="22"/>
        </w:rPr>
        <w:t>46% of total direct tax collection is from tax deducted at source</w:t>
      </w:r>
      <w:r w:rsidR="00C0744D">
        <w:rPr>
          <w:rFonts w:ascii="Arial" w:hAnsi="Arial" w:cs="Arial"/>
          <w:szCs w:val="22"/>
        </w:rPr>
        <w:t xml:space="preserve">. </w:t>
      </w:r>
      <w:r w:rsidR="002E3035">
        <w:rPr>
          <w:rFonts w:ascii="Arial" w:hAnsi="Arial" w:cs="Arial"/>
          <w:szCs w:val="22"/>
        </w:rPr>
        <w:t xml:space="preserve">For the year 2021-22, the </w:t>
      </w:r>
      <w:r w:rsidR="00F600BC">
        <w:rPr>
          <w:rFonts w:ascii="Arial" w:hAnsi="Arial" w:cs="Arial"/>
          <w:szCs w:val="22"/>
        </w:rPr>
        <w:t xml:space="preserve">total tax collection </w:t>
      </w:r>
      <w:r w:rsidR="009E5142">
        <w:rPr>
          <w:rFonts w:ascii="Arial" w:hAnsi="Arial" w:cs="Arial"/>
          <w:szCs w:val="22"/>
        </w:rPr>
        <w:t xml:space="preserve">from corporate </w:t>
      </w:r>
      <w:r w:rsidR="009E5142">
        <w:rPr>
          <w:rFonts w:ascii="Arial" w:hAnsi="Arial" w:cs="Arial"/>
          <w:szCs w:val="22"/>
        </w:rPr>
        <w:lastRenderedPageBreak/>
        <w:t xml:space="preserve">income tax and personal income tax was </w:t>
      </w:r>
      <w:r w:rsidR="00363C74">
        <w:rPr>
          <w:rFonts w:ascii="Arial" w:hAnsi="Arial" w:cs="Arial"/>
          <w:szCs w:val="22"/>
        </w:rPr>
        <w:t xml:space="preserve">about </w:t>
      </w:r>
      <w:r w:rsidR="009E5142">
        <w:rPr>
          <w:rFonts w:ascii="Arial" w:hAnsi="Arial" w:cs="Arial"/>
          <w:szCs w:val="22"/>
        </w:rPr>
        <w:t xml:space="preserve">Rs </w:t>
      </w:r>
      <w:r w:rsidR="002E5F42">
        <w:rPr>
          <w:rFonts w:ascii="Arial" w:hAnsi="Arial" w:cs="Arial"/>
          <w:szCs w:val="22"/>
        </w:rPr>
        <w:t>14</w:t>
      </w:r>
      <w:r w:rsidR="00A93D8B">
        <w:rPr>
          <w:rFonts w:ascii="Arial" w:hAnsi="Arial" w:cs="Arial"/>
          <w:szCs w:val="22"/>
        </w:rPr>
        <w:t xml:space="preserve"> lakh crores</w:t>
      </w:r>
      <w:r w:rsidR="00925AE9">
        <w:rPr>
          <w:rStyle w:val="FootnoteReference"/>
          <w:rFonts w:ascii="Arial" w:hAnsi="Arial" w:cs="Arial"/>
          <w:szCs w:val="22"/>
        </w:rPr>
        <w:footnoteReference w:id="3"/>
      </w:r>
      <w:r w:rsidR="00363C74">
        <w:rPr>
          <w:rFonts w:ascii="Arial" w:hAnsi="Arial" w:cs="Arial"/>
          <w:szCs w:val="22"/>
        </w:rPr>
        <w:t xml:space="preserve"> out of which </w:t>
      </w:r>
      <w:r w:rsidR="002E3035">
        <w:rPr>
          <w:rFonts w:ascii="Arial" w:hAnsi="Arial" w:cs="Arial"/>
          <w:szCs w:val="22"/>
        </w:rPr>
        <w:t xml:space="preserve">refunds were about Rs </w:t>
      </w:r>
      <w:r w:rsidR="005B4FC1">
        <w:rPr>
          <w:rFonts w:ascii="Arial" w:hAnsi="Arial" w:cs="Arial"/>
          <w:szCs w:val="22"/>
        </w:rPr>
        <w:t>1.9 lakh crores</w:t>
      </w:r>
      <w:r w:rsidR="00DE4A17">
        <w:rPr>
          <w:rFonts w:ascii="Arial" w:hAnsi="Arial" w:cs="Arial"/>
          <w:szCs w:val="22"/>
        </w:rPr>
        <w:t xml:space="preserve"> </w:t>
      </w:r>
      <w:r w:rsidR="0032232E">
        <w:rPr>
          <w:rFonts w:ascii="Arial" w:hAnsi="Arial" w:cs="Arial"/>
          <w:szCs w:val="22"/>
        </w:rPr>
        <w:t>(i.e</w:t>
      </w:r>
      <w:r w:rsidR="00C93FF1">
        <w:rPr>
          <w:rFonts w:ascii="Arial" w:hAnsi="Arial" w:cs="Arial"/>
          <w:szCs w:val="22"/>
        </w:rPr>
        <w:t>.,</w:t>
      </w:r>
      <w:r w:rsidR="0032232E">
        <w:rPr>
          <w:rFonts w:ascii="Arial" w:hAnsi="Arial" w:cs="Arial"/>
          <w:szCs w:val="22"/>
        </w:rPr>
        <w:t xml:space="preserve"> 13.5% of total collections)</w:t>
      </w:r>
      <w:r w:rsidR="005B4FC1">
        <w:rPr>
          <w:rFonts w:ascii="Arial" w:hAnsi="Arial" w:cs="Arial"/>
          <w:szCs w:val="22"/>
        </w:rPr>
        <w:t xml:space="preserve">. </w:t>
      </w:r>
      <w:r w:rsidR="00925AE9">
        <w:rPr>
          <w:rFonts w:ascii="Arial" w:hAnsi="Arial" w:cs="Arial"/>
          <w:szCs w:val="22"/>
        </w:rPr>
        <w:t xml:space="preserve"> </w:t>
      </w:r>
      <w:r w:rsidR="00FF0021">
        <w:rPr>
          <w:rFonts w:ascii="Arial" w:hAnsi="Arial" w:cs="Arial"/>
          <w:szCs w:val="22"/>
        </w:rPr>
        <w:t xml:space="preserve">Given this, the </w:t>
      </w:r>
      <w:r w:rsidR="005B4FC1">
        <w:rPr>
          <w:rFonts w:ascii="Arial" w:hAnsi="Arial" w:cs="Arial"/>
          <w:szCs w:val="22"/>
        </w:rPr>
        <w:t>cost of refunds would be even higher</w:t>
      </w:r>
      <w:r w:rsidR="00D42ECC">
        <w:rPr>
          <w:rFonts w:ascii="Arial" w:hAnsi="Arial" w:cs="Arial"/>
          <w:szCs w:val="22"/>
        </w:rPr>
        <w:t xml:space="preserve">. </w:t>
      </w:r>
      <w:r w:rsidR="001116B2">
        <w:rPr>
          <w:rFonts w:ascii="Arial" w:hAnsi="Arial" w:cs="Arial"/>
          <w:szCs w:val="22"/>
        </w:rPr>
        <w:t xml:space="preserve">With introduction of </w:t>
      </w:r>
      <w:r w:rsidR="00555B5F">
        <w:rPr>
          <w:rFonts w:ascii="Arial" w:hAnsi="Arial" w:cs="Arial"/>
          <w:szCs w:val="22"/>
        </w:rPr>
        <w:t xml:space="preserve">one or two new TDS sections every year, this trend </w:t>
      </w:r>
      <w:r w:rsidR="00C6517F">
        <w:rPr>
          <w:rFonts w:ascii="Arial" w:hAnsi="Arial" w:cs="Arial"/>
          <w:szCs w:val="22"/>
        </w:rPr>
        <w:t>will only increase further.</w:t>
      </w:r>
      <w:r w:rsidR="00D5214F">
        <w:rPr>
          <w:rFonts w:ascii="Arial" w:hAnsi="Arial" w:cs="Arial"/>
          <w:szCs w:val="22"/>
        </w:rPr>
        <w:t xml:space="preserve"> </w:t>
      </w:r>
    </w:p>
    <w:p w:rsidR="000C611A" w:rsidRDefault="000C611A" w:rsidP="00925AE9">
      <w:pPr>
        <w:pStyle w:val="ListParagraph"/>
        <w:spacing w:after="0" w:line="276" w:lineRule="auto"/>
        <w:jc w:val="both"/>
        <w:rPr>
          <w:rFonts w:ascii="Arial" w:hAnsi="Arial" w:cs="Arial"/>
          <w:szCs w:val="22"/>
        </w:rPr>
      </w:pPr>
    </w:p>
    <w:p w:rsidR="00C74529" w:rsidRDefault="00D5214F" w:rsidP="00925AE9">
      <w:pPr>
        <w:pStyle w:val="ListParagraph"/>
        <w:spacing w:after="0" w:line="276" w:lineRule="auto"/>
        <w:jc w:val="both"/>
        <w:rPr>
          <w:rFonts w:ascii="Arial" w:hAnsi="Arial" w:cs="Arial"/>
          <w:szCs w:val="22"/>
        </w:rPr>
      </w:pPr>
      <w:r>
        <w:rPr>
          <w:rFonts w:ascii="Arial" w:hAnsi="Arial" w:cs="Arial"/>
          <w:szCs w:val="22"/>
        </w:rPr>
        <w:t xml:space="preserve">This is corroborated by </w:t>
      </w:r>
      <w:r w:rsidR="00FC09DA">
        <w:rPr>
          <w:rFonts w:ascii="Arial" w:hAnsi="Arial" w:cs="Arial"/>
          <w:szCs w:val="22"/>
        </w:rPr>
        <w:t xml:space="preserve">recent </w:t>
      </w:r>
      <w:r w:rsidR="000C611A">
        <w:rPr>
          <w:rFonts w:ascii="Arial" w:hAnsi="Arial" w:cs="Arial"/>
          <w:szCs w:val="22"/>
        </w:rPr>
        <w:t xml:space="preserve">tweet by Hon’ble Finance Minister </w:t>
      </w:r>
      <w:r w:rsidR="0037546C">
        <w:rPr>
          <w:rFonts w:ascii="Arial" w:hAnsi="Arial" w:cs="Arial"/>
          <w:szCs w:val="22"/>
        </w:rPr>
        <w:t>on 12 December 2022 that t</w:t>
      </w:r>
      <w:r w:rsidR="00FC09DA" w:rsidRPr="00FC09DA">
        <w:rPr>
          <w:rFonts w:ascii="Arial" w:hAnsi="Arial" w:cs="Arial"/>
          <w:szCs w:val="22"/>
        </w:rPr>
        <w:t>he income tax department has issued income tax refunds amounting to about Rs 2.15 lakh crore between April 1, 2022 and November 30</w:t>
      </w:r>
      <w:proofErr w:type="gramStart"/>
      <w:r w:rsidR="00FC09DA" w:rsidRPr="00FC09DA">
        <w:rPr>
          <w:rFonts w:ascii="Arial" w:hAnsi="Arial" w:cs="Arial"/>
          <w:szCs w:val="22"/>
        </w:rPr>
        <w:t>,2022</w:t>
      </w:r>
      <w:proofErr w:type="gramEnd"/>
      <w:r w:rsidR="00FC09DA" w:rsidRPr="00FC09DA">
        <w:rPr>
          <w:rFonts w:ascii="Arial" w:hAnsi="Arial" w:cs="Arial"/>
          <w:szCs w:val="22"/>
        </w:rPr>
        <w:t xml:space="preserve">. This is about 66.92% higher than the refunds during the same period in preceding year. </w:t>
      </w:r>
      <w:r w:rsidR="007E1210">
        <w:rPr>
          <w:rFonts w:ascii="Arial" w:hAnsi="Arial" w:cs="Arial"/>
          <w:szCs w:val="22"/>
        </w:rPr>
        <w:t>The net direct tax collections (</w:t>
      </w:r>
      <w:proofErr w:type="spellStart"/>
      <w:r w:rsidR="007E1210">
        <w:rPr>
          <w:rFonts w:ascii="Arial" w:hAnsi="Arial" w:cs="Arial"/>
          <w:szCs w:val="22"/>
        </w:rPr>
        <w:t>i.e</w:t>
      </w:r>
      <w:proofErr w:type="spellEnd"/>
      <w:r w:rsidR="007E1210">
        <w:rPr>
          <w:rFonts w:ascii="Arial" w:hAnsi="Arial" w:cs="Arial"/>
          <w:szCs w:val="22"/>
        </w:rPr>
        <w:t xml:space="preserve"> net of refunds) </w:t>
      </w:r>
      <w:r w:rsidR="00C94390">
        <w:rPr>
          <w:rFonts w:ascii="Arial" w:hAnsi="Arial" w:cs="Arial"/>
          <w:szCs w:val="22"/>
        </w:rPr>
        <w:t>was Rs. 8.77 lakh crore till 30 Nov 2022.</w:t>
      </w:r>
      <w:r w:rsidR="00FC09DA" w:rsidRPr="00FC09DA">
        <w:rPr>
          <w:rFonts w:ascii="Arial" w:hAnsi="Arial" w:cs="Arial"/>
          <w:szCs w:val="22"/>
        </w:rPr>
        <w:t xml:space="preserve"> The higher refunds </w:t>
      </w:r>
      <w:r w:rsidR="00C94390">
        <w:rPr>
          <w:rFonts w:ascii="Arial" w:hAnsi="Arial" w:cs="Arial"/>
          <w:szCs w:val="22"/>
        </w:rPr>
        <w:t xml:space="preserve">(almost </w:t>
      </w:r>
      <w:r w:rsidR="00541653">
        <w:rPr>
          <w:rFonts w:ascii="Arial" w:hAnsi="Arial" w:cs="Arial"/>
          <w:szCs w:val="22"/>
        </w:rPr>
        <w:t xml:space="preserve">20% of gross tax collections) </w:t>
      </w:r>
      <w:r w:rsidR="00FC09DA" w:rsidRPr="00FC09DA">
        <w:rPr>
          <w:rFonts w:ascii="Arial" w:hAnsi="Arial" w:cs="Arial"/>
          <w:szCs w:val="22"/>
        </w:rPr>
        <w:t>are again indicative of the higher interest burden for the government and higher blockage of working capital for the businesses due to high TDS rates</w:t>
      </w:r>
    </w:p>
    <w:p w:rsidR="001A4B5D" w:rsidRDefault="001A4B5D" w:rsidP="001A4B5D">
      <w:pPr>
        <w:pStyle w:val="ListParagraph"/>
        <w:spacing w:after="0" w:line="276" w:lineRule="auto"/>
        <w:jc w:val="both"/>
        <w:rPr>
          <w:rFonts w:ascii="Arial" w:hAnsi="Arial" w:cs="Arial"/>
          <w:b/>
          <w:bCs/>
          <w:szCs w:val="22"/>
        </w:rPr>
      </w:pPr>
    </w:p>
    <w:p w:rsidR="008D60F8" w:rsidRPr="008D60F8" w:rsidRDefault="001E62DB" w:rsidP="008D60F8">
      <w:pPr>
        <w:pStyle w:val="ListParagraph"/>
        <w:numPr>
          <w:ilvl w:val="0"/>
          <w:numId w:val="6"/>
        </w:numPr>
        <w:spacing w:after="0" w:line="276" w:lineRule="auto"/>
        <w:jc w:val="both"/>
        <w:rPr>
          <w:rFonts w:ascii="Arial" w:hAnsi="Arial" w:cs="Arial"/>
          <w:b/>
          <w:bCs/>
          <w:szCs w:val="22"/>
        </w:rPr>
      </w:pPr>
      <w:r>
        <w:rPr>
          <w:rFonts w:ascii="Arial" w:hAnsi="Arial" w:cs="Arial"/>
          <w:b/>
          <w:bCs/>
          <w:szCs w:val="22"/>
        </w:rPr>
        <w:t xml:space="preserve">Objective of </w:t>
      </w:r>
      <w:r w:rsidR="008D60F8" w:rsidRPr="008D60F8">
        <w:rPr>
          <w:rFonts w:ascii="Arial" w:hAnsi="Arial" w:cs="Arial"/>
          <w:b/>
          <w:bCs/>
          <w:szCs w:val="22"/>
        </w:rPr>
        <w:t>collecting information</w:t>
      </w:r>
      <w:r>
        <w:rPr>
          <w:rFonts w:ascii="Arial" w:hAnsi="Arial" w:cs="Arial"/>
          <w:b/>
          <w:bCs/>
          <w:szCs w:val="22"/>
        </w:rPr>
        <w:t xml:space="preserve"> is fulfilled</w:t>
      </w:r>
      <w:r w:rsidR="00C6517F">
        <w:rPr>
          <w:rFonts w:ascii="Arial" w:hAnsi="Arial" w:cs="Arial"/>
          <w:b/>
          <w:bCs/>
          <w:szCs w:val="22"/>
        </w:rPr>
        <w:t xml:space="preserve"> with lower TDS</w:t>
      </w:r>
    </w:p>
    <w:p w:rsidR="008D60F8" w:rsidRDefault="008D60F8" w:rsidP="008D60F8">
      <w:pPr>
        <w:pStyle w:val="ListParagraph"/>
        <w:spacing w:after="0" w:line="276" w:lineRule="auto"/>
        <w:jc w:val="both"/>
        <w:rPr>
          <w:rFonts w:ascii="Arial" w:hAnsi="Arial" w:cs="Arial"/>
          <w:szCs w:val="22"/>
        </w:rPr>
      </w:pPr>
    </w:p>
    <w:p w:rsidR="005B0809" w:rsidRDefault="00E92BEF" w:rsidP="008D60F8">
      <w:pPr>
        <w:pStyle w:val="ListParagraph"/>
        <w:spacing w:after="0" w:line="276" w:lineRule="auto"/>
        <w:jc w:val="both"/>
        <w:rPr>
          <w:rFonts w:ascii="Arial" w:hAnsi="Arial" w:cs="Arial"/>
          <w:szCs w:val="22"/>
        </w:rPr>
      </w:pPr>
      <w:r>
        <w:rPr>
          <w:rFonts w:ascii="Arial" w:hAnsi="Arial" w:cs="Arial"/>
          <w:szCs w:val="22"/>
        </w:rPr>
        <w:t>A</w:t>
      </w:r>
      <w:r w:rsidR="00697DBA" w:rsidRPr="008D60F8">
        <w:rPr>
          <w:rFonts w:ascii="Arial" w:hAnsi="Arial" w:cs="Arial"/>
          <w:szCs w:val="22"/>
        </w:rPr>
        <w:t xml:space="preserve">ll </w:t>
      </w:r>
      <w:r>
        <w:rPr>
          <w:rFonts w:ascii="Arial" w:hAnsi="Arial" w:cs="Arial"/>
          <w:szCs w:val="22"/>
        </w:rPr>
        <w:t xml:space="preserve">the </w:t>
      </w:r>
      <w:r w:rsidR="00697DBA" w:rsidRPr="008D60F8">
        <w:rPr>
          <w:rFonts w:ascii="Arial" w:hAnsi="Arial" w:cs="Arial"/>
          <w:szCs w:val="22"/>
        </w:rPr>
        <w:t xml:space="preserve">TDS information </w:t>
      </w:r>
      <w:r>
        <w:rPr>
          <w:rFonts w:ascii="Arial" w:hAnsi="Arial" w:cs="Arial"/>
          <w:szCs w:val="22"/>
        </w:rPr>
        <w:t xml:space="preserve">is </w:t>
      </w:r>
      <w:r w:rsidR="00697DBA" w:rsidRPr="008D60F8">
        <w:rPr>
          <w:rFonts w:ascii="Arial" w:hAnsi="Arial" w:cs="Arial"/>
          <w:szCs w:val="22"/>
        </w:rPr>
        <w:t xml:space="preserve">getting captured in Form 26AS/AIS of the </w:t>
      </w:r>
      <w:proofErr w:type="spellStart"/>
      <w:r w:rsidR="00697DBA" w:rsidRPr="008D60F8">
        <w:rPr>
          <w:rFonts w:ascii="Arial" w:hAnsi="Arial" w:cs="Arial"/>
          <w:szCs w:val="22"/>
        </w:rPr>
        <w:t>deductees</w:t>
      </w:r>
      <w:proofErr w:type="spellEnd"/>
      <w:r>
        <w:rPr>
          <w:rFonts w:ascii="Arial" w:hAnsi="Arial" w:cs="Arial"/>
          <w:szCs w:val="22"/>
        </w:rPr>
        <w:t xml:space="preserve">.  Thus, </w:t>
      </w:r>
      <w:r w:rsidR="00697DBA" w:rsidRPr="008D60F8">
        <w:rPr>
          <w:rFonts w:ascii="Arial" w:hAnsi="Arial" w:cs="Arial"/>
          <w:szCs w:val="22"/>
        </w:rPr>
        <w:t xml:space="preserve">it is easier for the Government to collect the balance taxes </w:t>
      </w:r>
      <w:r w:rsidR="001E62DB">
        <w:rPr>
          <w:rFonts w:ascii="Arial" w:hAnsi="Arial" w:cs="Arial"/>
          <w:szCs w:val="22"/>
        </w:rPr>
        <w:t>(after TDS</w:t>
      </w:r>
      <w:r w:rsidR="00783AD9">
        <w:rPr>
          <w:rFonts w:ascii="Arial" w:hAnsi="Arial" w:cs="Arial"/>
          <w:szCs w:val="22"/>
        </w:rPr>
        <w:t>/TCS</w:t>
      </w:r>
      <w:r w:rsidR="001E62DB">
        <w:rPr>
          <w:rFonts w:ascii="Arial" w:hAnsi="Arial" w:cs="Arial"/>
          <w:szCs w:val="22"/>
        </w:rPr>
        <w:t xml:space="preserve">) </w:t>
      </w:r>
      <w:r w:rsidR="00697DBA" w:rsidRPr="008D60F8">
        <w:rPr>
          <w:rFonts w:ascii="Arial" w:hAnsi="Arial" w:cs="Arial"/>
          <w:szCs w:val="22"/>
        </w:rPr>
        <w:t>from the resident taxpayers</w:t>
      </w:r>
      <w:r w:rsidR="001C02DF">
        <w:rPr>
          <w:rFonts w:ascii="Arial" w:hAnsi="Arial" w:cs="Arial"/>
          <w:szCs w:val="22"/>
        </w:rPr>
        <w:t xml:space="preserve"> in the form of advance tax/ self assessment tax payable by them</w:t>
      </w:r>
      <w:r w:rsidR="00697DBA" w:rsidRPr="008D60F8">
        <w:rPr>
          <w:rFonts w:ascii="Arial" w:hAnsi="Arial" w:cs="Arial"/>
          <w:szCs w:val="22"/>
        </w:rPr>
        <w:t>.</w:t>
      </w:r>
    </w:p>
    <w:p w:rsidR="001A4C7D" w:rsidRPr="001A4C7D" w:rsidRDefault="001A4C7D" w:rsidP="001A4C7D">
      <w:pPr>
        <w:pStyle w:val="ListParagraph"/>
        <w:rPr>
          <w:rFonts w:ascii="Arial" w:hAnsi="Arial" w:cs="Arial"/>
          <w:szCs w:val="22"/>
        </w:rPr>
      </w:pPr>
    </w:p>
    <w:p w:rsidR="00806FD7" w:rsidRPr="00806FD7" w:rsidRDefault="00806FD7" w:rsidP="00F07A1B">
      <w:pPr>
        <w:spacing w:after="0" w:line="276" w:lineRule="auto"/>
        <w:jc w:val="both"/>
        <w:rPr>
          <w:rFonts w:ascii="Arial" w:hAnsi="Arial" w:cs="Arial"/>
          <w:b/>
          <w:bCs/>
          <w:szCs w:val="22"/>
          <w:u w:val="single"/>
        </w:rPr>
      </w:pPr>
      <w:r w:rsidRPr="00806FD7">
        <w:rPr>
          <w:rFonts w:ascii="Arial" w:hAnsi="Arial" w:cs="Arial"/>
          <w:b/>
          <w:bCs/>
          <w:szCs w:val="22"/>
          <w:u w:val="single"/>
        </w:rPr>
        <w:t>Suggestions</w:t>
      </w:r>
    </w:p>
    <w:p w:rsidR="00806FD7" w:rsidRDefault="00806FD7" w:rsidP="00F07A1B">
      <w:pPr>
        <w:spacing w:after="0" w:line="276" w:lineRule="auto"/>
        <w:jc w:val="both"/>
        <w:rPr>
          <w:rFonts w:ascii="Arial" w:hAnsi="Arial" w:cs="Arial"/>
          <w:szCs w:val="22"/>
        </w:rPr>
      </w:pPr>
    </w:p>
    <w:p w:rsidR="001C3880" w:rsidRDefault="001C3880" w:rsidP="001C3880">
      <w:pPr>
        <w:pStyle w:val="ListParagraph"/>
        <w:spacing w:after="0" w:line="276" w:lineRule="auto"/>
        <w:ind w:left="0"/>
        <w:jc w:val="both"/>
        <w:rPr>
          <w:rFonts w:ascii="Arial" w:hAnsi="Arial" w:cs="Arial"/>
          <w:b/>
          <w:bCs/>
          <w:szCs w:val="22"/>
        </w:rPr>
      </w:pPr>
      <w:r w:rsidRPr="001C3880">
        <w:rPr>
          <w:rFonts w:ascii="Arial" w:hAnsi="Arial" w:cs="Arial"/>
          <w:b/>
          <w:bCs/>
          <w:szCs w:val="22"/>
        </w:rPr>
        <w:t>Given the above complexities that are also a fertile ground for litigation, the Government may consider laying down a roadmap for reducing the disparity in TDS rates</w:t>
      </w:r>
      <w:r w:rsidR="002C6EB7">
        <w:rPr>
          <w:rFonts w:ascii="Arial" w:hAnsi="Arial" w:cs="Arial"/>
          <w:b/>
          <w:bCs/>
          <w:szCs w:val="22"/>
        </w:rPr>
        <w:t>/ do away with some of the TDS provisions (where information about the transaction is available through Form 26AS/ AIS/ GST returns)</w:t>
      </w:r>
      <w:r w:rsidR="00783AD9">
        <w:rPr>
          <w:rFonts w:ascii="Arial" w:hAnsi="Arial" w:cs="Arial"/>
          <w:b/>
          <w:bCs/>
          <w:szCs w:val="22"/>
        </w:rPr>
        <w:t xml:space="preserve"> and provide for a simple </w:t>
      </w:r>
      <w:r w:rsidR="0050653C">
        <w:rPr>
          <w:rFonts w:ascii="Arial" w:hAnsi="Arial" w:cs="Arial"/>
          <w:b/>
          <w:bCs/>
          <w:szCs w:val="22"/>
        </w:rPr>
        <w:t>TDS framework</w:t>
      </w:r>
      <w:r w:rsidR="006B69D2">
        <w:rPr>
          <w:rFonts w:ascii="Arial" w:hAnsi="Arial" w:cs="Arial"/>
          <w:b/>
          <w:bCs/>
          <w:szCs w:val="22"/>
        </w:rPr>
        <w:t xml:space="preserve"> </w:t>
      </w:r>
      <w:r w:rsidR="00013478">
        <w:rPr>
          <w:rFonts w:ascii="Arial" w:hAnsi="Arial" w:cs="Arial"/>
          <w:b/>
          <w:bCs/>
          <w:szCs w:val="22"/>
        </w:rPr>
        <w:t>for domestic transactions</w:t>
      </w:r>
      <w:r w:rsidRPr="001C3880">
        <w:rPr>
          <w:rFonts w:ascii="Arial" w:hAnsi="Arial" w:cs="Arial"/>
          <w:b/>
          <w:bCs/>
          <w:szCs w:val="22"/>
        </w:rPr>
        <w:t>.</w:t>
      </w:r>
      <w:r>
        <w:rPr>
          <w:rFonts w:ascii="Arial" w:hAnsi="Arial" w:cs="Arial"/>
          <w:b/>
          <w:bCs/>
          <w:szCs w:val="22"/>
        </w:rPr>
        <w:t xml:space="preserve"> </w:t>
      </w:r>
    </w:p>
    <w:p w:rsidR="001C3880" w:rsidRDefault="001C3880" w:rsidP="001C3880">
      <w:pPr>
        <w:pStyle w:val="ListParagraph"/>
        <w:spacing w:after="0" w:line="276" w:lineRule="auto"/>
        <w:ind w:left="0"/>
        <w:jc w:val="both"/>
        <w:rPr>
          <w:rFonts w:ascii="Arial" w:hAnsi="Arial" w:cs="Arial"/>
          <w:b/>
          <w:bCs/>
          <w:szCs w:val="22"/>
        </w:rPr>
      </w:pPr>
    </w:p>
    <w:p w:rsidR="00B6051E" w:rsidRDefault="00652C8B" w:rsidP="00B6149C">
      <w:pPr>
        <w:pStyle w:val="ListParagraph"/>
        <w:numPr>
          <w:ilvl w:val="0"/>
          <w:numId w:val="18"/>
        </w:numPr>
        <w:spacing w:after="0" w:line="276" w:lineRule="auto"/>
        <w:ind w:left="360"/>
        <w:jc w:val="both"/>
        <w:rPr>
          <w:rFonts w:ascii="Arial" w:hAnsi="Arial" w:cs="Arial"/>
          <w:szCs w:val="22"/>
        </w:rPr>
      </w:pPr>
      <w:r w:rsidRPr="00652C8B">
        <w:rPr>
          <w:rFonts w:ascii="Arial" w:hAnsi="Arial" w:cs="Arial"/>
          <w:szCs w:val="22"/>
        </w:rPr>
        <w:t>O</w:t>
      </w:r>
      <w:r w:rsidR="00697DBA" w:rsidRPr="00652C8B">
        <w:rPr>
          <w:rFonts w:ascii="Arial" w:hAnsi="Arial" w:cs="Arial"/>
          <w:szCs w:val="22"/>
        </w:rPr>
        <w:t xml:space="preserve">nly two or three categories of </w:t>
      </w:r>
      <w:r w:rsidR="00F1176A">
        <w:rPr>
          <w:rFonts w:ascii="Arial" w:hAnsi="Arial" w:cs="Arial"/>
          <w:szCs w:val="22"/>
        </w:rPr>
        <w:t xml:space="preserve">TDS rates for </w:t>
      </w:r>
      <w:r w:rsidR="00A851A5">
        <w:rPr>
          <w:rFonts w:ascii="Arial" w:hAnsi="Arial" w:cs="Arial"/>
          <w:szCs w:val="22"/>
        </w:rPr>
        <w:t xml:space="preserve">clearly defined </w:t>
      </w:r>
      <w:r w:rsidR="00697DBA" w:rsidRPr="00652C8B">
        <w:rPr>
          <w:rFonts w:ascii="Arial" w:hAnsi="Arial" w:cs="Arial"/>
          <w:szCs w:val="22"/>
        </w:rPr>
        <w:t xml:space="preserve">payments </w:t>
      </w:r>
      <w:r w:rsidR="00112A25">
        <w:rPr>
          <w:rFonts w:ascii="Arial" w:hAnsi="Arial" w:cs="Arial"/>
          <w:szCs w:val="22"/>
        </w:rPr>
        <w:t xml:space="preserve">may be maintained, with </w:t>
      </w:r>
      <w:r w:rsidR="00697DBA" w:rsidRPr="00652C8B">
        <w:rPr>
          <w:rFonts w:ascii="Arial" w:hAnsi="Arial" w:cs="Arial"/>
          <w:szCs w:val="22"/>
        </w:rPr>
        <w:t>a small “negative list” of payments which will not be liable to TDS</w:t>
      </w:r>
      <w:r>
        <w:rPr>
          <w:rFonts w:ascii="Arial" w:hAnsi="Arial" w:cs="Arial"/>
          <w:szCs w:val="22"/>
        </w:rPr>
        <w:t>.</w:t>
      </w:r>
      <w:r w:rsidR="00F1176A">
        <w:rPr>
          <w:rFonts w:ascii="Arial" w:hAnsi="Arial" w:cs="Arial"/>
          <w:szCs w:val="22"/>
        </w:rPr>
        <w:t xml:space="preserve"> The negative list is for avoiding any </w:t>
      </w:r>
      <w:r w:rsidR="00F44735">
        <w:rPr>
          <w:rFonts w:ascii="Arial" w:hAnsi="Arial" w:cs="Arial"/>
          <w:szCs w:val="22"/>
        </w:rPr>
        <w:t xml:space="preserve">ambiguity or </w:t>
      </w:r>
      <w:r w:rsidR="00F1176A">
        <w:rPr>
          <w:rFonts w:ascii="Arial" w:hAnsi="Arial" w:cs="Arial"/>
          <w:szCs w:val="22"/>
        </w:rPr>
        <w:t xml:space="preserve">litigation on whether </w:t>
      </w:r>
      <w:r w:rsidR="00C45F80">
        <w:rPr>
          <w:rFonts w:ascii="Arial" w:hAnsi="Arial" w:cs="Arial"/>
          <w:szCs w:val="22"/>
        </w:rPr>
        <w:t>or not they are liable to TDS.</w:t>
      </w:r>
    </w:p>
    <w:p w:rsidR="00B6051E" w:rsidRPr="00B6051E" w:rsidRDefault="00B6051E" w:rsidP="00B6149C">
      <w:pPr>
        <w:pStyle w:val="ListParagraph"/>
        <w:ind w:left="0"/>
        <w:rPr>
          <w:rFonts w:ascii="Arial" w:hAnsi="Arial" w:cs="Arial"/>
          <w:szCs w:val="22"/>
        </w:rPr>
      </w:pPr>
    </w:p>
    <w:p w:rsidR="00697DBA" w:rsidRPr="005F2709" w:rsidRDefault="00CE4040" w:rsidP="00B6149C">
      <w:pPr>
        <w:pStyle w:val="ListParagraph"/>
        <w:numPr>
          <w:ilvl w:val="0"/>
          <w:numId w:val="18"/>
        </w:numPr>
        <w:spacing w:after="0" w:line="276" w:lineRule="auto"/>
        <w:ind w:left="360"/>
        <w:jc w:val="both"/>
        <w:rPr>
          <w:rFonts w:ascii="Arial" w:hAnsi="Arial" w:cs="Arial"/>
          <w:b/>
          <w:bCs/>
          <w:szCs w:val="22"/>
        </w:rPr>
      </w:pPr>
      <w:r w:rsidRPr="005F2709">
        <w:rPr>
          <w:rFonts w:ascii="Arial" w:hAnsi="Arial" w:cs="Arial"/>
          <w:b/>
          <w:bCs/>
          <w:szCs w:val="22"/>
        </w:rPr>
        <w:t xml:space="preserve">Following </w:t>
      </w:r>
      <w:r w:rsidR="00697DBA" w:rsidRPr="005F2709">
        <w:rPr>
          <w:rFonts w:ascii="Arial" w:hAnsi="Arial" w:cs="Arial"/>
          <w:b/>
          <w:bCs/>
          <w:szCs w:val="22"/>
        </w:rPr>
        <w:t xml:space="preserve">categories of payments could be </w:t>
      </w:r>
      <w:r w:rsidRPr="005F2709">
        <w:rPr>
          <w:rFonts w:ascii="Arial" w:hAnsi="Arial" w:cs="Arial"/>
          <w:b/>
          <w:bCs/>
          <w:szCs w:val="22"/>
        </w:rPr>
        <w:t>considered for TDS</w:t>
      </w:r>
      <w:r w:rsidR="00697DBA" w:rsidRPr="005F2709">
        <w:rPr>
          <w:rFonts w:ascii="Arial" w:hAnsi="Arial" w:cs="Arial"/>
          <w:b/>
          <w:bCs/>
          <w:szCs w:val="22"/>
        </w:rPr>
        <w:t>:</w:t>
      </w:r>
    </w:p>
    <w:p w:rsidR="00D246FA" w:rsidRPr="0013090B" w:rsidRDefault="00D246FA" w:rsidP="00D246FA">
      <w:pPr>
        <w:pStyle w:val="ListParagraph"/>
        <w:spacing w:after="0" w:line="276" w:lineRule="auto"/>
        <w:ind w:left="360"/>
        <w:jc w:val="both"/>
        <w:rPr>
          <w:rFonts w:ascii="Arial" w:hAnsi="Arial" w:cs="Arial"/>
          <w:szCs w:val="22"/>
        </w:rPr>
      </w:pPr>
    </w:p>
    <w:tbl>
      <w:tblPr>
        <w:tblStyle w:val="TableGrid"/>
        <w:tblW w:w="0" w:type="auto"/>
        <w:tblInd w:w="607" w:type="dxa"/>
        <w:tblLook w:val="04A0"/>
      </w:tblPr>
      <w:tblGrid>
        <w:gridCol w:w="779"/>
        <w:gridCol w:w="5384"/>
        <w:gridCol w:w="2260"/>
      </w:tblGrid>
      <w:tr w:rsidR="009C0FD9" w:rsidRPr="0013090B" w:rsidTr="005F2AED">
        <w:tc>
          <w:tcPr>
            <w:tcW w:w="0" w:type="auto"/>
          </w:tcPr>
          <w:p w:rsidR="00697DBA" w:rsidRPr="0013090B" w:rsidRDefault="00697DBA" w:rsidP="005F2AED">
            <w:pPr>
              <w:spacing w:line="276" w:lineRule="auto"/>
              <w:jc w:val="center"/>
              <w:rPr>
                <w:rFonts w:ascii="Arial" w:hAnsi="Arial" w:cs="Arial"/>
                <w:szCs w:val="22"/>
              </w:rPr>
            </w:pPr>
            <w:r w:rsidRPr="0013090B">
              <w:rPr>
                <w:rFonts w:ascii="Arial" w:hAnsi="Arial" w:cs="Arial"/>
                <w:szCs w:val="22"/>
              </w:rPr>
              <w:t>Sr</w:t>
            </w:r>
            <w:r w:rsidR="00A1347F" w:rsidRPr="0013090B">
              <w:rPr>
                <w:rFonts w:ascii="Arial" w:hAnsi="Arial" w:cs="Arial"/>
                <w:szCs w:val="22"/>
              </w:rPr>
              <w:t xml:space="preserve"> N</w:t>
            </w:r>
            <w:r w:rsidR="00483C5A" w:rsidRPr="0013090B">
              <w:rPr>
                <w:rFonts w:ascii="Arial" w:hAnsi="Arial" w:cs="Arial"/>
                <w:szCs w:val="22"/>
              </w:rPr>
              <w:t>o</w:t>
            </w:r>
          </w:p>
        </w:tc>
        <w:tc>
          <w:tcPr>
            <w:tcW w:w="0" w:type="auto"/>
          </w:tcPr>
          <w:p w:rsidR="00697DBA" w:rsidRPr="0013090B" w:rsidRDefault="00697DBA" w:rsidP="00B6051E">
            <w:pPr>
              <w:spacing w:line="276" w:lineRule="auto"/>
              <w:ind w:left="313"/>
              <w:jc w:val="both"/>
              <w:rPr>
                <w:rFonts w:ascii="Arial" w:hAnsi="Arial" w:cs="Arial"/>
                <w:szCs w:val="22"/>
              </w:rPr>
            </w:pPr>
            <w:r w:rsidRPr="0013090B">
              <w:rPr>
                <w:rFonts w:ascii="Arial" w:hAnsi="Arial" w:cs="Arial"/>
                <w:szCs w:val="22"/>
              </w:rPr>
              <w:t>Nature of payment</w:t>
            </w:r>
          </w:p>
        </w:tc>
        <w:tc>
          <w:tcPr>
            <w:tcW w:w="0" w:type="auto"/>
          </w:tcPr>
          <w:p w:rsidR="00697DBA" w:rsidRPr="0013090B" w:rsidRDefault="00697DBA" w:rsidP="00B6051E">
            <w:pPr>
              <w:spacing w:line="276" w:lineRule="auto"/>
              <w:ind w:left="320"/>
              <w:jc w:val="both"/>
              <w:rPr>
                <w:rFonts w:ascii="Arial" w:hAnsi="Arial" w:cs="Arial"/>
                <w:szCs w:val="22"/>
              </w:rPr>
            </w:pPr>
            <w:r w:rsidRPr="0013090B">
              <w:rPr>
                <w:rFonts w:ascii="Arial" w:hAnsi="Arial" w:cs="Arial"/>
                <w:szCs w:val="22"/>
              </w:rPr>
              <w:t>TDS rate</w:t>
            </w:r>
          </w:p>
        </w:tc>
      </w:tr>
      <w:tr w:rsidR="009C0FD9" w:rsidRPr="00697DBA" w:rsidTr="005F2AED">
        <w:tc>
          <w:tcPr>
            <w:tcW w:w="0" w:type="auto"/>
          </w:tcPr>
          <w:p w:rsidR="00697DBA" w:rsidRPr="00697DBA" w:rsidRDefault="00697DBA" w:rsidP="00483C5A">
            <w:pPr>
              <w:spacing w:line="276" w:lineRule="auto"/>
              <w:jc w:val="center"/>
              <w:rPr>
                <w:rFonts w:ascii="Arial" w:hAnsi="Arial" w:cs="Arial"/>
                <w:szCs w:val="22"/>
              </w:rPr>
            </w:pPr>
            <w:r w:rsidRPr="00697DBA">
              <w:rPr>
                <w:rFonts w:ascii="Arial" w:hAnsi="Arial" w:cs="Arial"/>
                <w:szCs w:val="22"/>
              </w:rPr>
              <w:t>1</w:t>
            </w:r>
          </w:p>
        </w:tc>
        <w:tc>
          <w:tcPr>
            <w:tcW w:w="0" w:type="auto"/>
          </w:tcPr>
          <w:p w:rsidR="00697DBA" w:rsidRPr="00697DBA" w:rsidRDefault="00697DBA" w:rsidP="00B6051E">
            <w:pPr>
              <w:spacing w:line="276" w:lineRule="auto"/>
              <w:ind w:left="313"/>
              <w:jc w:val="both"/>
              <w:rPr>
                <w:rFonts w:ascii="Arial" w:hAnsi="Arial" w:cs="Arial"/>
                <w:szCs w:val="22"/>
              </w:rPr>
            </w:pPr>
            <w:r w:rsidRPr="00697DBA">
              <w:rPr>
                <w:rFonts w:ascii="Arial" w:hAnsi="Arial" w:cs="Arial"/>
                <w:szCs w:val="22"/>
              </w:rPr>
              <w:t xml:space="preserve">Salary </w:t>
            </w:r>
          </w:p>
        </w:tc>
        <w:tc>
          <w:tcPr>
            <w:tcW w:w="0" w:type="auto"/>
          </w:tcPr>
          <w:p w:rsidR="00697DBA" w:rsidRPr="00697DBA" w:rsidRDefault="00697DBA" w:rsidP="00B6051E">
            <w:pPr>
              <w:spacing w:line="276" w:lineRule="auto"/>
              <w:ind w:left="320"/>
              <w:jc w:val="both"/>
              <w:rPr>
                <w:rFonts w:ascii="Arial" w:hAnsi="Arial" w:cs="Arial"/>
                <w:szCs w:val="22"/>
              </w:rPr>
            </w:pPr>
            <w:r w:rsidRPr="00697DBA">
              <w:rPr>
                <w:rFonts w:ascii="Arial" w:hAnsi="Arial" w:cs="Arial"/>
                <w:szCs w:val="22"/>
              </w:rPr>
              <w:t>Normal slab rates</w:t>
            </w:r>
          </w:p>
        </w:tc>
      </w:tr>
      <w:tr w:rsidR="009C0FD9" w:rsidRPr="00697DBA" w:rsidTr="005F2AED">
        <w:tc>
          <w:tcPr>
            <w:tcW w:w="0" w:type="auto"/>
          </w:tcPr>
          <w:p w:rsidR="00697DBA" w:rsidRPr="00697DBA" w:rsidRDefault="00697DBA" w:rsidP="00483C5A">
            <w:pPr>
              <w:spacing w:line="276" w:lineRule="auto"/>
              <w:jc w:val="center"/>
              <w:rPr>
                <w:rFonts w:ascii="Arial" w:hAnsi="Arial" w:cs="Arial"/>
                <w:szCs w:val="22"/>
              </w:rPr>
            </w:pPr>
            <w:r w:rsidRPr="00697DBA">
              <w:rPr>
                <w:rFonts w:ascii="Arial" w:hAnsi="Arial" w:cs="Arial"/>
                <w:szCs w:val="22"/>
              </w:rPr>
              <w:t>2</w:t>
            </w:r>
          </w:p>
        </w:tc>
        <w:tc>
          <w:tcPr>
            <w:tcW w:w="0" w:type="auto"/>
          </w:tcPr>
          <w:p w:rsidR="00697DBA" w:rsidRPr="00697DBA" w:rsidRDefault="00697DBA" w:rsidP="00B6051E">
            <w:pPr>
              <w:spacing w:line="276" w:lineRule="auto"/>
              <w:ind w:left="313"/>
              <w:jc w:val="both"/>
              <w:rPr>
                <w:rFonts w:ascii="Arial" w:hAnsi="Arial" w:cs="Arial"/>
                <w:szCs w:val="22"/>
              </w:rPr>
            </w:pPr>
            <w:r w:rsidRPr="00697DBA">
              <w:rPr>
                <w:rFonts w:ascii="Arial" w:hAnsi="Arial" w:cs="Arial"/>
                <w:szCs w:val="22"/>
              </w:rPr>
              <w:t>Lotteries and horse race winnings</w:t>
            </w:r>
          </w:p>
        </w:tc>
        <w:tc>
          <w:tcPr>
            <w:tcW w:w="0" w:type="auto"/>
          </w:tcPr>
          <w:p w:rsidR="00697DBA" w:rsidRPr="00697DBA" w:rsidRDefault="00697DBA" w:rsidP="00B6051E">
            <w:pPr>
              <w:spacing w:line="276" w:lineRule="auto"/>
              <w:ind w:left="320"/>
              <w:jc w:val="both"/>
              <w:rPr>
                <w:rFonts w:ascii="Arial" w:hAnsi="Arial" w:cs="Arial"/>
                <w:szCs w:val="22"/>
              </w:rPr>
            </w:pPr>
            <w:r w:rsidRPr="00697DBA">
              <w:rPr>
                <w:rFonts w:ascii="Arial" w:hAnsi="Arial" w:cs="Arial"/>
                <w:szCs w:val="22"/>
              </w:rPr>
              <w:t>30%</w:t>
            </w:r>
          </w:p>
        </w:tc>
      </w:tr>
      <w:tr w:rsidR="009C0FD9" w:rsidRPr="00697DBA" w:rsidTr="005F2AED">
        <w:tc>
          <w:tcPr>
            <w:tcW w:w="0" w:type="auto"/>
          </w:tcPr>
          <w:p w:rsidR="00697DBA" w:rsidRPr="00697DBA" w:rsidRDefault="00963D81" w:rsidP="00483C5A">
            <w:pPr>
              <w:spacing w:line="276" w:lineRule="auto"/>
              <w:jc w:val="center"/>
              <w:rPr>
                <w:rFonts w:ascii="Arial" w:hAnsi="Arial" w:cs="Arial"/>
                <w:szCs w:val="22"/>
              </w:rPr>
            </w:pPr>
            <w:r>
              <w:rPr>
                <w:rFonts w:ascii="Arial" w:hAnsi="Arial" w:cs="Arial"/>
                <w:szCs w:val="22"/>
              </w:rPr>
              <w:t>3</w:t>
            </w:r>
          </w:p>
        </w:tc>
        <w:tc>
          <w:tcPr>
            <w:tcW w:w="0" w:type="auto"/>
          </w:tcPr>
          <w:p w:rsidR="00697DBA" w:rsidRPr="00697DBA" w:rsidRDefault="00697DBA" w:rsidP="00B6051E">
            <w:pPr>
              <w:spacing w:line="276" w:lineRule="auto"/>
              <w:ind w:left="313"/>
              <w:jc w:val="both"/>
              <w:rPr>
                <w:rFonts w:ascii="Arial" w:hAnsi="Arial" w:cs="Arial"/>
                <w:szCs w:val="22"/>
              </w:rPr>
            </w:pPr>
            <w:r w:rsidRPr="00697DBA">
              <w:rPr>
                <w:rFonts w:ascii="Arial" w:hAnsi="Arial" w:cs="Arial"/>
                <w:szCs w:val="22"/>
              </w:rPr>
              <w:t>All other payments</w:t>
            </w:r>
            <w:r w:rsidR="002A03F3">
              <w:rPr>
                <w:rFonts w:ascii="Arial" w:hAnsi="Arial" w:cs="Arial"/>
                <w:szCs w:val="22"/>
              </w:rPr>
              <w:t xml:space="preserve"> as per existing </w:t>
            </w:r>
            <w:r w:rsidR="00622498">
              <w:rPr>
                <w:rFonts w:ascii="Arial" w:hAnsi="Arial" w:cs="Arial"/>
                <w:szCs w:val="22"/>
              </w:rPr>
              <w:t>TDS provisions</w:t>
            </w:r>
          </w:p>
        </w:tc>
        <w:tc>
          <w:tcPr>
            <w:tcW w:w="0" w:type="auto"/>
          </w:tcPr>
          <w:p w:rsidR="00697DBA" w:rsidRPr="00697DBA" w:rsidRDefault="00697DBA" w:rsidP="00B6051E">
            <w:pPr>
              <w:spacing w:line="276" w:lineRule="auto"/>
              <w:ind w:left="320"/>
              <w:jc w:val="both"/>
              <w:rPr>
                <w:rFonts w:ascii="Arial" w:hAnsi="Arial" w:cs="Arial"/>
                <w:szCs w:val="22"/>
              </w:rPr>
            </w:pPr>
            <w:r w:rsidRPr="00697DBA">
              <w:rPr>
                <w:rFonts w:ascii="Arial" w:hAnsi="Arial" w:cs="Arial"/>
                <w:szCs w:val="22"/>
              </w:rPr>
              <w:t>2</w:t>
            </w:r>
            <w:r w:rsidR="004249E9">
              <w:rPr>
                <w:rFonts w:ascii="Arial" w:hAnsi="Arial" w:cs="Arial"/>
                <w:szCs w:val="22"/>
              </w:rPr>
              <w:t>%</w:t>
            </w:r>
            <w:r w:rsidR="009C0FD9">
              <w:rPr>
                <w:rFonts w:ascii="Arial" w:hAnsi="Arial" w:cs="Arial"/>
                <w:szCs w:val="22"/>
              </w:rPr>
              <w:t>-</w:t>
            </w:r>
            <w:r w:rsidR="00963D81">
              <w:rPr>
                <w:rFonts w:ascii="Arial" w:hAnsi="Arial" w:cs="Arial"/>
                <w:szCs w:val="22"/>
              </w:rPr>
              <w:t>5</w:t>
            </w:r>
            <w:r w:rsidRPr="00697DBA">
              <w:rPr>
                <w:rFonts w:ascii="Arial" w:hAnsi="Arial" w:cs="Arial"/>
                <w:szCs w:val="22"/>
              </w:rPr>
              <w:t>%</w:t>
            </w:r>
          </w:p>
        </w:tc>
      </w:tr>
    </w:tbl>
    <w:p w:rsidR="00F942F9" w:rsidRDefault="00F942F9" w:rsidP="00F942F9">
      <w:pPr>
        <w:spacing w:after="0" w:line="276" w:lineRule="auto"/>
        <w:rPr>
          <w:rFonts w:ascii="Arial" w:hAnsi="Arial" w:cs="Arial"/>
          <w:b/>
          <w:bCs/>
          <w:szCs w:val="22"/>
          <w:u w:val="single"/>
        </w:rPr>
      </w:pPr>
    </w:p>
    <w:p w:rsidR="00CE7147" w:rsidRPr="00697DBA" w:rsidRDefault="00CE7147" w:rsidP="00F942F9">
      <w:pPr>
        <w:spacing w:after="0" w:line="276" w:lineRule="auto"/>
        <w:rPr>
          <w:rFonts w:ascii="Arial" w:hAnsi="Arial" w:cs="Arial"/>
          <w:szCs w:val="22"/>
        </w:rPr>
      </w:pPr>
    </w:p>
    <w:p w:rsidR="00697DBA" w:rsidRPr="006C3C25" w:rsidRDefault="00697DBA" w:rsidP="00B6149C">
      <w:pPr>
        <w:pStyle w:val="ListParagraph"/>
        <w:numPr>
          <w:ilvl w:val="0"/>
          <w:numId w:val="19"/>
        </w:numPr>
        <w:spacing w:after="0" w:line="276" w:lineRule="auto"/>
        <w:rPr>
          <w:rFonts w:ascii="Arial" w:hAnsi="Arial" w:cs="Arial"/>
          <w:szCs w:val="22"/>
        </w:rPr>
      </w:pPr>
      <w:r w:rsidRPr="006C3C25">
        <w:rPr>
          <w:rFonts w:ascii="Arial" w:hAnsi="Arial" w:cs="Arial"/>
          <w:b/>
          <w:bCs/>
          <w:szCs w:val="22"/>
        </w:rPr>
        <w:t>Suggested “negative list” of payments</w:t>
      </w:r>
      <w:r w:rsidRPr="006C3C25">
        <w:rPr>
          <w:rFonts w:ascii="Arial" w:hAnsi="Arial" w:cs="Arial"/>
          <w:szCs w:val="22"/>
        </w:rPr>
        <w:t xml:space="preserve"> </w:t>
      </w:r>
      <w:r w:rsidRPr="00C1482A">
        <w:rPr>
          <w:rFonts w:ascii="Arial" w:hAnsi="Arial" w:cs="Arial"/>
          <w:b/>
          <w:bCs/>
          <w:szCs w:val="22"/>
        </w:rPr>
        <w:t>not liable to TDS</w:t>
      </w:r>
      <w:r w:rsidR="00112CC8" w:rsidRPr="00C1482A">
        <w:rPr>
          <w:rFonts w:ascii="Arial" w:hAnsi="Arial" w:cs="Arial"/>
          <w:b/>
          <w:bCs/>
          <w:szCs w:val="22"/>
        </w:rPr>
        <w:t xml:space="preserve"> can be as follows</w:t>
      </w:r>
      <w:r w:rsidR="00112CC8" w:rsidRPr="006C3C25">
        <w:rPr>
          <w:rFonts w:ascii="Arial" w:hAnsi="Arial" w:cs="Arial"/>
          <w:szCs w:val="22"/>
        </w:rPr>
        <w:t>:</w:t>
      </w:r>
    </w:p>
    <w:p w:rsidR="00112CC8" w:rsidRPr="00B6051E" w:rsidRDefault="00112CC8" w:rsidP="00112CC8">
      <w:pPr>
        <w:pStyle w:val="ListParagraph"/>
        <w:spacing w:after="0" w:line="276" w:lineRule="auto"/>
        <w:ind w:left="360"/>
        <w:rPr>
          <w:rFonts w:ascii="Arial" w:hAnsi="Arial" w:cs="Arial"/>
          <w:szCs w:val="22"/>
        </w:rPr>
      </w:pPr>
    </w:p>
    <w:p w:rsidR="00112CC8" w:rsidRPr="00C1482A" w:rsidRDefault="00697DBA" w:rsidP="00112CC8">
      <w:pPr>
        <w:pStyle w:val="ListParagraph"/>
        <w:numPr>
          <w:ilvl w:val="0"/>
          <w:numId w:val="9"/>
        </w:numPr>
        <w:spacing w:after="0" w:line="276" w:lineRule="auto"/>
        <w:rPr>
          <w:rFonts w:ascii="Arial" w:hAnsi="Arial" w:cs="Arial"/>
          <w:b/>
          <w:bCs/>
          <w:szCs w:val="22"/>
        </w:rPr>
      </w:pPr>
      <w:r w:rsidRPr="00C1482A">
        <w:rPr>
          <w:rFonts w:ascii="Arial" w:hAnsi="Arial" w:cs="Arial"/>
          <w:b/>
          <w:bCs/>
          <w:szCs w:val="22"/>
        </w:rPr>
        <w:t>Existing categories of TDS exempt payments</w:t>
      </w:r>
    </w:p>
    <w:p w:rsidR="00112CC8" w:rsidRDefault="00112CC8" w:rsidP="00112CC8">
      <w:pPr>
        <w:pStyle w:val="ListParagraph"/>
        <w:spacing w:after="0" w:line="276" w:lineRule="auto"/>
        <w:ind w:left="1800"/>
        <w:rPr>
          <w:rFonts w:ascii="Arial" w:hAnsi="Arial" w:cs="Arial"/>
          <w:szCs w:val="22"/>
        </w:rPr>
      </w:pPr>
    </w:p>
    <w:p w:rsidR="00112CC8" w:rsidRDefault="00697DBA" w:rsidP="009E4FE7">
      <w:pPr>
        <w:pStyle w:val="ListParagraph"/>
        <w:numPr>
          <w:ilvl w:val="1"/>
          <w:numId w:val="9"/>
        </w:numPr>
        <w:spacing w:after="0" w:line="276" w:lineRule="auto"/>
        <w:ind w:left="1701"/>
        <w:rPr>
          <w:rFonts w:ascii="Arial" w:hAnsi="Arial" w:cs="Arial"/>
          <w:szCs w:val="22"/>
        </w:rPr>
      </w:pPr>
      <w:r w:rsidRPr="00112CC8">
        <w:rPr>
          <w:rFonts w:ascii="Arial" w:hAnsi="Arial" w:cs="Arial"/>
          <w:szCs w:val="22"/>
        </w:rPr>
        <w:t>S.196 (Government, RBI, Statutory corporations exempt from tax, Mutual Fund)</w:t>
      </w:r>
    </w:p>
    <w:p w:rsidR="00112CC8" w:rsidRDefault="00697DBA" w:rsidP="009E4FE7">
      <w:pPr>
        <w:pStyle w:val="ListParagraph"/>
        <w:numPr>
          <w:ilvl w:val="1"/>
          <w:numId w:val="9"/>
        </w:numPr>
        <w:spacing w:after="0" w:line="276" w:lineRule="auto"/>
        <w:ind w:left="1701"/>
        <w:rPr>
          <w:rFonts w:ascii="Arial" w:hAnsi="Arial" w:cs="Arial"/>
          <w:szCs w:val="22"/>
        </w:rPr>
      </w:pPr>
      <w:r w:rsidRPr="00112CC8">
        <w:rPr>
          <w:rFonts w:ascii="Arial" w:hAnsi="Arial" w:cs="Arial"/>
          <w:szCs w:val="22"/>
        </w:rPr>
        <w:t>Entities exempted by issuing notifications u/s. 197A(1F) (AIFs, securitisation trusts, domestic software payments, banks, etc)</w:t>
      </w:r>
    </w:p>
    <w:p w:rsidR="00112CC8" w:rsidRDefault="00697DBA" w:rsidP="009E4FE7">
      <w:pPr>
        <w:pStyle w:val="ListParagraph"/>
        <w:numPr>
          <w:ilvl w:val="1"/>
          <w:numId w:val="9"/>
        </w:numPr>
        <w:spacing w:after="0" w:line="276" w:lineRule="auto"/>
        <w:ind w:left="1701"/>
        <w:rPr>
          <w:rFonts w:ascii="Arial" w:hAnsi="Arial" w:cs="Arial"/>
          <w:szCs w:val="22"/>
        </w:rPr>
      </w:pPr>
      <w:r w:rsidRPr="00112CC8">
        <w:rPr>
          <w:rFonts w:ascii="Arial" w:hAnsi="Arial" w:cs="Arial"/>
          <w:szCs w:val="22"/>
        </w:rPr>
        <w:t>Payments which are exempt from TDS based on furnishing of Form 15G/H by individuals/HUFs</w:t>
      </w:r>
    </w:p>
    <w:p w:rsidR="00697DBA" w:rsidRPr="00112CC8" w:rsidRDefault="00697DBA" w:rsidP="009E4FE7">
      <w:pPr>
        <w:pStyle w:val="ListParagraph"/>
        <w:numPr>
          <w:ilvl w:val="1"/>
          <w:numId w:val="9"/>
        </w:numPr>
        <w:spacing w:after="0" w:line="276" w:lineRule="auto"/>
        <w:ind w:left="1701"/>
        <w:rPr>
          <w:rFonts w:ascii="Arial" w:hAnsi="Arial" w:cs="Arial"/>
          <w:szCs w:val="22"/>
        </w:rPr>
      </w:pPr>
      <w:r w:rsidRPr="00112CC8">
        <w:rPr>
          <w:rFonts w:ascii="Arial" w:hAnsi="Arial" w:cs="Arial"/>
          <w:szCs w:val="22"/>
        </w:rPr>
        <w:t>Entities whose entire incomes are unconditionally exempt and they do not have ROI filing obligation. Refer Circular No. 18/2017 (Local authorities, IRDA, CERC, ESIC, APMC, NPS, etc)</w:t>
      </w:r>
    </w:p>
    <w:p w:rsidR="00112CC8" w:rsidRDefault="00112CC8" w:rsidP="00112CC8">
      <w:pPr>
        <w:pStyle w:val="ListParagraph"/>
        <w:spacing w:after="0" w:line="276" w:lineRule="auto"/>
        <w:ind w:left="1080"/>
        <w:rPr>
          <w:rFonts w:ascii="Arial" w:hAnsi="Arial" w:cs="Arial"/>
          <w:szCs w:val="22"/>
        </w:rPr>
      </w:pPr>
    </w:p>
    <w:p w:rsidR="00112CC8" w:rsidRPr="00C1482A" w:rsidRDefault="00697DBA" w:rsidP="00112CC8">
      <w:pPr>
        <w:pStyle w:val="ListParagraph"/>
        <w:numPr>
          <w:ilvl w:val="0"/>
          <w:numId w:val="9"/>
        </w:numPr>
        <w:spacing w:after="0" w:line="276" w:lineRule="auto"/>
        <w:rPr>
          <w:rFonts w:ascii="Arial" w:hAnsi="Arial" w:cs="Arial"/>
          <w:b/>
          <w:bCs/>
          <w:szCs w:val="22"/>
        </w:rPr>
      </w:pPr>
      <w:r w:rsidRPr="00C1482A">
        <w:rPr>
          <w:rFonts w:ascii="Arial" w:hAnsi="Arial" w:cs="Arial"/>
          <w:b/>
          <w:bCs/>
          <w:szCs w:val="22"/>
        </w:rPr>
        <w:t>New categories of TDS exempt payments suggested by CII</w:t>
      </w:r>
    </w:p>
    <w:p w:rsidR="00112CC8" w:rsidRDefault="00112CC8" w:rsidP="00112CC8">
      <w:pPr>
        <w:pStyle w:val="ListParagraph"/>
        <w:spacing w:after="0" w:line="276" w:lineRule="auto"/>
        <w:ind w:left="1800"/>
        <w:rPr>
          <w:rFonts w:ascii="Arial" w:hAnsi="Arial" w:cs="Arial"/>
          <w:szCs w:val="22"/>
        </w:rPr>
      </w:pPr>
    </w:p>
    <w:p w:rsidR="00BC4936" w:rsidRDefault="00BC4936" w:rsidP="00BC4936">
      <w:pPr>
        <w:pStyle w:val="ListParagraph"/>
        <w:numPr>
          <w:ilvl w:val="1"/>
          <w:numId w:val="9"/>
        </w:numPr>
        <w:spacing w:after="0" w:line="276" w:lineRule="auto"/>
        <w:rPr>
          <w:rFonts w:ascii="Arial" w:hAnsi="Arial" w:cs="Arial"/>
          <w:szCs w:val="22"/>
        </w:rPr>
      </w:pPr>
      <w:r w:rsidRPr="00112CC8">
        <w:rPr>
          <w:rFonts w:ascii="Arial" w:hAnsi="Arial" w:cs="Arial"/>
          <w:szCs w:val="22"/>
        </w:rPr>
        <w:t>Banks and financial institutions</w:t>
      </w:r>
    </w:p>
    <w:p w:rsidR="00BC4936" w:rsidRDefault="00BC4936" w:rsidP="00BC4936">
      <w:pPr>
        <w:pStyle w:val="ListParagraph"/>
        <w:numPr>
          <w:ilvl w:val="1"/>
          <w:numId w:val="9"/>
        </w:numPr>
        <w:spacing w:after="0" w:line="276" w:lineRule="auto"/>
        <w:rPr>
          <w:rFonts w:ascii="Arial" w:hAnsi="Arial" w:cs="Arial"/>
          <w:szCs w:val="22"/>
        </w:rPr>
      </w:pPr>
      <w:r w:rsidRPr="00112CC8">
        <w:rPr>
          <w:rFonts w:ascii="Arial" w:hAnsi="Arial" w:cs="Arial"/>
          <w:szCs w:val="22"/>
        </w:rPr>
        <w:t>Insurance companies</w:t>
      </w:r>
    </w:p>
    <w:p w:rsidR="00BC4936" w:rsidRDefault="00BC4936" w:rsidP="00BD373A">
      <w:pPr>
        <w:pStyle w:val="ListParagraph"/>
        <w:numPr>
          <w:ilvl w:val="1"/>
          <w:numId w:val="9"/>
        </w:numPr>
        <w:spacing w:after="0" w:line="276" w:lineRule="auto"/>
        <w:rPr>
          <w:rFonts w:ascii="Arial" w:hAnsi="Arial" w:cs="Arial"/>
          <w:szCs w:val="22"/>
        </w:rPr>
      </w:pPr>
      <w:r w:rsidRPr="00112CC8">
        <w:rPr>
          <w:rFonts w:ascii="Arial" w:hAnsi="Arial" w:cs="Arial"/>
          <w:szCs w:val="22"/>
        </w:rPr>
        <w:t xml:space="preserve">Purchases </w:t>
      </w:r>
      <w:r w:rsidR="00774EB8">
        <w:rPr>
          <w:rFonts w:ascii="Arial" w:hAnsi="Arial" w:cs="Arial"/>
          <w:szCs w:val="22"/>
        </w:rPr>
        <w:t xml:space="preserve">from </w:t>
      </w:r>
      <w:r w:rsidRPr="00112CC8">
        <w:rPr>
          <w:rFonts w:ascii="Arial" w:hAnsi="Arial" w:cs="Arial"/>
          <w:szCs w:val="22"/>
        </w:rPr>
        <w:t>or payments to GST registered entities on which GST is paid.</w:t>
      </w:r>
    </w:p>
    <w:p w:rsidR="00112CC8" w:rsidRDefault="00697DBA" w:rsidP="00112CC8">
      <w:pPr>
        <w:pStyle w:val="ListParagraph"/>
        <w:numPr>
          <w:ilvl w:val="1"/>
          <w:numId w:val="9"/>
        </w:numPr>
        <w:spacing w:after="0" w:line="276" w:lineRule="auto"/>
        <w:rPr>
          <w:rFonts w:ascii="Arial" w:hAnsi="Arial" w:cs="Arial"/>
          <w:szCs w:val="22"/>
        </w:rPr>
      </w:pPr>
      <w:r w:rsidRPr="00112CC8">
        <w:rPr>
          <w:rFonts w:ascii="Arial" w:hAnsi="Arial" w:cs="Arial"/>
          <w:szCs w:val="22"/>
        </w:rPr>
        <w:t>Agriculturists in respect of agricultural incomes</w:t>
      </w:r>
    </w:p>
    <w:p w:rsidR="00112CC8" w:rsidRDefault="00697DBA" w:rsidP="00112CC8">
      <w:pPr>
        <w:pStyle w:val="ListParagraph"/>
        <w:numPr>
          <w:ilvl w:val="1"/>
          <w:numId w:val="9"/>
        </w:numPr>
        <w:spacing w:after="0" w:line="276" w:lineRule="auto"/>
        <w:rPr>
          <w:rFonts w:ascii="Arial" w:hAnsi="Arial" w:cs="Arial"/>
          <w:szCs w:val="22"/>
        </w:rPr>
      </w:pPr>
      <w:r w:rsidRPr="00112CC8">
        <w:rPr>
          <w:rFonts w:ascii="Arial" w:hAnsi="Arial" w:cs="Arial"/>
          <w:szCs w:val="22"/>
        </w:rPr>
        <w:t>SC/ST residing in North</w:t>
      </w:r>
      <w:r w:rsidR="006C3C25">
        <w:rPr>
          <w:rFonts w:ascii="Arial" w:hAnsi="Arial" w:cs="Arial"/>
          <w:szCs w:val="22"/>
        </w:rPr>
        <w:t>-</w:t>
      </w:r>
      <w:r w:rsidRPr="00112CC8">
        <w:rPr>
          <w:rFonts w:ascii="Arial" w:hAnsi="Arial" w:cs="Arial"/>
          <w:szCs w:val="22"/>
        </w:rPr>
        <w:t xml:space="preserve">Eastern States or residents of </w:t>
      </w:r>
      <w:proofErr w:type="spellStart"/>
      <w:r w:rsidRPr="00112CC8">
        <w:rPr>
          <w:rFonts w:ascii="Arial" w:hAnsi="Arial" w:cs="Arial"/>
          <w:szCs w:val="22"/>
        </w:rPr>
        <w:t>Ladakh</w:t>
      </w:r>
      <w:proofErr w:type="spellEnd"/>
      <w:r w:rsidRPr="00112CC8">
        <w:rPr>
          <w:rFonts w:ascii="Arial" w:hAnsi="Arial" w:cs="Arial"/>
          <w:szCs w:val="22"/>
        </w:rPr>
        <w:t xml:space="preserve">, </w:t>
      </w:r>
      <w:proofErr w:type="spellStart"/>
      <w:r w:rsidRPr="00112CC8">
        <w:rPr>
          <w:rFonts w:ascii="Arial" w:hAnsi="Arial" w:cs="Arial"/>
          <w:szCs w:val="22"/>
        </w:rPr>
        <w:t>Leh</w:t>
      </w:r>
      <w:proofErr w:type="spellEnd"/>
      <w:r w:rsidRPr="00112CC8">
        <w:rPr>
          <w:rFonts w:ascii="Arial" w:hAnsi="Arial" w:cs="Arial"/>
          <w:szCs w:val="22"/>
        </w:rPr>
        <w:t>, Sikkim, etc whose income sourced from such regions are exempt</w:t>
      </w:r>
    </w:p>
    <w:p w:rsidR="00112CC8" w:rsidRDefault="00697DBA" w:rsidP="00112CC8">
      <w:pPr>
        <w:pStyle w:val="ListParagraph"/>
        <w:numPr>
          <w:ilvl w:val="1"/>
          <w:numId w:val="9"/>
        </w:numPr>
        <w:spacing w:after="0" w:line="276" w:lineRule="auto"/>
        <w:rPr>
          <w:rFonts w:ascii="Arial" w:hAnsi="Arial" w:cs="Arial"/>
          <w:szCs w:val="22"/>
        </w:rPr>
      </w:pPr>
      <w:r w:rsidRPr="00112CC8">
        <w:rPr>
          <w:rFonts w:ascii="Arial" w:hAnsi="Arial" w:cs="Arial"/>
          <w:szCs w:val="22"/>
        </w:rPr>
        <w:t>Payments to registered charities</w:t>
      </w:r>
    </w:p>
    <w:p w:rsidR="00697DBA" w:rsidRPr="00112CC8" w:rsidRDefault="00697DBA" w:rsidP="00C93FF1">
      <w:pPr>
        <w:pStyle w:val="ListParagraph"/>
        <w:spacing w:after="0" w:line="276" w:lineRule="auto"/>
        <w:ind w:left="1800"/>
        <w:rPr>
          <w:rFonts w:ascii="Arial" w:hAnsi="Arial" w:cs="Arial"/>
          <w:szCs w:val="22"/>
        </w:rPr>
      </w:pPr>
    </w:p>
    <w:p w:rsidR="00697DBA" w:rsidRDefault="00697DBA" w:rsidP="00F07A1B">
      <w:pPr>
        <w:spacing w:after="0" w:line="276" w:lineRule="auto"/>
        <w:rPr>
          <w:rFonts w:ascii="Arial" w:hAnsi="Arial" w:cs="Arial"/>
          <w:b/>
          <w:bCs/>
          <w:szCs w:val="22"/>
          <w:u w:val="single"/>
        </w:rPr>
      </w:pPr>
    </w:p>
    <w:p w:rsidR="00684473" w:rsidRPr="00B6149C" w:rsidRDefault="00A111F4" w:rsidP="00B6149C">
      <w:pPr>
        <w:pStyle w:val="ListParagraph"/>
        <w:numPr>
          <w:ilvl w:val="0"/>
          <w:numId w:val="19"/>
        </w:numPr>
        <w:spacing w:after="0" w:line="276" w:lineRule="auto"/>
        <w:rPr>
          <w:rFonts w:ascii="Arial" w:hAnsi="Arial" w:cs="Arial"/>
          <w:b/>
          <w:bCs/>
          <w:szCs w:val="22"/>
          <w:lang w:eastAsia="en-IN"/>
        </w:rPr>
      </w:pPr>
      <w:r w:rsidRPr="00B6149C">
        <w:rPr>
          <w:rFonts w:ascii="Arial" w:hAnsi="Arial" w:cs="Arial"/>
          <w:b/>
          <w:bCs/>
          <w:szCs w:val="22"/>
          <w:lang w:eastAsia="en-IN"/>
        </w:rPr>
        <w:t xml:space="preserve">Apply </w:t>
      </w:r>
      <w:r w:rsidR="009A2A59" w:rsidRPr="00B6149C">
        <w:rPr>
          <w:rFonts w:ascii="Arial" w:hAnsi="Arial" w:cs="Arial"/>
          <w:b/>
          <w:bCs/>
          <w:szCs w:val="22"/>
          <w:lang w:eastAsia="en-IN"/>
        </w:rPr>
        <w:t xml:space="preserve">TDS on purchase / sale of goods </w:t>
      </w:r>
      <w:r w:rsidRPr="00B6149C">
        <w:rPr>
          <w:rFonts w:ascii="Arial" w:hAnsi="Arial" w:cs="Arial"/>
          <w:b/>
          <w:bCs/>
          <w:szCs w:val="22"/>
          <w:lang w:eastAsia="en-IN"/>
        </w:rPr>
        <w:t xml:space="preserve">only on non-GST registered </w:t>
      </w:r>
      <w:r w:rsidR="00D908A1" w:rsidRPr="00B6149C">
        <w:rPr>
          <w:rFonts w:ascii="Arial" w:hAnsi="Arial" w:cs="Arial"/>
          <w:b/>
          <w:bCs/>
          <w:szCs w:val="22"/>
          <w:lang w:eastAsia="en-IN"/>
        </w:rPr>
        <w:t>cases</w:t>
      </w:r>
    </w:p>
    <w:p w:rsidR="00A111F4" w:rsidRPr="00A111F4" w:rsidRDefault="00A111F4" w:rsidP="00A111F4">
      <w:pPr>
        <w:pStyle w:val="ListParagraph"/>
        <w:spacing w:after="0" w:line="276" w:lineRule="auto"/>
        <w:ind w:left="360"/>
        <w:rPr>
          <w:rFonts w:ascii="Arial" w:hAnsi="Arial" w:cs="Arial"/>
          <w:b/>
          <w:bCs/>
          <w:szCs w:val="22"/>
          <w:lang w:eastAsia="en-IN"/>
        </w:rPr>
      </w:pPr>
    </w:p>
    <w:p w:rsidR="001D324F" w:rsidRDefault="00684473" w:rsidP="00B6149C">
      <w:pPr>
        <w:pStyle w:val="ListParagraph"/>
        <w:numPr>
          <w:ilvl w:val="0"/>
          <w:numId w:val="20"/>
        </w:numPr>
        <w:spacing w:after="0" w:line="276" w:lineRule="auto"/>
        <w:rPr>
          <w:rFonts w:ascii="Arial" w:hAnsi="Arial" w:cs="Arial"/>
          <w:szCs w:val="22"/>
          <w:lang w:eastAsia="en-IN"/>
        </w:rPr>
      </w:pPr>
      <w:r w:rsidRPr="00B56CCE">
        <w:rPr>
          <w:rFonts w:ascii="Arial" w:hAnsi="Arial" w:cs="Arial"/>
          <w:szCs w:val="22"/>
          <w:lang w:eastAsia="en-IN"/>
        </w:rPr>
        <w:t>The provisions</w:t>
      </w:r>
      <w:r w:rsidR="00086296" w:rsidRPr="00B56CCE">
        <w:rPr>
          <w:rFonts w:ascii="Arial" w:hAnsi="Arial" w:cs="Arial"/>
          <w:szCs w:val="22"/>
          <w:lang w:eastAsia="en-IN"/>
        </w:rPr>
        <w:t xml:space="preserve"> of sections </w:t>
      </w:r>
      <w:r w:rsidR="001D324F" w:rsidRPr="00B56CCE">
        <w:rPr>
          <w:rFonts w:ascii="Arial" w:hAnsi="Arial" w:cs="Arial"/>
          <w:szCs w:val="22"/>
          <w:lang w:eastAsia="en-IN"/>
        </w:rPr>
        <w:t>TDS u/s 194Q on purchase of goods and TCS u/s 206C(1H) on sale of goods</w:t>
      </w:r>
      <w:r w:rsidRPr="00B56CCE">
        <w:rPr>
          <w:rFonts w:ascii="Arial" w:hAnsi="Arial" w:cs="Arial"/>
          <w:szCs w:val="22"/>
          <w:lang w:eastAsia="en-IN"/>
        </w:rPr>
        <w:t xml:space="preserve"> should be made applicable only to payees or payers who are not registered </w:t>
      </w:r>
      <w:r w:rsidR="008B4B13">
        <w:rPr>
          <w:rFonts w:ascii="Arial" w:hAnsi="Arial" w:cs="Arial"/>
          <w:szCs w:val="22"/>
          <w:lang w:eastAsia="en-IN"/>
        </w:rPr>
        <w:t>for</w:t>
      </w:r>
      <w:r w:rsidRPr="00B56CCE">
        <w:rPr>
          <w:rFonts w:ascii="Arial" w:hAnsi="Arial" w:cs="Arial"/>
          <w:szCs w:val="22"/>
          <w:lang w:eastAsia="en-IN"/>
        </w:rPr>
        <w:t xml:space="preserve"> GST. </w:t>
      </w:r>
    </w:p>
    <w:p w:rsidR="00B56CCE" w:rsidRPr="00B56CCE" w:rsidRDefault="00B56CCE" w:rsidP="00B56CCE">
      <w:pPr>
        <w:pStyle w:val="ListParagraph"/>
        <w:spacing w:after="0" w:line="276" w:lineRule="auto"/>
        <w:ind w:left="851"/>
        <w:rPr>
          <w:rFonts w:ascii="Arial" w:hAnsi="Arial" w:cs="Arial"/>
          <w:szCs w:val="22"/>
          <w:lang w:eastAsia="en-IN"/>
        </w:rPr>
      </w:pPr>
    </w:p>
    <w:p w:rsidR="00684473" w:rsidRDefault="00684473" w:rsidP="00B6149C">
      <w:pPr>
        <w:pStyle w:val="ListParagraph"/>
        <w:numPr>
          <w:ilvl w:val="0"/>
          <w:numId w:val="20"/>
        </w:numPr>
        <w:spacing w:after="0" w:line="276" w:lineRule="auto"/>
        <w:rPr>
          <w:rFonts w:ascii="Arial" w:hAnsi="Arial" w:cs="Arial"/>
          <w:szCs w:val="22"/>
          <w:lang w:eastAsia="en-IN"/>
        </w:rPr>
      </w:pPr>
      <w:r w:rsidRPr="00684473">
        <w:rPr>
          <w:rFonts w:ascii="Arial" w:hAnsi="Arial" w:cs="Arial"/>
          <w:szCs w:val="22"/>
          <w:lang w:eastAsia="en-IN"/>
        </w:rPr>
        <w:t>Alternatively, instead of TDS/TCS, the purchasers/sellers may be required to file Annual Information Returns.</w:t>
      </w:r>
    </w:p>
    <w:p w:rsidR="003D3515" w:rsidRDefault="003D3515" w:rsidP="003D3515">
      <w:pPr>
        <w:pStyle w:val="ListParagraph"/>
        <w:rPr>
          <w:rFonts w:ascii="Arial" w:hAnsi="Arial" w:cs="Arial"/>
          <w:szCs w:val="22"/>
          <w:lang w:eastAsia="en-IN"/>
        </w:rPr>
      </w:pPr>
    </w:p>
    <w:p w:rsidR="00AE2437" w:rsidRPr="00814B98" w:rsidRDefault="00AE2437" w:rsidP="00AE2437">
      <w:pPr>
        <w:pStyle w:val="ListParagraph"/>
        <w:numPr>
          <w:ilvl w:val="0"/>
          <w:numId w:val="19"/>
        </w:numPr>
        <w:spacing w:after="0" w:line="276" w:lineRule="auto"/>
        <w:rPr>
          <w:rFonts w:ascii="Arial" w:hAnsi="Arial" w:cs="Arial"/>
          <w:b/>
          <w:bCs/>
          <w:szCs w:val="22"/>
          <w:lang w:eastAsia="en-IN"/>
        </w:rPr>
      </w:pPr>
      <w:r w:rsidRPr="00814B98">
        <w:rPr>
          <w:rFonts w:ascii="Arial" w:hAnsi="Arial" w:cs="Arial"/>
          <w:b/>
          <w:bCs/>
          <w:szCs w:val="22"/>
          <w:lang w:eastAsia="en-IN"/>
        </w:rPr>
        <w:t xml:space="preserve">The TDS thresholds may also be rationalised </w:t>
      </w:r>
      <w:r w:rsidR="00552F79" w:rsidRPr="00814B98">
        <w:rPr>
          <w:rFonts w:ascii="Arial" w:hAnsi="Arial" w:cs="Arial"/>
          <w:b/>
          <w:bCs/>
          <w:szCs w:val="22"/>
          <w:lang w:eastAsia="en-IN"/>
        </w:rPr>
        <w:t xml:space="preserve">by increasing to </w:t>
      </w:r>
      <w:r w:rsidR="00EB7351" w:rsidRPr="00814B98">
        <w:rPr>
          <w:rFonts w:ascii="Arial" w:hAnsi="Arial" w:cs="Arial"/>
          <w:b/>
          <w:bCs/>
          <w:szCs w:val="22"/>
          <w:lang w:eastAsia="en-IN"/>
        </w:rPr>
        <w:t xml:space="preserve">aggregate </w:t>
      </w:r>
      <w:r w:rsidR="008D6D36" w:rsidRPr="00814B98">
        <w:rPr>
          <w:rFonts w:ascii="Arial" w:hAnsi="Arial" w:cs="Arial"/>
          <w:b/>
          <w:bCs/>
          <w:szCs w:val="22"/>
          <w:lang w:eastAsia="en-IN"/>
        </w:rPr>
        <w:t xml:space="preserve">threshold of Rs. 1 lakh per year </w:t>
      </w:r>
      <w:r w:rsidR="001A4F72" w:rsidRPr="00814B98">
        <w:rPr>
          <w:rFonts w:ascii="Arial" w:hAnsi="Arial" w:cs="Arial"/>
          <w:b/>
          <w:bCs/>
          <w:szCs w:val="22"/>
          <w:lang w:eastAsia="en-IN"/>
        </w:rPr>
        <w:t>wherever the existing threshold is less than Rs. 1 lakh</w:t>
      </w:r>
      <w:r w:rsidR="008473D9" w:rsidRPr="00814B98">
        <w:rPr>
          <w:rFonts w:ascii="Arial" w:hAnsi="Arial" w:cs="Arial"/>
          <w:b/>
          <w:bCs/>
          <w:szCs w:val="22"/>
          <w:lang w:eastAsia="en-IN"/>
        </w:rPr>
        <w:t>.</w:t>
      </w:r>
    </w:p>
    <w:p w:rsidR="00AE2437" w:rsidRDefault="00AE2437" w:rsidP="007C2C80">
      <w:pPr>
        <w:spacing w:after="0" w:line="276" w:lineRule="auto"/>
        <w:jc w:val="both"/>
        <w:rPr>
          <w:rFonts w:ascii="Arial" w:hAnsi="Arial" w:cs="Arial"/>
          <w:b/>
          <w:bCs/>
          <w:szCs w:val="22"/>
          <w:lang w:eastAsia="en-IN"/>
        </w:rPr>
      </w:pPr>
    </w:p>
    <w:p w:rsidR="004C59A3" w:rsidRDefault="00795A35" w:rsidP="007C2C80">
      <w:pPr>
        <w:spacing w:after="0" w:line="276" w:lineRule="auto"/>
        <w:jc w:val="both"/>
        <w:rPr>
          <w:rFonts w:ascii="Arial" w:hAnsi="Arial" w:cs="Arial"/>
          <w:b/>
          <w:bCs/>
          <w:szCs w:val="22"/>
          <w:lang w:eastAsia="en-IN"/>
        </w:rPr>
      </w:pPr>
      <w:r w:rsidRPr="00795A35">
        <w:rPr>
          <w:rFonts w:ascii="Arial" w:hAnsi="Arial" w:cs="Arial"/>
          <w:b/>
          <w:bCs/>
          <w:szCs w:val="22"/>
          <w:lang w:eastAsia="en-IN"/>
        </w:rPr>
        <w:t xml:space="preserve">The Chamber would like to emphasise that the above measure is a </w:t>
      </w:r>
      <w:r w:rsidR="007D6157" w:rsidRPr="002E114A">
        <w:rPr>
          <w:rFonts w:ascii="Arial" w:hAnsi="Arial" w:cs="Arial"/>
          <w:b/>
          <w:bCs/>
          <w:szCs w:val="22"/>
          <w:lang w:eastAsia="en-IN"/>
        </w:rPr>
        <w:t xml:space="preserve">revenue neutral </w:t>
      </w:r>
      <w:r>
        <w:rPr>
          <w:rFonts w:ascii="Arial" w:hAnsi="Arial" w:cs="Arial"/>
          <w:b/>
          <w:bCs/>
          <w:szCs w:val="22"/>
          <w:lang w:eastAsia="en-IN"/>
        </w:rPr>
        <w:t>exercise</w:t>
      </w:r>
      <w:r w:rsidR="002E114A" w:rsidRPr="002E114A">
        <w:rPr>
          <w:rFonts w:ascii="Arial" w:hAnsi="Arial" w:cs="Arial"/>
          <w:b/>
          <w:bCs/>
          <w:szCs w:val="22"/>
          <w:lang w:eastAsia="en-IN"/>
        </w:rPr>
        <w:t xml:space="preserve"> </w:t>
      </w:r>
      <w:r w:rsidR="00A23F8C">
        <w:rPr>
          <w:rFonts w:ascii="Arial" w:hAnsi="Arial" w:cs="Arial"/>
          <w:b/>
          <w:bCs/>
          <w:szCs w:val="22"/>
          <w:lang w:eastAsia="en-IN"/>
        </w:rPr>
        <w:t>which</w:t>
      </w:r>
      <w:r w:rsidR="002E114A" w:rsidRPr="002E114A">
        <w:rPr>
          <w:rFonts w:ascii="Arial" w:hAnsi="Arial" w:cs="Arial"/>
          <w:b/>
          <w:bCs/>
          <w:szCs w:val="22"/>
          <w:lang w:eastAsia="en-IN"/>
        </w:rPr>
        <w:t xml:space="preserve"> would considerably ease the compliance burden for taxpayers</w:t>
      </w:r>
      <w:r w:rsidR="00D52017">
        <w:rPr>
          <w:rFonts w:ascii="Arial" w:hAnsi="Arial" w:cs="Arial"/>
          <w:b/>
          <w:bCs/>
          <w:szCs w:val="22"/>
          <w:lang w:eastAsia="en-IN"/>
        </w:rPr>
        <w:t>, avoid blockage of working capital for businesses</w:t>
      </w:r>
      <w:r w:rsidR="00515A0C">
        <w:rPr>
          <w:rFonts w:ascii="Arial" w:hAnsi="Arial" w:cs="Arial"/>
          <w:b/>
          <w:bCs/>
          <w:szCs w:val="22"/>
          <w:lang w:eastAsia="en-IN"/>
        </w:rPr>
        <w:t>, reduce interest co</w:t>
      </w:r>
      <w:r w:rsidR="00565FDA">
        <w:rPr>
          <w:rFonts w:ascii="Arial" w:hAnsi="Arial" w:cs="Arial"/>
          <w:b/>
          <w:bCs/>
          <w:szCs w:val="22"/>
          <w:lang w:eastAsia="en-IN"/>
        </w:rPr>
        <w:t>st for the Government</w:t>
      </w:r>
      <w:r w:rsidR="002E114A" w:rsidRPr="002E114A">
        <w:rPr>
          <w:rFonts w:ascii="Arial" w:hAnsi="Arial" w:cs="Arial"/>
          <w:b/>
          <w:bCs/>
          <w:szCs w:val="22"/>
          <w:lang w:eastAsia="en-IN"/>
        </w:rPr>
        <w:t xml:space="preserve"> and minimise litigation relating to TDS classification.</w:t>
      </w:r>
      <w:r w:rsidR="007D6157" w:rsidRPr="002E114A">
        <w:rPr>
          <w:rFonts w:ascii="Arial" w:hAnsi="Arial" w:cs="Arial"/>
          <w:b/>
          <w:bCs/>
          <w:szCs w:val="22"/>
          <w:lang w:eastAsia="en-IN"/>
        </w:rPr>
        <w:t xml:space="preserve"> </w:t>
      </w:r>
    </w:p>
    <w:p w:rsidR="00A26C13" w:rsidRPr="002E114A" w:rsidRDefault="00A26C13" w:rsidP="00D70729">
      <w:pPr>
        <w:spacing w:after="0" w:line="276" w:lineRule="auto"/>
        <w:rPr>
          <w:rFonts w:ascii="Arial" w:hAnsi="Arial" w:cs="Arial"/>
          <w:b/>
          <w:bCs/>
          <w:szCs w:val="22"/>
          <w:lang w:eastAsia="en-IN"/>
        </w:rPr>
      </w:pPr>
    </w:p>
    <w:p w:rsidR="006D5756" w:rsidRDefault="006D5756" w:rsidP="00D70729">
      <w:pPr>
        <w:spacing w:after="0" w:line="276" w:lineRule="auto"/>
        <w:rPr>
          <w:rFonts w:ascii="Arial" w:hAnsi="Arial" w:cs="Arial"/>
          <w:szCs w:val="22"/>
          <w:lang w:eastAsia="en-IN"/>
        </w:rPr>
      </w:pPr>
    </w:p>
    <w:p w:rsidR="00D70729" w:rsidRPr="00D70729" w:rsidRDefault="00D70729" w:rsidP="00D70729">
      <w:pPr>
        <w:spacing w:after="0" w:line="276" w:lineRule="auto"/>
        <w:jc w:val="center"/>
        <w:rPr>
          <w:rFonts w:ascii="Arial" w:hAnsi="Arial" w:cs="Arial"/>
          <w:szCs w:val="22"/>
          <w:lang w:eastAsia="en-IN"/>
        </w:rPr>
      </w:pPr>
      <w:r>
        <w:rPr>
          <w:rFonts w:ascii="Arial" w:hAnsi="Arial" w:cs="Arial"/>
          <w:szCs w:val="22"/>
          <w:lang w:eastAsia="en-IN"/>
        </w:rPr>
        <w:t>***</w:t>
      </w:r>
    </w:p>
    <w:p w:rsidR="00684473" w:rsidRPr="00684473" w:rsidRDefault="00684473" w:rsidP="00684473">
      <w:pPr>
        <w:pStyle w:val="ListParagraph"/>
        <w:spacing w:after="0" w:line="276" w:lineRule="auto"/>
        <w:ind w:left="360"/>
        <w:rPr>
          <w:rFonts w:ascii="Arial" w:hAnsi="Arial" w:cs="Arial"/>
          <w:szCs w:val="22"/>
          <w:lang w:eastAsia="en-IN"/>
        </w:rPr>
      </w:pPr>
    </w:p>
    <w:p w:rsidR="006C3C25" w:rsidRDefault="006C3C25">
      <w:pPr>
        <w:rPr>
          <w:rFonts w:ascii="Arial" w:hAnsi="Arial" w:cs="Arial"/>
          <w:b/>
          <w:bCs/>
          <w:szCs w:val="22"/>
          <w:u w:val="single"/>
          <w:lang w:eastAsia="en-IN"/>
        </w:rPr>
      </w:pPr>
      <w:r>
        <w:rPr>
          <w:rFonts w:ascii="Arial" w:hAnsi="Arial" w:cs="Arial"/>
          <w:b/>
          <w:bCs/>
          <w:szCs w:val="22"/>
          <w:u w:val="single"/>
          <w:lang w:eastAsia="en-IN"/>
        </w:rPr>
        <w:br w:type="page"/>
      </w:r>
    </w:p>
    <w:p w:rsidR="00697DBA" w:rsidRPr="00697DBA" w:rsidRDefault="00697DBA" w:rsidP="00F07A1B">
      <w:pPr>
        <w:spacing w:after="0" w:line="276" w:lineRule="auto"/>
        <w:jc w:val="right"/>
        <w:rPr>
          <w:rFonts w:ascii="Arial" w:hAnsi="Arial" w:cs="Arial"/>
          <w:b/>
          <w:bCs/>
          <w:szCs w:val="22"/>
          <w:u w:val="single"/>
          <w:lang w:eastAsia="en-IN"/>
        </w:rPr>
      </w:pPr>
      <w:r w:rsidRPr="00697DBA">
        <w:rPr>
          <w:rFonts w:ascii="Arial" w:hAnsi="Arial" w:cs="Arial"/>
          <w:b/>
          <w:bCs/>
          <w:szCs w:val="22"/>
          <w:u w:val="single"/>
          <w:lang w:eastAsia="en-IN"/>
        </w:rPr>
        <w:lastRenderedPageBreak/>
        <w:t>Annexure</w:t>
      </w:r>
    </w:p>
    <w:p w:rsidR="00697DBA" w:rsidRDefault="00697DBA" w:rsidP="00F07A1B">
      <w:pPr>
        <w:spacing w:after="0" w:line="276" w:lineRule="auto"/>
        <w:jc w:val="center"/>
        <w:rPr>
          <w:rFonts w:ascii="Arial" w:hAnsi="Arial" w:cs="Arial"/>
          <w:b/>
          <w:bCs/>
          <w:szCs w:val="22"/>
          <w:lang w:eastAsia="en-IN"/>
        </w:rPr>
      </w:pPr>
    </w:p>
    <w:p w:rsidR="00697DBA" w:rsidRPr="00697DBA" w:rsidRDefault="00697DBA" w:rsidP="00F07A1B">
      <w:pPr>
        <w:spacing w:after="0" w:line="276" w:lineRule="auto"/>
        <w:jc w:val="center"/>
        <w:rPr>
          <w:rFonts w:ascii="Arial" w:hAnsi="Arial" w:cs="Arial"/>
          <w:szCs w:val="22"/>
          <w:lang w:eastAsia="en-IN"/>
        </w:rPr>
      </w:pPr>
      <w:r w:rsidRPr="00697DBA">
        <w:rPr>
          <w:rFonts w:ascii="Arial" w:hAnsi="Arial" w:cs="Arial"/>
          <w:b/>
          <w:bCs/>
          <w:szCs w:val="22"/>
          <w:lang w:eastAsia="en-IN"/>
        </w:rPr>
        <w:t>Rates for tax deduction at source</w:t>
      </w:r>
    </w:p>
    <w:p w:rsidR="00697DBA" w:rsidRDefault="00697DBA" w:rsidP="00F07A1B">
      <w:pPr>
        <w:spacing w:after="0" w:line="276" w:lineRule="auto"/>
        <w:jc w:val="center"/>
        <w:rPr>
          <w:rFonts w:ascii="Arial" w:hAnsi="Arial" w:cs="Arial"/>
          <w:szCs w:val="22"/>
          <w:lang w:eastAsia="en-IN"/>
        </w:rPr>
      </w:pPr>
      <w:r w:rsidRPr="00697DBA">
        <w:rPr>
          <w:rFonts w:ascii="Arial" w:hAnsi="Arial" w:cs="Arial"/>
          <w:szCs w:val="22"/>
          <w:lang w:eastAsia="en-IN"/>
        </w:rPr>
        <w:t>[For Assessment year 2023-24]</w:t>
      </w:r>
    </w:p>
    <w:tbl>
      <w:tblPr>
        <w:tblStyle w:val="TableGrid"/>
        <w:tblW w:w="9195" w:type="dxa"/>
        <w:tblLook w:val="04A0"/>
      </w:tblPr>
      <w:tblGrid>
        <w:gridCol w:w="1129"/>
        <w:gridCol w:w="1276"/>
        <w:gridCol w:w="4536"/>
        <w:gridCol w:w="2254"/>
      </w:tblGrid>
      <w:tr w:rsidR="000A2DAF" w:rsidRPr="00655AE6" w:rsidTr="00CE7147">
        <w:trPr>
          <w:trHeight w:val="283"/>
          <w:tblHeader/>
        </w:trPr>
        <w:tc>
          <w:tcPr>
            <w:tcW w:w="1129" w:type="dxa"/>
            <w:vAlign w:val="center"/>
          </w:tcPr>
          <w:p w:rsidR="000A2DAF" w:rsidRPr="00655AE6" w:rsidRDefault="009621B5" w:rsidP="00F07A1B">
            <w:pPr>
              <w:spacing w:line="276" w:lineRule="auto"/>
              <w:jc w:val="center"/>
              <w:rPr>
                <w:rFonts w:ascii="Arial" w:hAnsi="Arial" w:cs="Arial"/>
                <w:b/>
                <w:bCs/>
              </w:rPr>
            </w:pPr>
            <w:r>
              <w:rPr>
                <w:rFonts w:ascii="Arial" w:hAnsi="Arial" w:cs="Arial"/>
                <w:b/>
                <w:bCs/>
              </w:rPr>
              <w:t>S</w:t>
            </w:r>
            <w:r w:rsidR="000A2DAF" w:rsidRPr="00655AE6">
              <w:rPr>
                <w:rFonts w:ascii="Arial" w:hAnsi="Arial" w:cs="Arial"/>
                <w:b/>
                <w:bCs/>
              </w:rPr>
              <w:t>. No.</w:t>
            </w:r>
          </w:p>
        </w:tc>
        <w:tc>
          <w:tcPr>
            <w:tcW w:w="1276" w:type="dxa"/>
          </w:tcPr>
          <w:p w:rsidR="000A2DAF" w:rsidRPr="00655AE6" w:rsidRDefault="000A2DAF" w:rsidP="00F07A1B">
            <w:pPr>
              <w:spacing w:line="276" w:lineRule="auto"/>
              <w:rPr>
                <w:rFonts w:ascii="Arial" w:hAnsi="Arial" w:cs="Arial"/>
                <w:b/>
                <w:bCs/>
              </w:rPr>
            </w:pPr>
            <w:r w:rsidRPr="00655AE6">
              <w:rPr>
                <w:rFonts w:ascii="Arial" w:hAnsi="Arial" w:cs="Arial"/>
                <w:b/>
                <w:bCs/>
              </w:rPr>
              <w:t>Section</w:t>
            </w:r>
          </w:p>
        </w:tc>
        <w:tc>
          <w:tcPr>
            <w:tcW w:w="4536" w:type="dxa"/>
            <w:vAlign w:val="center"/>
          </w:tcPr>
          <w:p w:rsidR="000A2DAF" w:rsidRPr="00655AE6" w:rsidRDefault="000A2DAF" w:rsidP="00F07A1B">
            <w:pPr>
              <w:spacing w:line="276" w:lineRule="auto"/>
              <w:rPr>
                <w:rFonts w:ascii="Arial" w:hAnsi="Arial" w:cs="Arial"/>
                <w:b/>
                <w:bCs/>
              </w:rPr>
            </w:pPr>
            <w:r w:rsidRPr="00655AE6">
              <w:rPr>
                <w:rFonts w:ascii="Arial" w:hAnsi="Arial" w:cs="Arial"/>
                <w:b/>
                <w:bCs/>
              </w:rPr>
              <w:t>Particulars</w:t>
            </w:r>
          </w:p>
        </w:tc>
        <w:tc>
          <w:tcPr>
            <w:tcW w:w="2254" w:type="dxa"/>
            <w:vAlign w:val="center"/>
          </w:tcPr>
          <w:p w:rsidR="000A2DAF" w:rsidRPr="00655AE6" w:rsidRDefault="000A2DAF" w:rsidP="00F07A1B">
            <w:pPr>
              <w:spacing w:line="276" w:lineRule="auto"/>
              <w:jc w:val="center"/>
              <w:rPr>
                <w:rFonts w:ascii="Arial" w:hAnsi="Arial" w:cs="Arial"/>
                <w:b/>
                <w:bCs/>
              </w:rPr>
            </w:pPr>
            <w:r w:rsidRPr="00655AE6">
              <w:rPr>
                <w:rFonts w:ascii="Arial" w:hAnsi="Arial" w:cs="Arial"/>
                <w:b/>
                <w:bCs/>
              </w:rPr>
              <w:t>TDS rate (</w:t>
            </w:r>
            <w:r>
              <w:rPr>
                <w:rFonts w:ascii="Arial" w:hAnsi="Arial" w:cs="Arial"/>
                <w:b/>
                <w:bCs/>
              </w:rPr>
              <w:t>%</w:t>
            </w:r>
            <w:r w:rsidRPr="00655AE6">
              <w:rPr>
                <w:rFonts w:ascii="Arial" w:hAnsi="Arial" w:cs="Arial"/>
                <w:b/>
                <w:bCs/>
              </w:rPr>
              <w:t>)</w:t>
            </w:r>
          </w:p>
        </w:tc>
      </w:tr>
      <w:tr w:rsidR="000A2DAF" w:rsidRPr="00655AE6" w:rsidTr="000851A2">
        <w:trPr>
          <w:trHeight w:val="283"/>
        </w:trPr>
        <w:tc>
          <w:tcPr>
            <w:tcW w:w="1129" w:type="dxa"/>
            <w:vAlign w:val="center"/>
          </w:tcPr>
          <w:p w:rsidR="000A2DAF" w:rsidRPr="00655AE6" w:rsidRDefault="000A2DAF" w:rsidP="00F07A1B">
            <w:pPr>
              <w:spacing w:line="276" w:lineRule="auto"/>
              <w:jc w:val="center"/>
              <w:rPr>
                <w:rFonts w:ascii="Arial" w:hAnsi="Arial" w:cs="Arial"/>
              </w:rPr>
            </w:pPr>
            <w:r>
              <w:rPr>
                <w:rFonts w:ascii="Arial" w:hAnsi="Arial" w:cs="Arial"/>
              </w:rPr>
              <w:t>1</w:t>
            </w:r>
          </w:p>
        </w:tc>
        <w:tc>
          <w:tcPr>
            <w:tcW w:w="1276" w:type="dxa"/>
          </w:tcPr>
          <w:p w:rsidR="000A2DAF" w:rsidRPr="00655AE6" w:rsidRDefault="000A2DAF" w:rsidP="00F07A1B">
            <w:pPr>
              <w:spacing w:line="276" w:lineRule="auto"/>
              <w:rPr>
                <w:rFonts w:ascii="Arial" w:hAnsi="Arial" w:cs="Arial"/>
              </w:rPr>
            </w:pPr>
            <w:r>
              <w:rPr>
                <w:rFonts w:ascii="Arial" w:hAnsi="Arial" w:cs="Arial"/>
              </w:rPr>
              <w:t>192</w:t>
            </w:r>
          </w:p>
        </w:tc>
        <w:tc>
          <w:tcPr>
            <w:tcW w:w="4536" w:type="dxa"/>
            <w:vAlign w:val="center"/>
          </w:tcPr>
          <w:p w:rsidR="000A2DAF" w:rsidRPr="00655AE6" w:rsidRDefault="000A2DAF" w:rsidP="00F07A1B">
            <w:pPr>
              <w:spacing w:line="276" w:lineRule="auto"/>
              <w:rPr>
                <w:rFonts w:ascii="Arial" w:hAnsi="Arial" w:cs="Arial"/>
              </w:rPr>
            </w:pPr>
            <w:r w:rsidRPr="00697DBA">
              <w:rPr>
                <w:rFonts w:ascii="Arial" w:hAnsi="Arial" w:cs="Arial"/>
                <w:sz w:val="20"/>
                <w:lang w:eastAsia="en-IN"/>
              </w:rPr>
              <w:t>Payment of salary</w:t>
            </w:r>
          </w:p>
        </w:tc>
        <w:tc>
          <w:tcPr>
            <w:tcW w:w="2254" w:type="dxa"/>
            <w:vAlign w:val="center"/>
          </w:tcPr>
          <w:p w:rsidR="000A2DAF" w:rsidRPr="00655AE6" w:rsidRDefault="000A2DAF" w:rsidP="00F07A1B">
            <w:pPr>
              <w:spacing w:line="276" w:lineRule="auto"/>
              <w:jc w:val="center"/>
              <w:rPr>
                <w:rFonts w:ascii="Arial" w:hAnsi="Arial" w:cs="Arial"/>
              </w:rPr>
            </w:pPr>
            <w:r w:rsidRPr="00697DBA">
              <w:rPr>
                <w:rFonts w:ascii="Arial" w:hAnsi="Arial" w:cs="Arial"/>
                <w:sz w:val="20"/>
                <w:lang w:eastAsia="en-IN"/>
              </w:rPr>
              <w:t>Normal Slab Rate</w:t>
            </w:r>
          </w:p>
        </w:tc>
      </w:tr>
      <w:tr w:rsidR="000A2DAF" w:rsidRPr="00655AE6" w:rsidTr="000851A2">
        <w:trPr>
          <w:trHeight w:val="283"/>
        </w:trPr>
        <w:tc>
          <w:tcPr>
            <w:tcW w:w="1129" w:type="dxa"/>
            <w:vAlign w:val="center"/>
          </w:tcPr>
          <w:p w:rsidR="000A2DAF" w:rsidRPr="00655AE6" w:rsidRDefault="000A2DAF" w:rsidP="00F07A1B">
            <w:pPr>
              <w:spacing w:line="276" w:lineRule="auto"/>
              <w:jc w:val="center"/>
              <w:rPr>
                <w:rFonts w:ascii="Arial" w:hAnsi="Arial" w:cs="Arial"/>
              </w:rPr>
            </w:pPr>
            <w:r>
              <w:rPr>
                <w:rFonts w:ascii="Arial" w:hAnsi="Arial" w:cs="Arial"/>
              </w:rPr>
              <w:t>2</w:t>
            </w:r>
          </w:p>
        </w:tc>
        <w:tc>
          <w:tcPr>
            <w:tcW w:w="1276" w:type="dxa"/>
          </w:tcPr>
          <w:p w:rsidR="000A2DAF" w:rsidRPr="00655AE6" w:rsidRDefault="000A2DAF" w:rsidP="00F07A1B">
            <w:pPr>
              <w:spacing w:line="276" w:lineRule="auto"/>
              <w:rPr>
                <w:rFonts w:ascii="Arial" w:hAnsi="Arial" w:cs="Arial"/>
              </w:rPr>
            </w:pPr>
            <w:r>
              <w:rPr>
                <w:rFonts w:ascii="Arial" w:hAnsi="Arial" w:cs="Arial"/>
              </w:rPr>
              <w:t>192A</w:t>
            </w:r>
          </w:p>
        </w:tc>
        <w:tc>
          <w:tcPr>
            <w:tcW w:w="4536" w:type="dxa"/>
            <w:vAlign w:val="center"/>
          </w:tcPr>
          <w:p w:rsidR="000A2DAF" w:rsidRPr="00655AE6" w:rsidRDefault="000A2DAF" w:rsidP="00F07A1B">
            <w:pPr>
              <w:spacing w:line="276" w:lineRule="auto"/>
              <w:rPr>
                <w:rFonts w:ascii="Arial" w:hAnsi="Arial" w:cs="Arial"/>
              </w:rPr>
            </w:pPr>
            <w:r w:rsidRPr="00697DBA">
              <w:rPr>
                <w:rFonts w:ascii="Arial" w:hAnsi="Arial" w:cs="Arial"/>
                <w:sz w:val="20"/>
                <w:lang w:eastAsia="en-IN"/>
              </w:rPr>
              <w:t>Payment of accumulated balance of provident fund which is taxable in the hands of an employee.</w:t>
            </w:r>
          </w:p>
        </w:tc>
        <w:tc>
          <w:tcPr>
            <w:tcW w:w="2254" w:type="dxa"/>
            <w:vAlign w:val="center"/>
          </w:tcPr>
          <w:p w:rsidR="000A2DAF" w:rsidRPr="00655AE6" w:rsidRDefault="000A2DAF" w:rsidP="00F07A1B">
            <w:pPr>
              <w:spacing w:line="276" w:lineRule="auto"/>
              <w:jc w:val="center"/>
              <w:rPr>
                <w:rFonts w:ascii="Arial" w:hAnsi="Arial" w:cs="Arial"/>
              </w:rPr>
            </w:pPr>
            <w:r w:rsidRPr="00697DBA">
              <w:rPr>
                <w:rFonts w:ascii="Arial" w:hAnsi="Arial" w:cs="Arial"/>
                <w:sz w:val="20"/>
                <w:lang w:eastAsia="en-IN"/>
              </w:rPr>
              <w:t>10</w:t>
            </w:r>
          </w:p>
        </w:tc>
      </w:tr>
      <w:tr w:rsidR="000A2DAF" w:rsidRPr="00655AE6" w:rsidTr="000851A2">
        <w:trPr>
          <w:trHeight w:val="283"/>
        </w:trPr>
        <w:tc>
          <w:tcPr>
            <w:tcW w:w="1129" w:type="dxa"/>
            <w:vMerge w:val="restart"/>
            <w:vAlign w:val="center"/>
          </w:tcPr>
          <w:p w:rsidR="000A2DAF" w:rsidRPr="00655AE6" w:rsidRDefault="000A2DAF" w:rsidP="00F07A1B">
            <w:pPr>
              <w:spacing w:line="276" w:lineRule="auto"/>
              <w:jc w:val="center"/>
              <w:rPr>
                <w:rFonts w:ascii="Arial" w:hAnsi="Arial" w:cs="Arial"/>
              </w:rPr>
            </w:pPr>
            <w:r>
              <w:rPr>
                <w:rFonts w:ascii="Arial" w:hAnsi="Arial" w:cs="Arial"/>
              </w:rPr>
              <w:t>3</w:t>
            </w:r>
          </w:p>
        </w:tc>
        <w:tc>
          <w:tcPr>
            <w:tcW w:w="1276" w:type="dxa"/>
            <w:vMerge w:val="restart"/>
          </w:tcPr>
          <w:p w:rsidR="000A2DAF" w:rsidRPr="00655AE6" w:rsidRDefault="000A2DAF" w:rsidP="00F07A1B">
            <w:pPr>
              <w:spacing w:line="276" w:lineRule="auto"/>
              <w:rPr>
                <w:rFonts w:ascii="Arial" w:hAnsi="Arial" w:cs="Arial"/>
              </w:rPr>
            </w:pPr>
            <w:r>
              <w:rPr>
                <w:rFonts w:ascii="Arial" w:hAnsi="Arial" w:cs="Arial"/>
              </w:rPr>
              <w:t>193</w:t>
            </w:r>
          </w:p>
        </w:tc>
        <w:tc>
          <w:tcPr>
            <w:tcW w:w="4536" w:type="dxa"/>
            <w:vAlign w:val="center"/>
          </w:tcPr>
          <w:p w:rsidR="000A2DAF" w:rsidRPr="00655AE6" w:rsidRDefault="000A2DAF" w:rsidP="00F07A1B">
            <w:pPr>
              <w:spacing w:line="276" w:lineRule="auto"/>
              <w:rPr>
                <w:rFonts w:ascii="Arial" w:hAnsi="Arial" w:cs="Arial"/>
              </w:rPr>
            </w:pPr>
            <w:r w:rsidRPr="00697DBA">
              <w:rPr>
                <w:rFonts w:ascii="Arial" w:hAnsi="Arial" w:cs="Arial"/>
                <w:sz w:val="20"/>
                <w:lang w:eastAsia="en-IN"/>
              </w:rPr>
              <w:t xml:space="preserve">Interest on securities </w:t>
            </w:r>
          </w:p>
        </w:tc>
        <w:tc>
          <w:tcPr>
            <w:tcW w:w="2254" w:type="dxa"/>
            <w:vAlign w:val="center"/>
          </w:tcPr>
          <w:p w:rsidR="000A2DAF" w:rsidRPr="00655AE6" w:rsidRDefault="000A2DAF" w:rsidP="00F07A1B">
            <w:pPr>
              <w:spacing w:line="276" w:lineRule="auto"/>
              <w:jc w:val="center"/>
              <w:rPr>
                <w:rFonts w:ascii="Arial" w:hAnsi="Arial" w:cs="Arial"/>
              </w:rPr>
            </w:pPr>
          </w:p>
        </w:tc>
      </w:tr>
      <w:tr w:rsidR="000A2DAF" w:rsidRPr="00655AE6" w:rsidTr="000851A2">
        <w:trPr>
          <w:trHeight w:val="283"/>
        </w:trPr>
        <w:tc>
          <w:tcPr>
            <w:tcW w:w="1129" w:type="dxa"/>
            <w:vMerge/>
            <w:vAlign w:val="center"/>
          </w:tcPr>
          <w:p w:rsidR="000A2DAF" w:rsidRDefault="000A2DAF" w:rsidP="00F07A1B">
            <w:pPr>
              <w:spacing w:line="276" w:lineRule="auto"/>
              <w:jc w:val="center"/>
              <w:rPr>
                <w:rFonts w:ascii="Arial" w:hAnsi="Arial" w:cs="Arial"/>
              </w:rPr>
            </w:pPr>
          </w:p>
        </w:tc>
        <w:tc>
          <w:tcPr>
            <w:tcW w:w="1276" w:type="dxa"/>
            <w:vMerge/>
          </w:tcPr>
          <w:p w:rsidR="000A2DAF" w:rsidRDefault="000A2DAF" w:rsidP="00F07A1B">
            <w:pPr>
              <w:spacing w:line="276" w:lineRule="auto"/>
              <w:rPr>
                <w:rFonts w:ascii="Arial" w:hAnsi="Arial" w:cs="Arial"/>
              </w:rPr>
            </w:pPr>
          </w:p>
        </w:tc>
        <w:tc>
          <w:tcPr>
            <w:tcW w:w="4536" w:type="dxa"/>
            <w:vAlign w:val="center"/>
          </w:tcPr>
          <w:p w:rsidR="000A2DAF" w:rsidRPr="00697DBA" w:rsidRDefault="000A2DAF" w:rsidP="00F07A1B">
            <w:pPr>
              <w:spacing w:line="276" w:lineRule="auto"/>
              <w:rPr>
                <w:rFonts w:ascii="Arial" w:hAnsi="Arial" w:cs="Arial"/>
                <w:sz w:val="20"/>
                <w:lang w:eastAsia="en-IN"/>
              </w:rPr>
            </w:pPr>
            <w:r w:rsidRPr="00697DBA">
              <w:rPr>
                <w:rFonts w:ascii="Arial" w:hAnsi="Arial" w:cs="Arial"/>
                <w:sz w:val="20"/>
                <w:lang w:eastAsia="en-IN"/>
              </w:rPr>
              <w:t xml:space="preserve">a) any debentures or securities for money issued by or on behalf of any local authority or a corporation established by a Central, State or Provincial Act; </w:t>
            </w:r>
          </w:p>
        </w:tc>
        <w:tc>
          <w:tcPr>
            <w:tcW w:w="2254" w:type="dxa"/>
            <w:vAlign w:val="center"/>
          </w:tcPr>
          <w:p w:rsidR="000A2DAF" w:rsidRPr="00655AE6" w:rsidRDefault="000A2DAF" w:rsidP="00F07A1B">
            <w:pPr>
              <w:spacing w:line="276" w:lineRule="auto"/>
              <w:jc w:val="center"/>
              <w:rPr>
                <w:rFonts w:ascii="Arial" w:hAnsi="Arial" w:cs="Arial"/>
              </w:rPr>
            </w:pPr>
            <w:r w:rsidRPr="00697DBA">
              <w:rPr>
                <w:rFonts w:ascii="Arial" w:hAnsi="Arial" w:cs="Arial"/>
                <w:sz w:val="20"/>
                <w:lang w:eastAsia="en-IN"/>
              </w:rPr>
              <w:t>10</w:t>
            </w:r>
          </w:p>
        </w:tc>
      </w:tr>
      <w:tr w:rsidR="000A2DAF" w:rsidRPr="00655AE6" w:rsidTr="000851A2">
        <w:trPr>
          <w:trHeight w:val="283"/>
        </w:trPr>
        <w:tc>
          <w:tcPr>
            <w:tcW w:w="1129" w:type="dxa"/>
            <w:vMerge/>
            <w:vAlign w:val="center"/>
          </w:tcPr>
          <w:p w:rsidR="000A2DAF" w:rsidRDefault="000A2DAF" w:rsidP="00F07A1B">
            <w:pPr>
              <w:spacing w:line="276" w:lineRule="auto"/>
              <w:jc w:val="center"/>
              <w:rPr>
                <w:rFonts w:ascii="Arial" w:hAnsi="Arial" w:cs="Arial"/>
              </w:rPr>
            </w:pPr>
          </w:p>
        </w:tc>
        <w:tc>
          <w:tcPr>
            <w:tcW w:w="1276" w:type="dxa"/>
            <w:vMerge/>
          </w:tcPr>
          <w:p w:rsidR="000A2DAF" w:rsidRDefault="000A2DAF" w:rsidP="00F07A1B">
            <w:pPr>
              <w:spacing w:line="276" w:lineRule="auto"/>
              <w:rPr>
                <w:rFonts w:ascii="Arial" w:hAnsi="Arial" w:cs="Arial"/>
              </w:rPr>
            </w:pPr>
          </w:p>
        </w:tc>
        <w:tc>
          <w:tcPr>
            <w:tcW w:w="4536" w:type="dxa"/>
            <w:vAlign w:val="center"/>
          </w:tcPr>
          <w:p w:rsidR="000A2DAF" w:rsidRPr="00697DBA" w:rsidRDefault="000A2DAF" w:rsidP="00F07A1B">
            <w:pPr>
              <w:spacing w:line="276" w:lineRule="auto"/>
              <w:rPr>
                <w:rFonts w:ascii="Arial" w:hAnsi="Arial" w:cs="Arial"/>
                <w:sz w:val="20"/>
                <w:lang w:eastAsia="en-IN"/>
              </w:rPr>
            </w:pPr>
            <w:r w:rsidRPr="00697DBA">
              <w:rPr>
                <w:rFonts w:ascii="Arial" w:hAnsi="Arial" w:cs="Arial"/>
                <w:sz w:val="20"/>
                <w:lang w:eastAsia="en-IN"/>
              </w:rPr>
              <w:t xml:space="preserve">b) any debentures issued by a company where such debentures are listed on a recognised stock exchange in accordance with the Securities Contracts (Regulation) Act, 1956 (42 of 1956) and any rules made thereunder; </w:t>
            </w:r>
          </w:p>
        </w:tc>
        <w:tc>
          <w:tcPr>
            <w:tcW w:w="2254" w:type="dxa"/>
            <w:vAlign w:val="center"/>
          </w:tcPr>
          <w:p w:rsidR="000A2DAF" w:rsidRPr="00655AE6" w:rsidRDefault="000A2DAF" w:rsidP="00F07A1B">
            <w:pPr>
              <w:spacing w:line="276" w:lineRule="auto"/>
              <w:jc w:val="center"/>
              <w:rPr>
                <w:rFonts w:ascii="Arial" w:hAnsi="Arial" w:cs="Arial"/>
              </w:rPr>
            </w:pPr>
            <w:r w:rsidRPr="00697DBA">
              <w:rPr>
                <w:rFonts w:ascii="Arial" w:hAnsi="Arial" w:cs="Arial"/>
                <w:sz w:val="20"/>
                <w:lang w:eastAsia="en-IN"/>
              </w:rPr>
              <w:t>10</w:t>
            </w:r>
          </w:p>
        </w:tc>
      </w:tr>
      <w:tr w:rsidR="000A2DAF" w:rsidRPr="00655AE6" w:rsidTr="000851A2">
        <w:trPr>
          <w:trHeight w:val="283"/>
        </w:trPr>
        <w:tc>
          <w:tcPr>
            <w:tcW w:w="1129" w:type="dxa"/>
            <w:vMerge/>
            <w:vAlign w:val="center"/>
          </w:tcPr>
          <w:p w:rsidR="000A2DAF" w:rsidRDefault="000A2DAF" w:rsidP="00F07A1B">
            <w:pPr>
              <w:spacing w:line="276" w:lineRule="auto"/>
              <w:jc w:val="center"/>
              <w:rPr>
                <w:rFonts w:ascii="Arial" w:hAnsi="Arial" w:cs="Arial"/>
              </w:rPr>
            </w:pPr>
          </w:p>
        </w:tc>
        <w:tc>
          <w:tcPr>
            <w:tcW w:w="1276" w:type="dxa"/>
            <w:vMerge/>
          </w:tcPr>
          <w:p w:rsidR="000A2DAF" w:rsidRDefault="000A2DAF" w:rsidP="00F07A1B">
            <w:pPr>
              <w:spacing w:line="276" w:lineRule="auto"/>
              <w:rPr>
                <w:rFonts w:ascii="Arial" w:hAnsi="Arial" w:cs="Arial"/>
              </w:rPr>
            </w:pPr>
          </w:p>
        </w:tc>
        <w:tc>
          <w:tcPr>
            <w:tcW w:w="4536" w:type="dxa"/>
            <w:vAlign w:val="center"/>
          </w:tcPr>
          <w:p w:rsidR="000A2DAF" w:rsidRPr="00697DBA" w:rsidRDefault="000A2DAF" w:rsidP="00F07A1B">
            <w:pPr>
              <w:spacing w:line="276" w:lineRule="auto"/>
              <w:rPr>
                <w:rFonts w:ascii="Arial" w:hAnsi="Arial" w:cs="Arial"/>
                <w:sz w:val="20"/>
                <w:lang w:eastAsia="en-IN"/>
              </w:rPr>
            </w:pPr>
            <w:r w:rsidRPr="00697DBA">
              <w:rPr>
                <w:rFonts w:ascii="Arial" w:hAnsi="Arial" w:cs="Arial"/>
                <w:sz w:val="20"/>
                <w:lang w:eastAsia="en-IN"/>
              </w:rPr>
              <w:t>c) any security of the Central or State Government; [i.e. 8% Savings (Taxable) Bonds, 2003 and 7.75% Saving (Taxable) Bonds, 2018]</w:t>
            </w:r>
          </w:p>
        </w:tc>
        <w:tc>
          <w:tcPr>
            <w:tcW w:w="2254" w:type="dxa"/>
            <w:vAlign w:val="center"/>
          </w:tcPr>
          <w:p w:rsidR="000A2DAF" w:rsidRPr="00655AE6" w:rsidRDefault="000A2DAF" w:rsidP="00F07A1B">
            <w:pPr>
              <w:spacing w:line="276" w:lineRule="auto"/>
              <w:jc w:val="center"/>
              <w:rPr>
                <w:rFonts w:ascii="Arial" w:hAnsi="Arial" w:cs="Arial"/>
              </w:rPr>
            </w:pPr>
            <w:r w:rsidRPr="00697DBA">
              <w:rPr>
                <w:rFonts w:ascii="Arial" w:hAnsi="Arial" w:cs="Arial"/>
                <w:sz w:val="20"/>
                <w:lang w:eastAsia="en-IN"/>
              </w:rPr>
              <w:t>10</w:t>
            </w:r>
          </w:p>
        </w:tc>
      </w:tr>
      <w:tr w:rsidR="000A2DAF" w:rsidRPr="00655AE6" w:rsidTr="000851A2">
        <w:trPr>
          <w:trHeight w:val="283"/>
        </w:trPr>
        <w:tc>
          <w:tcPr>
            <w:tcW w:w="1129" w:type="dxa"/>
            <w:vMerge/>
            <w:vAlign w:val="center"/>
          </w:tcPr>
          <w:p w:rsidR="000A2DAF" w:rsidRDefault="000A2DAF" w:rsidP="00F07A1B">
            <w:pPr>
              <w:spacing w:line="276" w:lineRule="auto"/>
              <w:jc w:val="center"/>
              <w:rPr>
                <w:rFonts w:ascii="Arial" w:hAnsi="Arial" w:cs="Arial"/>
              </w:rPr>
            </w:pPr>
          </w:p>
        </w:tc>
        <w:tc>
          <w:tcPr>
            <w:tcW w:w="1276" w:type="dxa"/>
            <w:vMerge/>
          </w:tcPr>
          <w:p w:rsidR="000A2DAF" w:rsidRDefault="000A2DAF" w:rsidP="00F07A1B">
            <w:pPr>
              <w:spacing w:line="276" w:lineRule="auto"/>
              <w:rPr>
                <w:rFonts w:ascii="Arial" w:hAnsi="Arial" w:cs="Arial"/>
              </w:rPr>
            </w:pPr>
          </w:p>
        </w:tc>
        <w:tc>
          <w:tcPr>
            <w:tcW w:w="4536" w:type="dxa"/>
            <w:vAlign w:val="center"/>
          </w:tcPr>
          <w:p w:rsidR="000A2DAF" w:rsidRPr="00697DBA" w:rsidRDefault="000A2DAF" w:rsidP="00F07A1B">
            <w:pPr>
              <w:spacing w:line="276" w:lineRule="auto"/>
              <w:rPr>
                <w:rFonts w:ascii="Arial" w:hAnsi="Arial" w:cs="Arial"/>
                <w:sz w:val="20"/>
                <w:lang w:eastAsia="en-IN"/>
              </w:rPr>
            </w:pPr>
            <w:r w:rsidRPr="00697DBA">
              <w:rPr>
                <w:rFonts w:ascii="Arial" w:hAnsi="Arial" w:cs="Arial"/>
                <w:sz w:val="20"/>
                <w:lang w:eastAsia="en-IN"/>
              </w:rPr>
              <w:t>d) interest on any other security</w:t>
            </w:r>
          </w:p>
        </w:tc>
        <w:tc>
          <w:tcPr>
            <w:tcW w:w="2254" w:type="dxa"/>
            <w:vAlign w:val="center"/>
          </w:tcPr>
          <w:p w:rsidR="000A2DAF" w:rsidRPr="00655AE6" w:rsidRDefault="000A2DAF" w:rsidP="00F07A1B">
            <w:pPr>
              <w:spacing w:line="276" w:lineRule="auto"/>
              <w:jc w:val="center"/>
              <w:rPr>
                <w:rFonts w:ascii="Arial" w:hAnsi="Arial" w:cs="Arial"/>
              </w:rPr>
            </w:pPr>
            <w:r w:rsidRPr="00697DBA">
              <w:rPr>
                <w:rFonts w:ascii="Arial" w:hAnsi="Arial" w:cs="Arial"/>
                <w:sz w:val="20"/>
                <w:lang w:eastAsia="en-IN"/>
              </w:rPr>
              <w:t>10</w:t>
            </w:r>
          </w:p>
        </w:tc>
      </w:tr>
      <w:tr w:rsidR="000A2DAF" w:rsidRPr="00655AE6" w:rsidTr="000851A2">
        <w:trPr>
          <w:trHeight w:val="283"/>
        </w:trPr>
        <w:tc>
          <w:tcPr>
            <w:tcW w:w="1129" w:type="dxa"/>
            <w:vAlign w:val="center"/>
          </w:tcPr>
          <w:p w:rsidR="000A2DAF" w:rsidRDefault="000A2DAF" w:rsidP="00F07A1B">
            <w:pPr>
              <w:spacing w:line="276" w:lineRule="auto"/>
              <w:jc w:val="center"/>
              <w:rPr>
                <w:rFonts w:ascii="Arial" w:hAnsi="Arial" w:cs="Arial"/>
              </w:rPr>
            </w:pPr>
            <w:r>
              <w:rPr>
                <w:rFonts w:ascii="Arial" w:hAnsi="Arial" w:cs="Arial"/>
              </w:rPr>
              <w:t>4</w:t>
            </w:r>
          </w:p>
        </w:tc>
        <w:tc>
          <w:tcPr>
            <w:tcW w:w="1276" w:type="dxa"/>
          </w:tcPr>
          <w:p w:rsidR="000A2DAF" w:rsidRDefault="000A2DAF" w:rsidP="00F07A1B">
            <w:pPr>
              <w:spacing w:line="276" w:lineRule="auto"/>
              <w:rPr>
                <w:rFonts w:ascii="Arial" w:hAnsi="Arial" w:cs="Arial"/>
              </w:rPr>
            </w:pPr>
            <w:r>
              <w:rPr>
                <w:rFonts w:ascii="Arial" w:hAnsi="Arial" w:cs="Arial"/>
              </w:rPr>
              <w:t>194</w:t>
            </w:r>
          </w:p>
        </w:tc>
        <w:tc>
          <w:tcPr>
            <w:tcW w:w="4536" w:type="dxa"/>
            <w:vAlign w:val="center"/>
          </w:tcPr>
          <w:p w:rsidR="000A2DAF" w:rsidRPr="00655AE6" w:rsidRDefault="000A2DAF" w:rsidP="00F07A1B">
            <w:pPr>
              <w:spacing w:line="276" w:lineRule="auto"/>
              <w:rPr>
                <w:rFonts w:ascii="Arial" w:hAnsi="Arial" w:cs="Arial"/>
              </w:rPr>
            </w:pPr>
            <w:r w:rsidRPr="00697DBA">
              <w:rPr>
                <w:rFonts w:ascii="Arial" w:hAnsi="Arial" w:cs="Arial"/>
                <w:sz w:val="20"/>
                <w:lang w:eastAsia="en-IN"/>
              </w:rPr>
              <w:t>Income by way of dividend</w:t>
            </w:r>
          </w:p>
        </w:tc>
        <w:tc>
          <w:tcPr>
            <w:tcW w:w="2254" w:type="dxa"/>
            <w:vAlign w:val="center"/>
          </w:tcPr>
          <w:p w:rsidR="000A2DAF" w:rsidRPr="00655AE6" w:rsidRDefault="000A2DAF" w:rsidP="00F07A1B">
            <w:pPr>
              <w:spacing w:line="276" w:lineRule="auto"/>
              <w:jc w:val="center"/>
              <w:rPr>
                <w:rFonts w:ascii="Arial" w:hAnsi="Arial" w:cs="Arial"/>
              </w:rPr>
            </w:pPr>
            <w:r w:rsidRPr="00697DBA">
              <w:rPr>
                <w:rFonts w:ascii="Arial" w:hAnsi="Arial" w:cs="Arial"/>
                <w:sz w:val="20"/>
                <w:lang w:eastAsia="en-IN"/>
              </w:rPr>
              <w:t>10</w:t>
            </w:r>
          </w:p>
        </w:tc>
      </w:tr>
      <w:tr w:rsidR="000A2DAF" w:rsidRPr="00655AE6" w:rsidTr="000851A2">
        <w:trPr>
          <w:trHeight w:val="283"/>
        </w:trPr>
        <w:tc>
          <w:tcPr>
            <w:tcW w:w="1129" w:type="dxa"/>
            <w:vAlign w:val="center"/>
          </w:tcPr>
          <w:p w:rsidR="000A2DAF" w:rsidRDefault="000A2DAF" w:rsidP="00F07A1B">
            <w:pPr>
              <w:spacing w:line="276" w:lineRule="auto"/>
              <w:jc w:val="center"/>
              <w:rPr>
                <w:rFonts w:ascii="Arial" w:hAnsi="Arial" w:cs="Arial"/>
              </w:rPr>
            </w:pPr>
            <w:r>
              <w:rPr>
                <w:rFonts w:ascii="Arial" w:hAnsi="Arial" w:cs="Arial"/>
              </w:rPr>
              <w:t>5</w:t>
            </w:r>
          </w:p>
        </w:tc>
        <w:tc>
          <w:tcPr>
            <w:tcW w:w="1276" w:type="dxa"/>
          </w:tcPr>
          <w:p w:rsidR="000A2DAF" w:rsidRDefault="000A2DAF" w:rsidP="00F07A1B">
            <w:pPr>
              <w:spacing w:line="276" w:lineRule="auto"/>
              <w:rPr>
                <w:rFonts w:ascii="Arial" w:hAnsi="Arial" w:cs="Arial"/>
              </w:rPr>
            </w:pPr>
            <w:r>
              <w:rPr>
                <w:rFonts w:ascii="Arial" w:hAnsi="Arial" w:cs="Arial"/>
              </w:rPr>
              <w:t>194A</w:t>
            </w:r>
          </w:p>
        </w:tc>
        <w:tc>
          <w:tcPr>
            <w:tcW w:w="4536" w:type="dxa"/>
            <w:vAlign w:val="center"/>
          </w:tcPr>
          <w:p w:rsidR="000A2DAF" w:rsidRPr="00655AE6" w:rsidRDefault="000A2DAF" w:rsidP="00F07A1B">
            <w:pPr>
              <w:spacing w:line="276" w:lineRule="auto"/>
              <w:rPr>
                <w:rFonts w:ascii="Arial" w:hAnsi="Arial" w:cs="Arial"/>
              </w:rPr>
            </w:pPr>
            <w:r w:rsidRPr="00697DBA">
              <w:rPr>
                <w:rFonts w:ascii="Arial" w:hAnsi="Arial" w:cs="Arial"/>
                <w:sz w:val="20"/>
                <w:lang w:eastAsia="en-IN"/>
              </w:rPr>
              <w:t>Income by way of interest other than "Interest on securities"</w:t>
            </w:r>
          </w:p>
        </w:tc>
        <w:tc>
          <w:tcPr>
            <w:tcW w:w="2254" w:type="dxa"/>
            <w:vAlign w:val="center"/>
          </w:tcPr>
          <w:p w:rsidR="000A2DAF" w:rsidRPr="00655AE6" w:rsidRDefault="000A2DAF" w:rsidP="00F07A1B">
            <w:pPr>
              <w:spacing w:line="276" w:lineRule="auto"/>
              <w:jc w:val="center"/>
              <w:rPr>
                <w:rFonts w:ascii="Arial" w:hAnsi="Arial" w:cs="Arial"/>
              </w:rPr>
            </w:pPr>
            <w:r w:rsidRPr="00697DBA">
              <w:rPr>
                <w:rFonts w:ascii="Arial" w:hAnsi="Arial" w:cs="Arial"/>
                <w:sz w:val="20"/>
                <w:lang w:eastAsia="en-IN"/>
              </w:rPr>
              <w:t>10</w:t>
            </w:r>
          </w:p>
        </w:tc>
      </w:tr>
      <w:tr w:rsidR="000A2DAF" w:rsidRPr="00655AE6" w:rsidTr="000851A2">
        <w:trPr>
          <w:trHeight w:val="283"/>
        </w:trPr>
        <w:tc>
          <w:tcPr>
            <w:tcW w:w="1129" w:type="dxa"/>
            <w:vAlign w:val="center"/>
          </w:tcPr>
          <w:p w:rsidR="000A2DAF" w:rsidRDefault="000A2DAF" w:rsidP="00F07A1B">
            <w:pPr>
              <w:spacing w:line="276" w:lineRule="auto"/>
              <w:jc w:val="center"/>
              <w:rPr>
                <w:rFonts w:ascii="Arial" w:hAnsi="Arial" w:cs="Arial"/>
              </w:rPr>
            </w:pPr>
            <w:r>
              <w:rPr>
                <w:rFonts w:ascii="Arial" w:hAnsi="Arial" w:cs="Arial"/>
              </w:rPr>
              <w:t>6</w:t>
            </w:r>
          </w:p>
        </w:tc>
        <w:tc>
          <w:tcPr>
            <w:tcW w:w="1276" w:type="dxa"/>
          </w:tcPr>
          <w:p w:rsidR="000A2DAF" w:rsidRDefault="000A2DAF" w:rsidP="00F07A1B">
            <w:pPr>
              <w:spacing w:line="276" w:lineRule="auto"/>
              <w:rPr>
                <w:rFonts w:ascii="Arial" w:hAnsi="Arial" w:cs="Arial"/>
              </w:rPr>
            </w:pPr>
            <w:r>
              <w:rPr>
                <w:rFonts w:ascii="Arial" w:hAnsi="Arial" w:cs="Arial"/>
              </w:rPr>
              <w:t>194B</w:t>
            </w:r>
          </w:p>
        </w:tc>
        <w:tc>
          <w:tcPr>
            <w:tcW w:w="4536" w:type="dxa"/>
            <w:vAlign w:val="center"/>
          </w:tcPr>
          <w:p w:rsidR="000A2DAF" w:rsidRPr="00655AE6" w:rsidRDefault="000A2DAF" w:rsidP="00F07A1B">
            <w:pPr>
              <w:spacing w:line="276" w:lineRule="auto"/>
              <w:rPr>
                <w:rFonts w:ascii="Arial" w:hAnsi="Arial" w:cs="Arial"/>
              </w:rPr>
            </w:pPr>
            <w:r w:rsidRPr="00697DBA">
              <w:rPr>
                <w:rFonts w:ascii="Arial" w:hAnsi="Arial" w:cs="Arial"/>
                <w:sz w:val="20"/>
                <w:lang w:eastAsia="en-IN"/>
              </w:rPr>
              <w:t>Income by way of winnings from lotteries, crossword puzzles, card games and other games of any sort</w:t>
            </w:r>
          </w:p>
        </w:tc>
        <w:tc>
          <w:tcPr>
            <w:tcW w:w="2254" w:type="dxa"/>
            <w:vAlign w:val="center"/>
          </w:tcPr>
          <w:p w:rsidR="000A2DAF" w:rsidRPr="00655AE6" w:rsidRDefault="000A2DAF" w:rsidP="00F07A1B">
            <w:pPr>
              <w:spacing w:line="276" w:lineRule="auto"/>
              <w:jc w:val="center"/>
              <w:rPr>
                <w:rFonts w:ascii="Arial" w:hAnsi="Arial" w:cs="Arial"/>
              </w:rPr>
            </w:pPr>
            <w:r w:rsidRPr="00697DBA">
              <w:rPr>
                <w:rFonts w:ascii="Arial" w:hAnsi="Arial" w:cs="Arial"/>
                <w:sz w:val="20"/>
                <w:lang w:eastAsia="en-IN"/>
              </w:rPr>
              <w:t>30</w:t>
            </w:r>
          </w:p>
        </w:tc>
      </w:tr>
      <w:tr w:rsidR="000A2DAF" w:rsidRPr="00655AE6" w:rsidTr="000851A2">
        <w:trPr>
          <w:trHeight w:val="283"/>
        </w:trPr>
        <w:tc>
          <w:tcPr>
            <w:tcW w:w="1129" w:type="dxa"/>
            <w:vAlign w:val="center"/>
          </w:tcPr>
          <w:p w:rsidR="000A2DAF" w:rsidRDefault="000A2DAF" w:rsidP="00F07A1B">
            <w:pPr>
              <w:spacing w:line="276" w:lineRule="auto"/>
              <w:jc w:val="center"/>
              <w:rPr>
                <w:rFonts w:ascii="Arial" w:hAnsi="Arial" w:cs="Arial"/>
              </w:rPr>
            </w:pPr>
            <w:r>
              <w:rPr>
                <w:rFonts w:ascii="Arial" w:hAnsi="Arial" w:cs="Arial"/>
              </w:rPr>
              <w:t>7</w:t>
            </w:r>
          </w:p>
        </w:tc>
        <w:tc>
          <w:tcPr>
            <w:tcW w:w="1276" w:type="dxa"/>
          </w:tcPr>
          <w:p w:rsidR="000A2DAF" w:rsidRDefault="000A2DAF" w:rsidP="00F07A1B">
            <w:pPr>
              <w:spacing w:line="276" w:lineRule="auto"/>
              <w:rPr>
                <w:rFonts w:ascii="Arial" w:hAnsi="Arial" w:cs="Arial"/>
              </w:rPr>
            </w:pPr>
            <w:r>
              <w:rPr>
                <w:rFonts w:ascii="Arial" w:hAnsi="Arial" w:cs="Arial"/>
              </w:rPr>
              <w:t>194BB</w:t>
            </w:r>
          </w:p>
        </w:tc>
        <w:tc>
          <w:tcPr>
            <w:tcW w:w="4536" w:type="dxa"/>
            <w:vAlign w:val="center"/>
          </w:tcPr>
          <w:p w:rsidR="000A2DAF" w:rsidRPr="00655AE6" w:rsidRDefault="000A2DAF" w:rsidP="00F07A1B">
            <w:pPr>
              <w:spacing w:line="276" w:lineRule="auto"/>
              <w:rPr>
                <w:rFonts w:ascii="Arial" w:hAnsi="Arial" w:cs="Arial"/>
              </w:rPr>
            </w:pPr>
            <w:r w:rsidRPr="00697DBA">
              <w:rPr>
                <w:rFonts w:ascii="Arial" w:hAnsi="Arial" w:cs="Arial"/>
                <w:sz w:val="20"/>
                <w:lang w:eastAsia="en-IN"/>
              </w:rPr>
              <w:t>Income by way of winnings from horse races</w:t>
            </w:r>
          </w:p>
        </w:tc>
        <w:tc>
          <w:tcPr>
            <w:tcW w:w="2254" w:type="dxa"/>
            <w:vAlign w:val="center"/>
          </w:tcPr>
          <w:p w:rsidR="000A2DAF" w:rsidRPr="00655AE6" w:rsidRDefault="000A2DAF" w:rsidP="00F07A1B">
            <w:pPr>
              <w:spacing w:line="276" w:lineRule="auto"/>
              <w:jc w:val="center"/>
              <w:rPr>
                <w:rFonts w:ascii="Arial" w:hAnsi="Arial" w:cs="Arial"/>
              </w:rPr>
            </w:pPr>
            <w:r w:rsidRPr="00697DBA">
              <w:rPr>
                <w:rFonts w:ascii="Arial" w:hAnsi="Arial" w:cs="Arial"/>
                <w:sz w:val="20"/>
                <w:lang w:eastAsia="en-IN"/>
              </w:rPr>
              <w:t>30</w:t>
            </w:r>
          </w:p>
        </w:tc>
      </w:tr>
      <w:tr w:rsidR="000A2DAF" w:rsidRPr="00655AE6" w:rsidTr="000851A2">
        <w:trPr>
          <w:trHeight w:val="283"/>
        </w:trPr>
        <w:tc>
          <w:tcPr>
            <w:tcW w:w="1129" w:type="dxa"/>
            <w:vMerge w:val="restart"/>
            <w:vAlign w:val="center"/>
          </w:tcPr>
          <w:p w:rsidR="000A2DAF" w:rsidRDefault="000A2DAF" w:rsidP="00F07A1B">
            <w:pPr>
              <w:spacing w:line="276" w:lineRule="auto"/>
              <w:jc w:val="center"/>
              <w:rPr>
                <w:rFonts w:ascii="Arial" w:hAnsi="Arial" w:cs="Arial"/>
              </w:rPr>
            </w:pPr>
            <w:r>
              <w:rPr>
                <w:rFonts w:ascii="Arial" w:hAnsi="Arial" w:cs="Arial"/>
              </w:rPr>
              <w:t>8</w:t>
            </w:r>
          </w:p>
        </w:tc>
        <w:tc>
          <w:tcPr>
            <w:tcW w:w="1276" w:type="dxa"/>
            <w:vMerge w:val="restart"/>
          </w:tcPr>
          <w:p w:rsidR="000A2DAF" w:rsidRDefault="000A2DAF" w:rsidP="00F07A1B">
            <w:pPr>
              <w:spacing w:line="276" w:lineRule="auto"/>
              <w:rPr>
                <w:rFonts w:ascii="Arial" w:hAnsi="Arial" w:cs="Arial"/>
              </w:rPr>
            </w:pPr>
            <w:r>
              <w:rPr>
                <w:rFonts w:ascii="Arial" w:hAnsi="Arial" w:cs="Arial"/>
              </w:rPr>
              <w:t>194C</w:t>
            </w:r>
          </w:p>
        </w:tc>
        <w:tc>
          <w:tcPr>
            <w:tcW w:w="4536" w:type="dxa"/>
            <w:vAlign w:val="center"/>
          </w:tcPr>
          <w:p w:rsidR="000A2DAF" w:rsidRPr="00655AE6" w:rsidRDefault="000A2DAF" w:rsidP="00F07A1B">
            <w:pPr>
              <w:spacing w:line="276" w:lineRule="auto"/>
              <w:rPr>
                <w:rFonts w:ascii="Arial" w:hAnsi="Arial" w:cs="Arial"/>
              </w:rPr>
            </w:pPr>
            <w:r w:rsidRPr="00697DBA">
              <w:rPr>
                <w:rFonts w:ascii="Arial" w:hAnsi="Arial" w:cs="Arial"/>
                <w:sz w:val="20"/>
                <w:lang w:eastAsia="en-IN"/>
              </w:rPr>
              <w:t>Payment to contractor/sub-contractor</w:t>
            </w:r>
          </w:p>
        </w:tc>
        <w:tc>
          <w:tcPr>
            <w:tcW w:w="2254" w:type="dxa"/>
            <w:vAlign w:val="center"/>
          </w:tcPr>
          <w:p w:rsidR="000A2DAF" w:rsidRPr="00655AE6" w:rsidRDefault="000A2DAF" w:rsidP="00F07A1B">
            <w:pPr>
              <w:spacing w:line="276" w:lineRule="auto"/>
              <w:jc w:val="center"/>
              <w:rPr>
                <w:rFonts w:ascii="Arial" w:hAnsi="Arial" w:cs="Arial"/>
              </w:rPr>
            </w:pPr>
          </w:p>
        </w:tc>
      </w:tr>
      <w:tr w:rsidR="000A2DAF" w:rsidRPr="00655AE6" w:rsidTr="000851A2">
        <w:trPr>
          <w:trHeight w:val="283"/>
        </w:trPr>
        <w:tc>
          <w:tcPr>
            <w:tcW w:w="1129" w:type="dxa"/>
            <w:vMerge/>
            <w:vAlign w:val="center"/>
          </w:tcPr>
          <w:p w:rsidR="000A2DAF" w:rsidRDefault="000A2DAF" w:rsidP="00F07A1B">
            <w:pPr>
              <w:spacing w:line="276" w:lineRule="auto"/>
              <w:jc w:val="center"/>
              <w:rPr>
                <w:rFonts w:ascii="Arial" w:hAnsi="Arial" w:cs="Arial"/>
              </w:rPr>
            </w:pPr>
          </w:p>
        </w:tc>
        <w:tc>
          <w:tcPr>
            <w:tcW w:w="1276" w:type="dxa"/>
            <w:vMerge/>
          </w:tcPr>
          <w:p w:rsidR="000A2DAF" w:rsidRDefault="000A2DAF" w:rsidP="00F07A1B">
            <w:pPr>
              <w:spacing w:line="276" w:lineRule="auto"/>
              <w:rPr>
                <w:rFonts w:ascii="Arial" w:hAnsi="Arial" w:cs="Arial"/>
              </w:rPr>
            </w:pPr>
          </w:p>
        </w:tc>
        <w:tc>
          <w:tcPr>
            <w:tcW w:w="4536" w:type="dxa"/>
            <w:vAlign w:val="center"/>
          </w:tcPr>
          <w:p w:rsidR="000A2DAF" w:rsidRPr="00655AE6" w:rsidRDefault="000A2DAF" w:rsidP="00F07A1B">
            <w:pPr>
              <w:spacing w:line="276" w:lineRule="auto"/>
              <w:rPr>
                <w:rFonts w:ascii="Arial" w:hAnsi="Arial" w:cs="Arial"/>
              </w:rPr>
            </w:pPr>
            <w:r w:rsidRPr="00697DBA">
              <w:rPr>
                <w:rFonts w:ascii="Arial" w:hAnsi="Arial" w:cs="Arial"/>
                <w:sz w:val="20"/>
                <w:lang w:eastAsia="en-IN"/>
              </w:rPr>
              <w:t xml:space="preserve">a) HUF/Individuals </w:t>
            </w:r>
          </w:p>
        </w:tc>
        <w:tc>
          <w:tcPr>
            <w:tcW w:w="2254" w:type="dxa"/>
            <w:vAlign w:val="center"/>
          </w:tcPr>
          <w:p w:rsidR="000A2DAF" w:rsidRPr="00655AE6" w:rsidRDefault="000A2DAF" w:rsidP="00F07A1B">
            <w:pPr>
              <w:spacing w:line="276" w:lineRule="auto"/>
              <w:jc w:val="center"/>
              <w:rPr>
                <w:rFonts w:ascii="Arial" w:hAnsi="Arial" w:cs="Arial"/>
              </w:rPr>
            </w:pPr>
            <w:r w:rsidRPr="00697DBA">
              <w:rPr>
                <w:rFonts w:ascii="Arial" w:hAnsi="Arial" w:cs="Arial"/>
                <w:sz w:val="20"/>
                <w:lang w:eastAsia="en-IN"/>
              </w:rPr>
              <w:t>1</w:t>
            </w:r>
          </w:p>
        </w:tc>
      </w:tr>
      <w:tr w:rsidR="000A2DAF" w:rsidRPr="00655AE6" w:rsidTr="000851A2">
        <w:trPr>
          <w:trHeight w:val="283"/>
        </w:trPr>
        <w:tc>
          <w:tcPr>
            <w:tcW w:w="1129" w:type="dxa"/>
            <w:vMerge/>
            <w:vAlign w:val="center"/>
          </w:tcPr>
          <w:p w:rsidR="000A2DAF" w:rsidRDefault="000A2DAF" w:rsidP="00F07A1B">
            <w:pPr>
              <w:spacing w:line="276" w:lineRule="auto"/>
              <w:jc w:val="center"/>
              <w:rPr>
                <w:rFonts w:ascii="Arial" w:hAnsi="Arial" w:cs="Arial"/>
              </w:rPr>
            </w:pPr>
          </w:p>
        </w:tc>
        <w:tc>
          <w:tcPr>
            <w:tcW w:w="1276" w:type="dxa"/>
            <w:vMerge/>
          </w:tcPr>
          <w:p w:rsidR="000A2DAF" w:rsidRDefault="000A2DAF" w:rsidP="00F07A1B">
            <w:pPr>
              <w:spacing w:line="276" w:lineRule="auto"/>
              <w:rPr>
                <w:rFonts w:ascii="Arial" w:hAnsi="Arial" w:cs="Arial"/>
              </w:rPr>
            </w:pPr>
          </w:p>
        </w:tc>
        <w:tc>
          <w:tcPr>
            <w:tcW w:w="4536" w:type="dxa"/>
            <w:vAlign w:val="center"/>
          </w:tcPr>
          <w:p w:rsidR="000A2DAF" w:rsidRPr="00655AE6" w:rsidRDefault="000A2DAF" w:rsidP="00F07A1B">
            <w:pPr>
              <w:spacing w:line="276" w:lineRule="auto"/>
              <w:rPr>
                <w:rFonts w:ascii="Arial" w:hAnsi="Arial" w:cs="Arial"/>
              </w:rPr>
            </w:pPr>
            <w:r w:rsidRPr="00697DBA">
              <w:rPr>
                <w:rFonts w:ascii="Arial" w:hAnsi="Arial" w:cs="Arial"/>
                <w:sz w:val="20"/>
                <w:lang w:eastAsia="en-IN"/>
              </w:rPr>
              <w:t>b) Others</w:t>
            </w:r>
          </w:p>
        </w:tc>
        <w:tc>
          <w:tcPr>
            <w:tcW w:w="2254" w:type="dxa"/>
            <w:vAlign w:val="center"/>
          </w:tcPr>
          <w:p w:rsidR="000A2DAF" w:rsidRPr="00655AE6" w:rsidRDefault="000A2DAF" w:rsidP="00F07A1B">
            <w:pPr>
              <w:spacing w:line="276" w:lineRule="auto"/>
              <w:jc w:val="center"/>
              <w:rPr>
                <w:rFonts w:ascii="Arial" w:hAnsi="Arial" w:cs="Arial"/>
              </w:rPr>
            </w:pPr>
            <w:r w:rsidRPr="00697DBA">
              <w:rPr>
                <w:rFonts w:ascii="Arial" w:hAnsi="Arial" w:cs="Arial"/>
                <w:sz w:val="20"/>
                <w:lang w:eastAsia="en-IN"/>
              </w:rPr>
              <w:t>2</w:t>
            </w:r>
          </w:p>
        </w:tc>
      </w:tr>
      <w:tr w:rsidR="000A2DAF" w:rsidRPr="00655AE6" w:rsidTr="000851A2">
        <w:trPr>
          <w:trHeight w:val="283"/>
        </w:trPr>
        <w:tc>
          <w:tcPr>
            <w:tcW w:w="1129" w:type="dxa"/>
            <w:vAlign w:val="center"/>
          </w:tcPr>
          <w:p w:rsidR="000A2DAF" w:rsidRDefault="000A2DAF" w:rsidP="00F07A1B">
            <w:pPr>
              <w:spacing w:line="276" w:lineRule="auto"/>
              <w:jc w:val="center"/>
              <w:rPr>
                <w:rFonts w:ascii="Arial" w:hAnsi="Arial" w:cs="Arial"/>
              </w:rPr>
            </w:pPr>
            <w:r>
              <w:rPr>
                <w:rFonts w:ascii="Arial" w:hAnsi="Arial" w:cs="Arial"/>
              </w:rPr>
              <w:t>9</w:t>
            </w:r>
          </w:p>
        </w:tc>
        <w:tc>
          <w:tcPr>
            <w:tcW w:w="1276" w:type="dxa"/>
          </w:tcPr>
          <w:p w:rsidR="000A2DAF" w:rsidRDefault="000A2DAF" w:rsidP="00F07A1B">
            <w:pPr>
              <w:spacing w:line="276" w:lineRule="auto"/>
              <w:rPr>
                <w:rFonts w:ascii="Arial" w:hAnsi="Arial" w:cs="Arial"/>
              </w:rPr>
            </w:pPr>
            <w:r>
              <w:rPr>
                <w:rFonts w:ascii="Arial" w:hAnsi="Arial" w:cs="Arial"/>
              </w:rPr>
              <w:t>194D</w:t>
            </w:r>
          </w:p>
        </w:tc>
        <w:tc>
          <w:tcPr>
            <w:tcW w:w="4536" w:type="dxa"/>
            <w:vAlign w:val="center"/>
          </w:tcPr>
          <w:p w:rsidR="000A2DAF" w:rsidRPr="00655AE6" w:rsidRDefault="000A2DAF" w:rsidP="00F07A1B">
            <w:pPr>
              <w:spacing w:line="276" w:lineRule="auto"/>
              <w:rPr>
                <w:rFonts w:ascii="Arial" w:hAnsi="Arial" w:cs="Arial"/>
              </w:rPr>
            </w:pPr>
            <w:r w:rsidRPr="00697DBA">
              <w:rPr>
                <w:rFonts w:ascii="Arial" w:hAnsi="Arial" w:cs="Arial"/>
                <w:sz w:val="20"/>
                <w:lang w:eastAsia="en-IN"/>
              </w:rPr>
              <w:t>Insurance commission</w:t>
            </w:r>
          </w:p>
        </w:tc>
        <w:tc>
          <w:tcPr>
            <w:tcW w:w="2254" w:type="dxa"/>
            <w:vAlign w:val="center"/>
          </w:tcPr>
          <w:p w:rsidR="000A2DAF" w:rsidRPr="00655AE6" w:rsidRDefault="000A2DAF" w:rsidP="00F07A1B">
            <w:pPr>
              <w:spacing w:line="276" w:lineRule="auto"/>
              <w:jc w:val="center"/>
              <w:rPr>
                <w:rFonts w:ascii="Arial" w:hAnsi="Arial" w:cs="Arial"/>
              </w:rPr>
            </w:pPr>
            <w:r w:rsidRPr="00697DBA">
              <w:rPr>
                <w:rFonts w:ascii="Arial" w:hAnsi="Arial" w:cs="Arial"/>
                <w:sz w:val="20"/>
                <w:lang w:eastAsia="en-IN"/>
              </w:rPr>
              <w:t>5</w:t>
            </w:r>
          </w:p>
        </w:tc>
      </w:tr>
      <w:tr w:rsidR="000A2DAF" w:rsidRPr="00655AE6" w:rsidTr="000851A2">
        <w:trPr>
          <w:trHeight w:val="283"/>
        </w:trPr>
        <w:tc>
          <w:tcPr>
            <w:tcW w:w="1129" w:type="dxa"/>
            <w:vAlign w:val="center"/>
          </w:tcPr>
          <w:p w:rsidR="000A2DAF" w:rsidRDefault="000A2DAF" w:rsidP="00F07A1B">
            <w:pPr>
              <w:spacing w:line="276" w:lineRule="auto"/>
              <w:jc w:val="center"/>
              <w:rPr>
                <w:rFonts w:ascii="Arial" w:hAnsi="Arial" w:cs="Arial"/>
              </w:rPr>
            </w:pPr>
            <w:r>
              <w:rPr>
                <w:rFonts w:ascii="Arial" w:hAnsi="Arial" w:cs="Arial"/>
              </w:rPr>
              <w:t>10</w:t>
            </w:r>
          </w:p>
        </w:tc>
        <w:tc>
          <w:tcPr>
            <w:tcW w:w="1276" w:type="dxa"/>
          </w:tcPr>
          <w:p w:rsidR="000A2DAF" w:rsidRDefault="000A2DAF" w:rsidP="00F07A1B">
            <w:pPr>
              <w:spacing w:line="276" w:lineRule="auto"/>
              <w:rPr>
                <w:rFonts w:ascii="Arial" w:hAnsi="Arial" w:cs="Arial"/>
              </w:rPr>
            </w:pPr>
            <w:r>
              <w:rPr>
                <w:rFonts w:ascii="Arial" w:hAnsi="Arial" w:cs="Arial"/>
              </w:rPr>
              <w:t>194DA</w:t>
            </w:r>
          </w:p>
        </w:tc>
        <w:tc>
          <w:tcPr>
            <w:tcW w:w="4536" w:type="dxa"/>
            <w:vAlign w:val="center"/>
          </w:tcPr>
          <w:p w:rsidR="000A2DAF" w:rsidRDefault="000A2DAF" w:rsidP="00F07A1B">
            <w:pPr>
              <w:spacing w:line="276" w:lineRule="auto"/>
              <w:rPr>
                <w:rFonts w:ascii="Arial" w:hAnsi="Arial" w:cs="Arial"/>
                <w:sz w:val="20"/>
                <w:lang w:eastAsia="en-IN"/>
              </w:rPr>
            </w:pPr>
            <w:r w:rsidRPr="00697DBA">
              <w:rPr>
                <w:rFonts w:ascii="Arial" w:hAnsi="Arial" w:cs="Arial"/>
                <w:sz w:val="20"/>
                <w:lang w:eastAsia="en-IN"/>
              </w:rPr>
              <w:t>Payment in respect of life insurance policy</w:t>
            </w:r>
          </w:p>
          <w:p w:rsidR="000A2DAF" w:rsidRPr="00655AE6" w:rsidRDefault="000A2DAF" w:rsidP="00F07A1B">
            <w:pPr>
              <w:spacing w:line="276" w:lineRule="auto"/>
              <w:rPr>
                <w:rFonts w:ascii="Arial" w:hAnsi="Arial" w:cs="Arial"/>
              </w:rPr>
            </w:pPr>
            <w:r w:rsidRPr="00697DBA">
              <w:rPr>
                <w:rFonts w:ascii="Arial" w:hAnsi="Arial" w:cs="Arial"/>
                <w:sz w:val="20"/>
                <w:lang w:eastAsia="en-IN"/>
              </w:rPr>
              <w:t>w.e.f. 1/9/2019, the tax shall be deducted on the amount of income comprised in insurance pay-out</w:t>
            </w:r>
          </w:p>
        </w:tc>
        <w:tc>
          <w:tcPr>
            <w:tcW w:w="2254" w:type="dxa"/>
            <w:vAlign w:val="center"/>
          </w:tcPr>
          <w:p w:rsidR="000A2DAF" w:rsidRPr="00655AE6" w:rsidRDefault="000A2DAF" w:rsidP="00F07A1B">
            <w:pPr>
              <w:spacing w:line="276" w:lineRule="auto"/>
              <w:jc w:val="center"/>
              <w:rPr>
                <w:rFonts w:ascii="Arial" w:hAnsi="Arial" w:cs="Arial"/>
              </w:rPr>
            </w:pPr>
            <w:r w:rsidRPr="00697DBA">
              <w:rPr>
                <w:rFonts w:ascii="Arial" w:hAnsi="Arial" w:cs="Arial"/>
                <w:sz w:val="20"/>
                <w:lang w:eastAsia="en-IN"/>
              </w:rPr>
              <w:t>5</w:t>
            </w:r>
          </w:p>
        </w:tc>
      </w:tr>
      <w:tr w:rsidR="000A2DAF" w:rsidRPr="00655AE6" w:rsidTr="000851A2">
        <w:trPr>
          <w:trHeight w:val="283"/>
        </w:trPr>
        <w:tc>
          <w:tcPr>
            <w:tcW w:w="1129" w:type="dxa"/>
            <w:vAlign w:val="center"/>
          </w:tcPr>
          <w:p w:rsidR="000A2DAF" w:rsidRDefault="000A2DAF" w:rsidP="00F07A1B">
            <w:pPr>
              <w:spacing w:line="276" w:lineRule="auto"/>
              <w:jc w:val="center"/>
              <w:rPr>
                <w:rFonts w:ascii="Arial" w:hAnsi="Arial" w:cs="Arial"/>
              </w:rPr>
            </w:pPr>
            <w:r>
              <w:rPr>
                <w:rFonts w:ascii="Arial" w:hAnsi="Arial" w:cs="Arial"/>
              </w:rPr>
              <w:t>11</w:t>
            </w:r>
          </w:p>
        </w:tc>
        <w:tc>
          <w:tcPr>
            <w:tcW w:w="1276" w:type="dxa"/>
          </w:tcPr>
          <w:p w:rsidR="000A2DAF" w:rsidRDefault="000A2DAF" w:rsidP="00F07A1B">
            <w:pPr>
              <w:spacing w:line="276" w:lineRule="auto"/>
              <w:rPr>
                <w:rFonts w:ascii="Arial" w:hAnsi="Arial" w:cs="Arial"/>
              </w:rPr>
            </w:pPr>
            <w:r>
              <w:rPr>
                <w:rFonts w:ascii="Arial" w:hAnsi="Arial" w:cs="Arial"/>
              </w:rPr>
              <w:t>194EE</w:t>
            </w:r>
          </w:p>
        </w:tc>
        <w:tc>
          <w:tcPr>
            <w:tcW w:w="4536" w:type="dxa"/>
            <w:vAlign w:val="center"/>
          </w:tcPr>
          <w:p w:rsidR="000A2DAF" w:rsidRPr="00655AE6" w:rsidRDefault="000A2DAF" w:rsidP="00F07A1B">
            <w:pPr>
              <w:spacing w:line="276" w:lineRule="auto"/>
              <w:rPr>
                <w:rFonts w:ascii="Arial" w:hAnsi="Arial" w:cs="Arial"/>
              </w:rPr>
            </w:pPr>
            <w:r w:rsidRPr="00697DBA">
              <w:rPr>
                <w:rFonts w:ascii="Arial" w:hAnsi="Arial" w:cs="Arial"/>
                <w:sz w:val="20"/>
                <w:lang w:eastAsia="en-IN"/>
              </w:rPr>
              <w:t>Payment in respect of deposit under National Savings scheme</w:t>
            </w:r>
          </w:p>
        </w:tc>
        <w:tc>
          <w:tcPr>
            <w:tcW w:w="2254" w:type="dxa"/>
            <w:vAlign w:val="center"/>
          </w:tcPr>
          <w:p w:rsidR="000A2DAF" w:rsidRPr="00655AE6" w:rsidRDefault="000A2DAF" w:rsidP="00F07A1B">
            <w:pPr>
              <w:spacing w:line="276" w:lineRule="auto"/>
              <w:jc w:val="center"/>
              <w:rPr>
                <w:rFonts w:ascii="Arial" w:hAnsi="Arial" w:cs="Arial"/>
              </w:rPr>
            </w:pPr>
            <w:r w:rsidRPr="00697DBA">
              <w:rPr>
                <w:rFonts w:ascii="Arial" w:hAnsi="Arial" w:cs="Arial"/>
                <w:sz w:val="20"/>
                <w:lang w:eastAsia="en-IN"/>
              </w:rPr>
              <w:t>10</w:t>
            </w:r>
          </w:p>
        </w:tc>
      </w:tr>
      <w:tr w:rsidR="000A2DAF" w:rsidRPr="00655AE6" w:rsidTr="000851A2">
        <w:trPr>
          <w:trHeight w:val="283"/>
        </w:trPr>
        <w:tc>
          <w:tcPr>
            <w:tcW w:w="1129" w:type="dxa"/>
            <w:vAlign w:val="center"/>
          </w:tcPr>
          <w:p w:rsidR="000A2DAF" w:rsidRDefault="000A2DAF" w:rsidP="00F07A1B">
            <w:pPr>
              <w:spacing w:line="276" w:lineRule="auto"/>
              <w:jc w:val="center"/>
              <w:rPr>
                <w:rFonts w:ascii="Arial" w:hAnsi="Arial" w:cs="Arial"/>
              </w:rPr>
            </w:pPr>
            <w:r>
              <w:rPr>
                <w:rFonts w:ascii="Arial" w:hAnsi="Arial" w:cs="Arial"/>
              </w:rPr>
              <w:t>12</w:t>
            </w:r>
          </w:p>
        </w:tc>
        <w:tc>
          <w:tcPr>
            <w:tcW w:w="1276" w:type="dxa"/>
          </w:tcPr>
          <w:p w:rsidR="000A2DAF" w:rsidRDefault="000A2DAF" w:rsidP="00F07A1B">
            <w:pPr>
              <w:spacing w:line="276" w:lineRule="auto"/>
              <w:rPr>
                <w:rFonts w:ascii="Arial" w:hAnsi="Arial" w:cs="Arial"/>
              </w:rPr>
            </w:pPr>
            <w:r>
              <w:rPr>
                <w:rFonts w:ascii="Arial" w:hAnsi="Arial" w:cs="Arial"/>
              </w:rPr>
              <w:t>194F</w:t>
            </w:r>
          </w:p>
        </w:tc>
        <w:tc>
          <w:tcPr>
            <w:tcW w:w="4536" w:type="dxa"/>
            <w:vAlign w:val="center"/>
          </w:tcPr>
          <w:p w:rsidR="000A2DAF" w:rsidRPr="00655AE6" w:rsidRDefault="000A2DAF" w:rsidP="00F07A1B">
            <w:pPr>
              <w:spacing w:line="276" w:lineRule="auto"/>
              <w:rPr>
                <w:rFonts w:ascii="Arial" w:hAnsi="Arial" w:cs="Arial"/>
              </w:rPr>
            </w:pPr>
            <w:r w:rsidRPr="00697DBA">
              <w:rPr>
                <w:rFonts w:ascii="Arial" w:hAnsi="Arial" w:cs="Arial"/>
                <w:sz w:val="20"/>
                <w:lang w:eastAsia="en-IN"/>
              </w:rPr>
              <w:t>Payment on account of repurchase of unit by Mutual Fund or Unit Trust of India</w:t>
            </w:r>
          </w:p>
        </w:tc>
        <w:tc>
          <w:tcPr>
            <w:tcW w:w="2254" w:type="dxa"/>
            <w:vAlign w:val="center"/>
          </w:tcPr>
          <w:p w:rsidR="000A2DAF" w:rsidRPr="00655AE6" w:rsidRDefault="000A2DAF" w:rsidP="00F07A1B">
            <w:pPr>
              <w:spacing w:line="276" w:lineRule="auto"/>
              <w:jc w:val="center"/>
              <w:rPr>
                <w:rFonts w:ascii="Arial" w:hAnsi="Arial" w:cs="Arial"/>
              </w:rPr>
            </w:pPr>
            <w:r w:rsidRPr="00697DBA">
              <w:rPr>
                <w:rFonts w:ascii="Arial" w:hAnsi="Arial" w:cs="Arial"/>
                <w:sz w:val="20"/>
                <w:lang w:eastAsia="en-IN"/>
              </w:rPr>
              <w:t>20</w:t>
            </w:r>
          </w:p>
        </w:tc>
      </w:tr>
      <w:tr w:rsidR="000A2DAF" w:rsidRPr="00655AE6" w:rsidTr="000851A2">
        <w:trPr>
          <w:trHeight w:val="283"/>
        </w:trPr>
        <w:tc>
          <w:tcPr>
            <w:tcW w:w="1129" w:type="dxa"/>
            <w:vAlign w:val="center"/>
          </w:tcPr>
          <w:p w:rsidR="000A2DAF" w:rsidRDefault="000A2DAF" w:rsidP="00F07A1B">
            <w:pPr>
              <w:spacing w:line="276" w:lineRule="auto"/>
              <w:jc w:val="center"/>
              <w:rPr>
                <w:rFonts w:ascii="Arial" w:hAnsi="Arial" w:cs="Arial"/>
              </w:rPr>
            </w:pPr>
            <w:r>
              <w:rPr>
                <w:rFonts w:ascii="Arial" w:hAnsi="Arial" w:cs="Arial"/>
              </w:rPr>
              <w:t>13</w:t>
            </w:r>
          </w:p>
        </w:tc>
        <w:tc>
          <w:tcPr>
            <w:tcW w:w="1276" w:type="dxa"/>
          </w:tcPr>
          <w:p w:rsidR="000A2DAF" w:rsidRDefault="000A2DAF" w:rsidP="00F07A1B">
            <w:pPr>
              <w:spacing w:line="276" w:lineRule="auto"/>
              <w:rPr>
                <w:rFonts w:ascii="Arial" w:hAnsi="Arial" w:cs="Arial"/>
              </w:rPr>
            </w:pPr>
            <w:r>
              <w:rPr>
                <w:rFonts w:ascii="Arial" w:hAnsi="Arial" w:cs="Arial"/>
              </w:rPr>
              <w:t>194G</w:t>
            </w:r>
          </w:p>
        </w:tc>
        <w:tc>
          <w:tcPr>
            <w:tcW w:w="4536" w:type="dxa"/>
            <w:vAlign w:val="center"/>
          </w:tcPr>
          <w:p w:rsidR="000A2DAF" w:rsidRPr="00655AE6" w:rsidRDefault="000A2DAF" w:rsidP="00F07A1B">
            <w:pPr>
              <w:spacing w:line="276" w:lineRule="auto"/>
              <w:rPr>
                <w:rFonts w:ascii="Arial" w:hAnsi="Arial" w:cs="Arial"/>
              </w:rPr>
            </w:pPr>
            <w:r w:rsidRPr="00697DBA">
              <w:rPr>
                <w:rFonts w:ascii="Arial" w:hAnsi="Arial" w:cs="Arial"/>
                <w:sz w:val="20"/>
                <w:lang w:eastAsia="en-IN"/>
              </w:rPr>
              <w:t>Commission, etc., on sale of lottery tickets</w:t>
            </w:r>
          </w:p>
        </w:tc>
        <w:tc>
          <w:tcPr>
            <w:tcW w:w="2254" w:type="dxa"/>
            <w:vAlign w:val="center"/>
          </w:tcPr>
          <w:p w:rsidR="000A2DAF" w:rsidRPr="00655AE6" w:rsidRDefault="000A2DAF" w:rsidP="00F07A1B">
            <w:pPr>
              <w:spacing w:line="276" w:lineRule="auto"/>
              <w:jc w:val="center"/>
              <w:rPr>
                <w:rFonts w:ascii="Arial" w:hAnsi="Arial" w:cs="Arial"/>
              </w:rPr>
            </w:pPr>
            <w:r w:rsidRPr="00697DBA">
              <w:rPr>
                <w:rFonts w:ascii="Arial" w:hAnsi="Arial" w:cs="Arial"/>
                <w:sz w:val="20"/>
                <w:lang w:eastAsia="en-IN"/>
              </w:rPr>
              <w:t>5</w:t>
            </w:r>
          </w:p>
        </w:tc>
      </w:tr>
      <w:tr w:rsidR="000A2DAF" w:rsidRPr="00655AE6" w:rsidTr="000851A2">
        <w:trPr>
          <w:trHeight w:val="283"/>
        </w:trPr>
        <w:tc>
          <w:tcPr>
            <w:tcW w:w="1129" w:type="dxa"/>
            <w:vAlign w:val="center"/>
          </w:tcPr>
          <w:p w:rsidR="000A2DAF" w:rsidRDefault="000A2DAF" w:rsidP="00F07A1B">
            <w:pPr>
              <w:spacing w:line="276" w:lineRule="auto"/>
              <w:jc w:val="center"/>
              <w:rPr>
                <w:rFonts w:ascii="Arial" w:hAnsi="Arial" w:cs="Arial"/>
              </w:rPr>
            </w:pPr>
            <w:r>
              <w:rPr>
                <w:rFonts w:ascii="Arial" w:hAnsi="Arial" w:cs="Arial"/>
              </w:rPr>
              <w:t>14</w:t>
            </w:r>
          </w:p>
        </w:tc>
        <w:tc>
          <w:tcPr>
            <w:tcW w:w="1276" w:type="dxa"/>
          </w:tcPr>
          <w:p w:rsidR="000A2DAF" w:rsidRDefault="000A2DAF" w:rsidP="00F07A1B">
            <w:pPr>
              <w:spacing w:line="276" w:lineRule="auto"/>
              <w:rPr>
                <w:rFonts w:ascii="Arial" w:hAnsi="Arial" w:cs="Arial"/>
              </w:rPr>
            </w:pPr>
            <w:r>
              <w:rPr>
                <w:rFonts w:ascii="Arial" w:hAnsi="Arial" w:cs="Arial"/>
              </w:rPr>
              <w:t>194H</w:t>
            </w:r>
          </w:p>
        </w:tc>
        <w:tc>
          <w:tcPr>
            <w:tcW w:w="4536" w:type="dxa"/>
            <w:vAlign w:val="center"/>
          </w:tcPr>
          <w:p w:rsidR="000A2DAF" w:rsidRPr="00655AE6" w:rsidRDefault="000A2DAF" w:rsidP="00F07A1B">
            <w:pPr>
              <w:spacing w:line="276" w:lineRule="auto"/>
              <w:rPr>
                <w:rFonts w:ascii="Arial" w:hAnsi="Arial" w:cs="Arial"/>
              </w:rPr>
            </w:pPr>
            <w:r w:rsidRPr="00697DBA">
              <w:rPr>
                <w:rFonts w:ascii="Arial" w:hAnsi="Arial" w:cs="Arial"/>
                <w:sz w:val="20"/>
                <w:lang w:eastAsia="en-IN"/>
              </w:rPr>
              <w:t>Commission or brokerage</w:t>
            </w:r>
          </w:p>
        </w:tc>
        <w:tc>
          <w:tcPr>
            <w:tcW w:w="2254" w:type="dxa"/>
            <w:vAlign w:val="center"/>
          </w:tcPr>
          <w:p w:rsidR="000A2DAF" w:rsidRPr="00655AE6" w:rsidRDefault="000A2DAF" w:rsidP="00F07A1B">
            <w:pPr>
              <w:spacing w:line="276" w:lineRule="auto"/>
              <w:jc w:val="center"/>
              <w:rPr>
                <w:rFonts w:ascii="Arial" w:hAnsi="Arial" w:cs="Arial"/>
              </w:rPr>
            </w:pPr>
            <w:r w:rsidRPr="00697DBA">
              <w:rPr>
                <w:rFonts w:ascii="Arial" w:hAnsi="Arial" w:cs="Arial"/>
                <w:sz w:val="20"/>
                <w:lang w:eastAsia="en-IN"/>
              </w:rPr>
              <w:t>5</w:t>
            </w:r>
          </w:p>
        </w:tc>
      </w:tr>
      <w:tr w:rsidR="000A2DAF" w:rsidRPr="00655AE6" w:rsidTr="000851A2">
        <w:trPr>
          <w:trHeight w:val="283"/>
        </w:trPr>
        <w:tc>
          <w:tcPr>
            <w:tcW w:w="1129" w:type="dxa"/>
            <w:vMerge w:val="restart"/>
          </w:tcPr>
          <w:p w:rsidR="000A2DAF" w:rsidRDefault="000A2DAF" w:rsidP="00F07A1B">
            <w:pPr>
              <w:spacing w:line="276" w:lineRule="auto"/>
              <w:jc w:val="center"/>
              <w:rPr>
                <w:rFonts w:ascii="Arial" w:hAnsi="Arial" w:cs="Arial"/>
              </w:rPr>
            </w:pPr>
            <w:r>
              <w:rPr>
                <w:rFonts w:ascii="Arial" w:hAnsi="Arial" w:cs="Arial"/>
              </w:rPr>
              <w:t>15</w:t>
            </w:r>
          </w:p>
        </w:tc>
        <w:tc>
          <w:tcPr>
            <w:tcW w:w="1276" w:type="dxa"/>
            <w:vMerge w:val="restart"/>
          </w:tcPr>
          <w:p w:rsidR="000A2DAF" w:rsidRDefault="000A2DAF" w:rsidP="00F07A1B">
            <w:pPr>
              <w:spacing w:line="276" w:lineRule="auto"/>
              <w:rPr>
                <w:rFonts w:ascii="Arial" w:hAnsi="Arial" w:cs="Arial"/>
              </w:rPr>
            </w:pPr>
            <w:r>
              <w:rPr>
                <w:rFonts w:ascii="Arial" w:hAnsi="Arial" w:cs="Arial"/>
              </w:rPr>
              <w:t>194I</w:t>
            </w:r>
          </w:p>
        </w:tc>
        <w:tc>
          <w:tcPr>
            <w:tcW w:w="4536" w:type="dxa"/>
            <w:vAlign w:val="center"/>
          </w:tcPr>
          <w:p w:rsidR="000A2DAF" w:rsidRPr="00655AE6" w:rsidRDefault="000A2DAF" w:rsidP="00F07A1B">
            <w:pPr>
              <w:spacing w:line="276" w:lineRule="auto"/>
              <w:rPr>
                <w:rFonts w:ascii="Arial" w:hAnsi="Arial" w:cs="Arial"/>
              </w:rPr>
            </w:pPr>
            <w:r w:rsidRPr="00697DBA">
              <w:rPr>
                <w:rFonts w:ascii="Arial" w:hAnsi="Arial" w:cs="Arial"/>
                <w:sz w:val="20"/>
                <w:lang w:eastAsia="en-IN"/>
              </w:rPr>
              <w:t xml:space="preserve">Rent </w:t>
            </w:r>
          </w:p>
        </w:tc>
        <w:tc>
          <w:tcPr>
            <w:tcW w:w="2254" w:type="dxa"/>
            <w:vAlign w:val="center"/>
          </w:tcPr>
          <w:p w:rsidR="000A2DAF" w:rsidRPr="00655AE6" w:rsidRDefault="000A2DAF" w:rsidP="00F07A1B">
            <w:pPr>
              <w:spacing w:line="276" w:lineRule="auto"/>
              <w:jc w:val="center"/>
              <w:rPr>
                <w:rFonts w:ascii="Arial" w:hAnsi="Arial" w:cs="Arial"/>
              </w:rPr>
            </w:pPr>
          </w:p>
        </w:tc>
      </w:tr>
      <w:tr w:rsidR="000A2DAF" w:rsidRPr="00655AE6" w:rsidTr="000851A2">
        <w:trPr>
          <w:trHeight w:val="283"/>
        </w:trPr>
        <w:tc>
          <w:tcPr>
            <w:tcW w:w="1129" w:type="dxa"/>
            <w:vMerge/>
          </w:tcPr>
          <w:p w:rsidR="000A2DAF" w:rsidRDefault="000A2DAF" w:rsidP="00F07A1B">
            <w:pPr>
              <w:spacing w:line="276" w:lineRule="auto"/>
              <w:jc w:val="center"/>
              <w:rPr>
                <w:rFonts w:ascii="Arial" w:hAnsi="Arial" w:cs="Arial"/>
              </w:rPr>
            </w:pPr>
          </w:p>
        </w:tc>
        <w:tc>
          <w:tcPr>
            <w:tcW w:w="1276" w:type="dxa"/>
            <w:vMerge/>
          </w:tcPr>
          <w:p w:rsidR="000A2DAF" w:rsidRDefault="000A2DAF" w:rsidP="00F07A1B">
            <w:pPr>
              <w:spacing w:line="276" w:lineRule="auto"/>
              <w:rPr>
                <w:rFonts w:ascii="Arial" w:hAnsi="Arial" w:cs="Arial"/>
              </w:rPr>
            </w:pPr>
          </w:p>
        </w:tc>
        <w:tc>
          <w:tcPr>
            <w:tcW w:w="4536" w:type="dxa"/>
            <w:vAlign w:val="center"/>
          </w:tcPr>
          <w:p w:rsidR="000A2DAF" w:rsidRPr="00655AE6" w:rsidRDefault="000A2DAF" w:rsidP="00F07A1B">
            <w:pPr>
              <w:spacing w:line="276" w:lineRule="auto"/>
              <w:rPr>
                <w:rFonts w:ascii="Arial" w:hAnsi="Arial" w:cs="Arial"/>
              </w:rPr>
            </w:pPr>
            <w:r w:rsidRPr="00697DBA">
              <w:rPr>
                <w:rFonts w:ascii="Arial" w:hAnsi="Arial" w:cs="Arial"/>
                <w:sz w:val="20"/>
                <w:lang w:eastAsia="en-IN"/>
              </w:rPr>
              <w:t xml:space="preserve">a) Plant &amp; Machinery </w:t>
            </w:r>
          </w:p>
        </w:tc>
        <w:tc>
          <w:tcPr>
            <w:tcW w:w="2254" w:type="dxa"/>
            <w:vAlign w:val="center"/>
          </w:tcPr>
          <w:p w:rsidR="000A2DAF" w:rsidRPr="00655AE6" w:rsidRDefault="000A2DAF" w:rsidP="00F07A1B">
            <w:pPr>
              <w:spacing w:line="276" w:lineRule="auto"/>
              <w:jc w:val="center"/>
              <w:rPr>
                <w:rFonts w:ascii="Arial" w:hAnsi="Arial" w:cs="Arial"/>
              </w:rPr>
            </w:pPr>
            <w:r w:rsidRPr="00697DBA">
              <w:rPr>
                <w:rFonts w:ascii="Arial" w:hAnsi="Arial" w:cs="Arial"/>
                <w:sz w:val="20"/>
                <w:lang w:eastAsia="en-IN"/>
              </w:rPr>
              <w:t>2</w:t>
            </w:r>
          </w:p>
        </w:tc>
      </w:tr>
      <w:tr w:rsidR="000A2DAF" w:rsidRPr="00655AE6" w:rsidTr="000851A2">
        <w:trPr>
          <w:trHeight w:val="283"/>
        </w:trPr>
        <w:tc>
          <w:tcPr>
            <w:tcW w:w="1129" w:type="dxa"/>
            <w:vMerge/>
          </w:tcPr>
          <w:p w:rsidR="000A2DAF" w:rsidRDefault="000A2DAF" w:rsidP="00F07A1B">
            <w:pPr>
              <w:spacing w:line="276" w:lineRule="auto"/>
              <w:jc w:val="center"/>
              <w:rPr>
                <w:rFonts w:ascii="Arial" w:hAnsi="Arial" w:cs="Arial"/>
              </w:rPr>
            </w:pPr>
          </w:p>
        </w:tc>
        <w:tc>
          <w:tcPr>
            <w:tcW w:w="1276" w:type="dxa"/>
            <w:vMerge/>
          </w:tcPr>
          <w:p w:rsidR="000A2DAF" w:rsidRDefault="000A2DAF" w:rsidP="00F07A1B">
            <w:pPr>
              <w:spacing w:line="276" w:lineRule="auto"/>
              <w:rPr>
                <w:rFonts w:ascii="Arial" w:hAnsi="Arial" w:cs="Arial"/>
              </w:rPr>
            </w:pPr>
          </w:p>
        </w:tc>
        <w:tc>
          <w:tcPr>
            <w:tcW w:w="4536" w:type="dxa"/>
            <w:vAlign w:val="center"/>
          </w:tcPr>
          <w:p w:rsidR="000A2DAF" w:rsidRPr="00655AE6" w:rsidRDefault="000A2DAF" w:rsidP="00F07A1B">
            <w:pPr>
              <w:spacing w:line="276" w:lineRule="auto"/>
              <w:rPr>
                <w:rFonts w:ascii="Arial" w:hAnsi="Arial" w:cs="Arial"/>
              </w:rPr>
            </w:pPr>
            <w:r w:rsidRPr="00697DBA">
              <w:rPr>
                <w:rFonts w:ascii="Arial" w:hAnsi="Arial" w:cs="Arial"/>
                <w:sz w:val="20"/>
                <w:lang w:eastAsia="en-IN"/>
              </w:rPr>
              <w:t>b) Land or building or furniture or fitting</w:t>
            </w:r>
          </w:p>
        </w:tc>
        <w:tc>
          <w:tcPr>
            <w:tcW w:w="2254" w:type="dxa"/>
            <w:vAlign w:val="center"/>
          </w:tcPr>
          <w:p w:rsidR="000A2DAF" w:rsidRPr="00655AE6" w:rsidRDefault="000A2DAF" w:rsidP="00F07A1B">
            <w:pPr>
              <w:spacing w:line="276" w:lineRule="auto"/>
              <w:jc w:val="center"/>
              <w:rPr>
                <w:rFonts w:ascii="Arial" w:hAnsi="Arial" w:cs="Arial"/>
              </w:rPr>
            </w:pPr>
            <w:r w:rsidRPr="00697DBA">
              <w:rPr>
                <w:rFonts w:ascii="Arial" w:hAnsi="Arial" w:cs="Arial"/>
                <w:sz w:val="20"/>
                <w:lang w:eastAsia="en-IN"/>
              </w:rPr>
              <w:t>10</w:t>
            </w:r>
          </w:p>
        </w:tc>
      </w:tr>
      <w:tr w:rsidR="000A2DAF" w:rsidRPr="00655AE6" w:rsidTr="000851A2">
        <w:trPr>
          <w:trHeight w:val="283"/>
        </w:trPr>
        <w:tc>
          <w:tcPr>
            <w:tcW w:w="1129" w:type="dxa"/>
          </w:tcPr>
          <w:p w:rsidR="000A2DAF" w:rsidRDefault="000A2DAF" w:rsidP="00F07A1B">
            <w:pPr>
              <w:spacing w:line="276" w:lineRule="auto"/>
              <w:jc w:val="center"/>
              <w:rPr>
                <w:rFonts w:ascii="Arial" w:hAnsi="Arial" w:cs="Arial"/>
              </w:rPr>
            </w:pPr>
            <w:r>
              <w:rPr>
                <w:rFonts w:ascii="Arial" w:hAnsi="Arial" w:cs="Arial"/>
              </w:rPr>
              <w:t>16</w:t>
            </w:r>
          </w:p>
        </w:tc>
        <w:tc>
          <w:tcPr>
            <w:tcW w:w="1276" w:type="dxa"/>
          </w:tcPr>
          <w:p w:rsidR="000A2DAF" w:rsidRDefault="000A2DAF" w:rsidP="00F07A1B">
            <w:pPr>
              <w:spacing w:line="276" w:lineRule="auto"/>
              <w:rPr>
                <w:rFonts w:ascii="Arial" w:hAnsi="Arial" w:cs="Arial"/>
              </w:rPr>
            </w:pPr>
            <w:r>
              <w:rPr>
                <w:rFonts w:ascii="Arial" w:hAnsi="Arial" w:cs="Arial"/>
              </w:rPr>
              <w:t>194IA</w:t>
            </w:r>
          </w:p>
        </w:tc>
        <w:tc>
          <w:tcPr>
            <w:tcW w:w="4536" w:type="dxa"/>
            <w:vAlign w:val="center"/>
          </w:tcPr>
          <w:p w:rsidR="000A2DAF" w:rsidRPr="00655AE6" w:rsidRDefault="000A2DAF" w:rsidP="00F07A1B">
            <w:pPr>
              <w:spacing w:line="276" w:lineRule="auto"/>
              <w:rPr>
                <w:rFonts w:ascii="Arial" w:hAnsi="Arial" w:cs="Arial"/>
              </w:rPr>
            </w:pPr>
            <w:r w:rsidRPr="00697DBA">
              <w:rPr>
                <w:rFonts w:ascii="Arial" w:hAnsi="Arial" w:cs="Arial"/>
                <w:sz w:val="20"/>
                <w:lang w:eastAsia="en-IN"/>
              </w:rPr>
              <w:t>Payment on transfer of certain immovable property other than agricultural land</w:t>
            </w:r>
          </w:p>
        </w:tc>
        <w:tc>
          <w:tcPr>
            <w:tcW w:w="2254" w:type="dxa"/>
            <w:vAlign w:val="center"/>
          </w:tcPr>
          <w:p w:rsidR="000A2DAF" w:rsidRPr="00655AE6" w:rsidRDefault="000A2DAF" w:rsidP="00F07A1B">
            <w:pPr>
              <w:spacing w:line="276" w:lineRule="auto"/>
              <w:jc w:val="center"/>
              <w:rPr>
                <w:rFonts w:ascii="Arial" w:hAnsi="Arial" w:cs="Arial"/>
              </w:rPr>
            </w:pPr>
            <w:r w:rsidRPr="00697DBA">
              <w:rPr>
                <w:rFonts w:ascii="Arial" w:hAnsi="Arial" w:cs="Arial"/>
                <w:sz w:val="20"/>
                <w:lang w:eastAsia="en-IN"/>
              </w:rPr>
              <w:t>1</w:t>
            </w:r>
          </w:p>
        </w:tc>
      </w:tr>
      <w:tr w:rsidR="000A2DAF" w:rsidRPr="00655AE6" w:rsidTr="000851A2">
        <w:trPr>
          <w:trHeight w:val="283"/>
        </w:trPr>
        <w:tc>
          <w:tcPr>
            <w:tcW w:w="1129" w:type="dxa"/>
          </w:tcPr>
          <w:p w:rsidR="000A2DAF" w:rsidRDefault="000A2DAF" w:rsidP="00F07A1B">
            <w:pPr>
              <w:spacing w:line="276" w:lineRule="auto"/>
              <w:jc w:val="center"/>
              <w:rPr>
                <w:rFonts w:ascii="Arial" w:hAnsi="Arial" w:cs="Arial"/>
              </w:rPr>
            </w:pPr>
            <w:r>
              <w:rPr>
                <w:rFonts w:ascii="Arial" w:hAnsi="Arial" w:cs="Arial"/>
              </w:rPr>
              <w:lastRenderedPageBreak/>
              <w:t>17</w:t>
            </w:r>
          </w:p>
        </w:tc>
        <w:tc>
          <w:tcPr>
            <w:tcW w:w="1276" w:type="dxa"/>
          </w:tcPr>
          <w:p w:rsidR="000A2DAF" w:rsidRDefault="000A2DAF" w:rsidP="00F07A1B">
            <w:pPr>
              <w:spacing w:line="276" w:lineRule="auto"/>
              <w:rPr>
                <w:rFonts w:ascii="Arial" w:hAnsi="Arial" w:cs="Arial"/>
              </w:rPr>
            </w:pPr>
            <w:r>
              <w:rPr>
                <w:rFonts w:ascii="Arial" w:hAnsi="Arial" w:cs="Arial"/>
              </w:rPr>
              <w:t>194IB</w:t>
            </w:r>
          </w:p>
        </w:tc>
        <w:tc>
          <w:tcPr>
            <w:tcW w:w="4536" w:type="dxa"/>
            <w:vAlign w:val="center"/>
          </w:tcPr>
          <w:p w:rsidR="000A2DAF" w:rsidRPr="00655AE6" w:rsidRDefault="000A2DAF" w:rsidP="00F07A1B">
            <w:pPr>
              <w:spacing w:line="276" w:lineRule="auto"/>
              <w:rPr>
                <w:rFonts w:ascii="Arial" w:hAnsi="Arial" w:cs="Arial"/>
              </w:rPr>
            </w:pPr>
            <w:r w:rsidRPr="00697DBA">
              <w:rPr>
                <w:rFonts w:ascii="Arial" w:hAnsi="Arial" w:cs="Arial"/>
                <w:sz w:val="20"/>
                <w:lang w:eastAsia="en-IN"/>
              </w:rPr>
              <w:t xml:space="preserve">Payment of rent by individual or HUF not liable to tax audit </w:t>
            </w:r>
          </w:p>
        </w:tc>
        <w:tc>
          <w:tcPr>
            <w:tcW w:w="2254" w:type="dxa"/>
            <w:vAlign w:val="center"/>
          </w:tcPr>
          <w:p w:rsidR="000A2DAF" w:rsidRPr="00655AE6" w:rsidRDefault="000A2DAF" w:rsidP="00F07A1B">
            <w:pPr>
              <w:spacing w:line="276" w:lineRule="auto"/>
              <w:jc w:val="center"/>
              <w:rPr>
                <w:rFonts w:ascii="Arial" w:hAnsi="Arial" w:cs="Arial"/>
              </w:rPr>
            </w:pPr>
            <w:r w:rsidRPr="00697DBA">
              <w:rPr>
                <w:rFonts w:ascii="Arial" w:hAnsi="Arial" w:cs="Arial"/>
                <w:sz w:val="20"/>
                <w:lang w:eastAsia="en-IN"/>
              </w:rPr>
              <w:t>5</w:t>
            </w:r>
          </w:p>
        </w:tc>
      </w:tr>
      <w:tr w:rsidR="000A2DAF" w:rsidRPr="00655AE6" w:rsidTr="000851A2">
        <w:trPr>
          <w:trHeight w:val="283"/>
        </w:trPr>
        <w:tc>
          <w:tcPr>
            <w:tcW w:w="1129" w:type="dxa"/>
          </w:tcPr>
          <w:p w:rsidR="000A2DAF" w:rsidRDefault="000A2DAF" w:rsidP="00F07A1B">
            <w:pPr>
              <w:spacing w:line="276" w:lineRule="auto"/>
              <w:jc w:val="center"/>
              <w:rPr>
                <w:rFonts w:ascii="Arial" w:hAnsi="Arial" w:cs="Arial"/>
              </w:rPr>
            </w:pPr>
            <w:r>
              <w:rPr>
                <w:rFonts w:ascii="Arial" w:hAnsi="Arial" w:cs="Arial"/>
              </w:rPr>
              <w:t>18</w:t>
            </w:r>
          </w:p>
        </w:tc>
        <w:tc>
          <w:tcPr>
            <w:tcW w:w="1276" w:type="dxa"/>
          </w:tcPr>
          <w:p w:rsidR="000A2DAF" w:rsidRDefault="000A2DAF" w:rsidP="00F07A1B">
            <w:pPr>
              <w:spacing w:line="276" w:lineRule="auto"/>
              <w:rPr>
                <w:rFonts w:ascii="Arial" w:hAnsi="Arial" w:cs="Arial"/>
              </w:rPr>
            </w:pPr>
            <w:r>
              <w:rPr>
                <w:rFonts w:ascii="Arial" w:hAnsi="Arial" w:cs="Arial"/>
              </w:rPr>
              <w:t>194IC</w:t>
            </w:r>
          </w:p>
        </w:tc>
        <w:tc>
          <w:tcPr>
            <w:tcW w:w="4536" w:type="dxa"/>
            <w:vAlign w:val="center"/>
          </w:tcPr>
          <w:p w:rsidR="000A2DAF" w:rsidRPr="00655AE6" w:rsidRDefault="000A2DAF" w:rsidP="00F07A1B">
            <w:pPr>
              <w:spacing w:line="276" w:lineRule="auto"/>
              <w:rPr>
                <w:rFonts w:ascii="Arial" w:hAnsi="Arial" w:cs="Arial"/>
              </w:rPr>
            </w:pPr>
            <w:r w:rsidRPr="00697DBA">
              <w:rPr>
                <w:rFonts w:ascii="Arial" w:hAnsi="Arial" w:cs="Arial"/>
                <w:sz w:val="20"/>
                <w:lang w:eastAsia="en-IN"/>
              </w:rPr>
              <w:t xml:space="preserve">Payment of monetary consideration under Joint Development Agreements </w:t>
            </w:r>
          </w:p>
        </w:tc>
        <w:tc>
          <w:tcPr>
            <w:tcW w:w="2254" w:type="dxa"/>
            <w:vAlign w:val="center"/>
          </w:tcPr>
          <w:p w:rsidR="000A2DAF" w:rsidRPr="00655AE6" w:rsidRDefault="000A2DAF" w:rsidP="00F07A1B">
            <w:pPr>
              <w:spacing w:line="276" w:lineRule="auto"/>
              <w:jc w:val="center"/>
              <w:rPr>
                <w:rFonts w:ascii="Arial" w:hAnsi="Arial" w:cs="Arial"/>
              </w:rPr>
            </w:pPr>
            <w:r w:rsidRPr="00697DBA">
              <w:rPr>
                <w:rFonts w:ascii="Arial" w:hAnsi="Arial" w:cs="Arial"/>
                <w:sz w:val="20"/>
                <w:lang w:eastAsia="en-IN"/>
              </w:rPr>
              <w:t>10</w:t>
            </w:r>
          </w:p>
        </w:tc>
      </w:tr>
      <w:tr w:rsidR="00107739" w:rsidRPr="00655AE6" w:rsidTr="00107739">
        <w:trPr>
          <w:trHeight w:val="735"/>
        </w:trPr>
        <w:tc>
          <w:tcPr>
            <w:tcW w:w="1129" w:type="dxa"/>
            <w:vMerge w:val="restart"/>
          </w:tcPr>
          <w:p w:rsidR="00107739" w:rsidRDefault="00107739" w:rsidP="00F07A1B">
            <w:pPr>
              <w:spacing w:line="276" w:lineRule="auto"/>
              <w:jc w:val="center"/>
              <w:rPr>
                <w:rFonts w:ascii="Arial" w:hAnsi="Arial" w:cs="Arial"/>
              </w:rPr>
            </w:pPr>
            <w:r>
              <w:rPr>
                <w:rFonts w:ascii="Arial" w:hAnsi="Arial" w:cs="Arial"/>
              </w:rPr>
              <w:t>19</w:t>
            </w:r>
          </w:p>
        </w:tc>
        <w:tc>
          <w:tcPr>
            <w:tcW w:w="1276" w:type="dxa"/>
            <w:vMerge w:val="restart"/>
          </w:tcPr>
          <w:p w:rsidR="00107739" w:rsidRDefault="00107739" w:rsidP="00F07A1B">
            <w:pPr>
              <w:spacing w:line="276" w:lineRule="auto"/>
              <w:rPr>
                <w:rFonts w:ascii="Arial" w:hAnsi="Arial" w:cs="Arial"/>
              </w:rPr>
            </w:pPr>
            <w:r>
              <w:rPr>
                <w:rFonts w:ascii="Arial" w:hAnsi="Arial" w:cs="Arial"/>
              </w:rPr>
              <w:t>194J</w:t>
            </w:r>
          </w:p>
        </w:tc>
        <w:tc>
          <w:tcPr>
            <w:tcW w:w="4536" w:type="dxa"/>
            <w:vAlign w:val="center"/>
          </w:tcPr>
          <w:p w:rsidR="00107739" w:rsidRPr="00697DBA" w:rsidRDefault="00107739" w:rsidP="00F07A1B">
            <w:pPr>
              <w:spacing w:line="276" w:lineRule="auto"/>
              <w:rPr>
                <w:rFonts w:ascii="Arial" w:hAnsi="Arial" w:cs="Arial"/>
                <w:sz w:val="20"/>
                <w:lang w:eastAsia="en-IN"/>
              </w:rPr>
            </w:pPr>
            <w:r w:rsidRPr="00697DBA">
              <w:rPr>
                <w:rFonts w:ascii="Arial" w:hAnsi="Arial" w:cs="Arial"/>
                <w:sz w:val="20"/>
                <w:lang w:eastAsia="en-IN"/>
              </w:rPr>
              <w:t>Fees for professional or technical services:</w:t>
            </w:r>
          </w:p>
          <w:p w:rsidR="00107739" w:rsidRPr="002214F2" w:rsidRDefault="00107739" w:rsidP="00107739">
            <w:pPr>
              <w:spacing w:line="276" w:lineRule="auto"/>
              <w:rPr>
                <w:rFonts w:ascii="Arial" w:hAnsi="Arial" w:cs="Arial"/>
                <w:sz w:val="20"/>
                <w:lang w:eastAsia="en-IN"/>
              </w:rPr>
            </w:pPr>
            <w:r w:rsidRPr="00697DBA">
              <w:rPr>
                <w:rFonts w:ascii="Arial" w:hAnsi="Arial" w:cs="Arial"/>
                <w:sz w:val="20"/>
                <w:lang w:eastAsia="en-IN"/>
              </w:rPr>
              <w:t>i)  sum paid or payable towards fees for technical services</w:t>
            </w:r>
          </w:p>
        </w:tc>
        <w:tc>
          <w:tcPr>
            <w:tcW w:w="2254" w:type="dxa"/>
            <w:vAlign w:val="center"/>
          </w:tcPr>
          <w:p w:rsidR="00107739" w:rsidRPr="00655AE6" w:rsidRDefault="000B21F6" w:rsidP="00F07A1B">
            <w:pPr>
              <w:spacing w:line="276" w:lineRule="auto"/>
              <w:jc w:val="center"/>
              <w:rPr>
                <w:rFonts w:ascii="Arial" w:hAnsi="Arial" w:cs="Arial"/>
              </w:rPr>
            </w:pPr>
            <w:r>
              <w:rPr>
                <w:rFonts w:ascii="Arial" w:hAnsi="Arial" w:cs="Arial"/>
              </w:rPr>
              <w:t>2</w:t>
            </w:r>
          </w:p>
        </w:tc>
      </w:tr>
      <w:tr w:rsidR="00107739" w:rsidRPr="00655AE6" w:rsidTr="000851A2">
        <w:trPr>
          <w:trHeight w:val="735"/>
        </w:trPr>
        <w:tc>
          <w:tcPr>
            <w:tcW w:w="1129" w:type="dxa"/>
            <w:vMerge/>
          </w:tcPr>
          <w:p w:rsidR="00107739" w:rsidRDefault="00107739" w:rsidP="00F07A1B">
            <w:pPr>
              <w:spacing w:line="276" w:lineRule="auto"/>
              <w:jc w:val="center"/>
              <w:rPr>
                <w:rFonts w:ascii="Arial" w:hAnsi="Arial" w:cs="Arial"/>
              </w:rPr>
            </w:pPr>
          </w:p>
        </w:tc>
        <w:tc>
          <w:tcPr>
            <w:tcW w:w="1276" w:type="dxa"/>
            <w:vMerge/>
          </w:tcPr>
          <w:p w:rsidR="00107739" w:rsidRDefault="00107739" w:rsidP="00F07A1B">
            <w:pPr>
              <w:spacing w:line="276" w:lineRule="auto"/>
              <w:rPr>
                <w:rFonts w:ascii="Arial" w:hAnsi="Arial" w:cs="Arial"/>
              </w:rPr>
            </w:pPr>
          </w:p>
        </w:tc>
        <w:tc>
          <w:tcPr>
            <w:tcW w:w="4536" w:type="dxa"/>
            <w:vAlign w:val="center"/>
          </w:tcPr>
          <w:p w:rsidR="00107739" w:rsidRPr="00697DBA" w:rsidRDefault="00107739" w:rsidP="00F07A1B">
            <w:pPr>
              <w:spacing w:line="276" w:lineRule="auto"/>
              <w:rPr>
                <w:rFonts w:ascii="Arial" w:hAnsi="Arial" w:cs="Arial"/>
                <w:sz w:val="20"/>
                <w:lang w:eastAsia="en-IN"/>
              </w:rPr>
            </w:pPr>
            <w:r w:rsidRPr="00697DBA">
              <w:rPr>
                <w:rFonts w:ascii="Arial" w:hAnsi="Arial" w:cs="Arial"/>
                <w:sz w:val="20"/>
                <w:lang w:eastAsia="en-IN"/>
              </w:rPr>
              <w:t>ii)  sum paid or payable towards royalty in the nature of consideration for sale, distribution or exhibition of cinematographic films;</w:t>
            </w:r>
          </w:p>
        </w:tc>
        <w:tc>
          <w:tcPr>
            <w:tcW w:w="2254" w:type="dxa"/>
            <w:vAlign w:val="center"/>
          </w:tcPr>
          <w:p w:rsidR="00107739" w:rsidRPr="00697DBA" w:rsidRDefault="000B21F6" w:rsidP="00F07A1B">
            <w:pPr>
              <w:spacing w:line="276" w:lineRule="auto"/>
              <w:jc w:val="center"/>
              <w:rPr>
                <w:rFonts w:ascii="Arial" w:hAnsi="Arial" w:cs="Arial"/>
                <w:sz w:val="20"/>
                <w:lang w:eastAsia="en-IN"/>
              </w:rPr>
            </w:pPr>
            <w:r>
              <w:rPr>
                <w:rFonts w:ascii="Arial" w:hAnsi="Arial" w:cs="Arial"/>
                <w:sz w:val="20"/>
                <w:lang w:eastAsia="en-IN"/>
              </w:rPr>
              <w:t>2</w:t>
            </w:r>
          </w:p>
        </w:tc>
      </w:tr>
      <w:tr w:rsidR="00107739" w:rsidRPr="00655AE6" w:rsidTr="000851A2">
        <w:trPr>
          <w:trHeight w:val="735"/>
        </w:trPr>
        <w:tc>
          <w:tcPr>
            <w:tcW w:w="1129" w:type="dxa"/>
            <w:vMerge/>
          </w:tcPr>
          <w:p w:rsidR="00107739" w:rsidRDefault="00107739" w:rsidP="00F07A1B">
            <w:pPr>
              <w:spacing w:line="276" w:lineRule="auto"/>
              <w:jc w:val="center"/>
              <w:rPr>
                <w:rFonts w:ascii="Arial" w:hAnsi="Arial" w:cs="Arial"/>
              </w:rPr>
            </w:pPr>
          </w:p>
        </w:tc>
        <w:tc>
          <w:tcPr>
            <w:tcW w:w="1276" w:type="dxa"/>
            <w:vMerge/>
          </w:tcPr>
          <w:p w:rsidR="00107739" w:rsidRDefault="00107739" w:rsidP="00F07A1B">
            <w:pPr>
              <w:spacing w:line="276" w:lineRule="auto"/>
              <w:rPr>
                <w:rFonts w:ascii="Arial" w:hAnsi="Arial" w:cs="Arial"/>
              </w:rPr>
            </w:pPr>
          </w:p>
        </w:tc>
        <w:tc>
          <w:tcPr>
            <w:tcW w:w="4536" w:type="dxa"/>
            <w:vAlign w:val="center"/>
          </w:tcPr>
          <w:p w:rsidR="00107739" w:rsidRPr="00697DBA" w:rsidRDefault="00107739" w:rsidP="00F07A1B">
            <w:pPr>
              <w:spacing w:line="276" w:lineRule="auto"/>
              <w:rPr>
                <w:rFonts w:ascii="Arial" w:hAnsi="Arial" w:cs="Arial"/>
                <w:sz w:val="20"/>
                <w:lang w:eastAsia="en-IN"/>
              </w:rPr>
            </w:pPr>
            <w:r w:rsidRPr="00697DBA">
              <w:rPr>
                <w:rFonts w:ascii="Arial" w:hAnsi="Arial" w:cs="Arial"/>
                <w:sz w:val="20"/>
                <w:lang w:eastAsia="en-IN"/>
              </w:rPr>
              <w:t>iii)  Any other sum</w:t>
            </w:r>
          </w:p>
        </w:tc>
        <w:tc>
          <w:tcPr>
            <w:tcW w:w="2254" w:type="dxa"/>
            <w:vAlign w:val="center"/>
          </w:tcPr>
          <w:p w:rsidR="00107739" w:rsidRPr="00697DBA" w:rsidRDefault="000B21F6" w:rsidP="00F07A1B">
            <w:pPr>
              <w:spacing w:line="276" w:lineRule="auto"/>
              <w:jc w:val="center"/>
              <w:rPr>
                <w:rFonts w:ascii="Arial" w:hAnsi="Arial" w:cs="Arial"/>
                <w:sz w:val="20"/>
                <w:lang w:eastAsia="en-IN"/>
              </w:rPr>
            </w:pPr>
            <w:r>
              <w:rPr>
                <w:rFonts w:ascii="Arial" w:hAnsi="Arial" w:cs="Arial"/>
                <w:sz w:val="20"/>
                <w:lang w:eastAsia="en-IN"/>
              </w:rPr>
              <w:t>10</w:t>
            </w:r>
          </w:p>
        </w:tc>
      </w:tr>
      <w:tr w:rsidR="00107739" w:rsidRPr="00655AE6" w:rsidTr="000851A2">
        <w:trPr>
          <w:trHeight w:val="735"/>
        </w:trPr>
        <w:tc>
          <w:tcPr>
            <w:tcW w:w="1129" w:type="dxa"/>
            <w:vMerge/>
          </w:tcPr>
          <w:p w:rsidR="00107739" w:rsidRDefault="00107739" w:rsidP="00F07A1B">
            <w:pPr>
              <w:spacing w:line="276" w:lineRule="auto"/>
              <w:jc w:val="center"/>
              <w:rPr>
                <w:rFonts w:ascii="Arial" w:hAnsi="Arial" w:cs="Arial"/>
              </w:rPr>
            </w:pPr>
          </w:p>
        </w:tc>
        <w:tc>
          <w:tcPr>
            <w:tcW w:w="1276" w:type="dxa"/>
            <w:vMerge/>
          </w:tcPr>
          <w:p w:rsidR="00107739" w:rsidRDefault="00107739" w:rsidP="00F07A1B">
            <w:pPr>
              <w:spacing w:line="276" w:lineRule="auto"/>
              <w:rPr>
                <w:rFonts w:ascii="Arial" w:hAnsi="Arial" w:cs="Arial"/>
              </w:rPr>
            </w:pPr>
          </w:p>
        </w:tc>
        <w:tc>
          <w:tcPr>
            <w:tcW w:w="4536" w:type="dxa"/>
            <w:vAlign w:val="center"/>
          </w:tcPr>
          <w:p w:rsidR="00107739" w:rsidRDefault="00107739" w:rsidP="00107739">
            <w:pPr>
              <w:spacing w:line="276" w:lineRule="auto"/>
              <w:rPr>
                <w:rFonts w:ascii="Arial" w:hAnsi="Arial" w:cs="Arial"/>
                <w:sz w:val="20"/>
                <w:lang w:eastAsia="en-IN"/>
              </w:rPr>
            </w:pPr>
            <w:r w:rsidRPr="00697DBA">
              <w:rPr>
                <w:rFonts w:ascii="Arial" w:hAnsi="Arial" w:cs="Arial"/>
                <w:b/>
                <w:bCs/>
                <w:sz w:val="20"/>
                <w:lang w:eastAsia="en-IN"/>
              </w:rPr>
              <w:t>Note:</w:t>
            </w:r>
            <w:r w:rsidRPr="00697DBA">
              <w:rPr>
                <w:rFonts w:ascii="Arial" w:hAnsi="Arial" w:cs="Arial"/>
                <w:sz w:val="20"/>
                <w:lang w:eastAsia="en-IN"/>
              </w:rPr>
              <w:t xml:space="preserve"> With effect from June 1, 2017 the rate of TDS would be 2% in case of payee engaged in business of operation of call </w:t>
            </w:r>
            <w:proofErr w:type="spellStart"/>
            <w:r w:rsidRPr="00697DBA">
              <w:rPr>
                <w:rFonts w:ascii="Arial" w:hAnsi="Arial" w:cs="Arial"/>
                <w:sz w:val="20"/>
                <w:lang w:eastAsia="en-IN"/>
              </w:rPr>
              <w:t>center</w:t>
            </w:r>
            <w:proofErr w:type="spellEnd"/>
            <w:r w:rsidRPr="00697DBA">
              <w:rPr>
                <w:rFonts w:ascii="Arial" w:hAnsi="Arial" w:cs="Arial"/>
                <w:sz w:val="20"/>
                <w:lang w:eastAsia="en-IN"/>
              </w:rPr>
              <w:t xml:space="preserve">. </w:t>
            </w:r>
          </w:p>
          <w:p w:rsidR="00107739" w:rsidRPr="00697DBA" w:rsidRDefault="00107739" w:rsidP="00F07A1B">
            <w:pPr>
              <w:spacing w:line="276" w:lineRule="auto"/>
              <w:rPr>
                <w:rFonts w:ascii="Arial" w:hAnsi="Arial" w:cs="Arial"/>
                <w:sz w:val="20"/>
                <w:lang w:eastAsia="en-IN"/>
              </w:rPr>
            </w:pPr>
          </w:p>
        </w:tc>
        <w:tc>
          <w:tcPr>
            <w:tcW w:w="2254" w:type="dxa"/>
            <w:vAlign w:val="center"/>
          </w:tcPr>
          <w:p w:rsidR="00107739" w:rsidRPr="00697DBA" w:rsidRDefault="00107739" w:rsidP="00F07A1B">
            <w:pPr>
              <w:spacing w:line="276" w:lineRule="auto"/>
              <w:jc w:val="center"/>
              <w:rPr>
                <w:rFonts w:ascii="Arial" w:hAnsi="Arial" w:cs="Arial"/>
                <w:sz w:val="20"/>
                <w:lang w:eastAsia="en-IN"/>
              </w:rPr>
            </w:pPr>
          </w:p>
        </w:tc>
      </w:tr>
      <w:tr w:rsidR="000A2DAF" w:rsidRPr="00655AE6" w:rsidTr="000851A2">
        <w:trPr>
          <w:trHeight w:val="283"/>
        </w:trPr>
        <w:tc>
          <w:tcPr>
            <w:tcW w:w="1129" w:type="dxa"/>
          </w:tcPr>
          <w:p w:rsidR="000A2DAF" w:rsidRDefault="000A2DAF" w:rsidP="00F07A1B">
            <w:pPr>
              <w:spacing w:line="276" w:lineRule="auto"/>
              <w:jc w:val="center"/>
              <w:rPr>
                <w:rFonts w:ascii="Arial" w:hAnsi="Arial" w:cs="Arial"/>
              </w:rPr>
            </w:pPr>
            <w:r>
              <w:rPr>
                <w:rFonts w:ascii="Arial" w:hAnsi="Arial" w:cs="Arial"/>
              </w:rPr>
              <w:t>20</w:t>
            </w:r>
          </w:p>
        </w:tc>
        <w:tc>
          <w:tcPr>
            <w:tcW w:w="1276" w:type="dxa"/>
          </w:tcPr>
          <w:p w:rsidR="000A2DAF" w:rsidRDefault="000A2DAF" w:rsidP="00F07A1B">
            <w:pPr>
              <w:spacing w:line="276" w:lineRule="auto"/>
              <w:rPr>
                <w:rFonts w:ascii="Arial" w:hAnsi="Arial" w:cs="Arial"/>
              </w:rPr>
            </w:pPr>
            <w:r>
              <w:rPr>
                <w:rFonts w:ascii="Arial" w:hAnsi="Arial" w:cs="Arial"/>
              </w:rPr>
              <w:t>194K</w:t>
            </w:r>
          </w:p>
        </w:tc>
        <w:tc>
          <w:tcPr>
            <w:tcW w:w="4536" w:type="dxa"/>
            <w:vAlign w:val="center"/>
          </w:tcPr>
          <w:p w:rsidR="000A2DAF" w:rsidRDefault="000A2DAF" w:rsidP="00F07A1B">
            <w:pPr>
              <w:spacing w:line="276" w:lineRule="auto"/>
              <w:rPr>
                <w:rFonts w:ascii="Arial" w:hAnsi="Arial" w:cs="Arial"/>
                <w:sz w:val="20"/>
                <w:lang w:eastAsia="en-IN"/>
              </w:rPr>
            </w:pPr>
            <w:r w:rsidRPr="00697DBA">
              <w:rPr>
                <w:rFonts w:ascii="Arial" w:hAnsi="Arial" w:cs="Arial"/>
                <w:sz w:val="20"/>
                <w:lang w:eastAsia="en-IN"/>
              </w:rPr>
              <w:t>Income in respect of units payable to resident person</w:t>
            </w:r>
          </w:p>
          <w:p w:rsidR="000A2DAF" w:rsidRPr="00655AE6" w:rsidRDefault="000A2DAF" w:rsidP="00F07A1B">
            <w:pPr>
              <w:spacing w:line="276" w:lineRule="auto"/>
              <w:rPr>
                <w:rFonts w:ascii="Arial" w:hAnsi="Arial" w:cs="Arial"/>
              </w:rPr>
            </w:pPr>
          </w:p>
        </w:tc>
        <w:tc>
          <w:tcPr>
            <w:tcW w:w="2254" w:type="dxa"/>
            <w:vAlign w:val="center"/>
          </w:tcPr>
          <w:p w:rsidR="000A2DAF" w:rsidRPr="00655AE6" w:rsidRDefault="000A2DAF" w:rsidP="00F07A1B">
            <w:pPr>
              <w:spacing w:line="276" w:lineRule="auto"/>
              <w:jc w:val="center"/>
              <w:rPr>
                <w:rFonts w:ascii="Arial" w:hAnsi="Arial" w:cs="Arial"/>
              </w:rPr>
            </w:pPr>
            <w:r w:rsidRPr="00697DBA">
              <w:rPr>
                <w:rFonts w:ascii="Arial" w:hAnsi="Arial" w:cs="Arial"/>
                <w:sz w:val="20"/>
                <w:lang w:eastAsia="en-IN"/>
              </w:rPr>
              <w:t>10</w:t>
            </w:r>
          </w:p>
        </w:tc>
      </w:tr>
      <w:tr w:rsidR="000A2DAF" w:rsidRPr="00655AE6" w:rsidTr="000851A2">
        <w:trPr>
          <w:trHeight w:val="283"/>
        </w:trPr>
        <w:tc>
          <w:tcPr>
            <w:tcW w:w="1129" w:type="dxa"/>
          </w:tcPr>
          <w:p w:rsidR="000A2DAF" w:rsidRDefault="000A2DAF" w:rsidP="00F07A1B">
            <w:pPr>
              <w:spacing w:line="276" w:lineRule="auto"/>
              <w:jc w:val="center"/>
              <w:rPr>
                <w:rFonts w:ascii="Arial" w:hAnsi="Arial" w:cs="Arial"/>
              </w:rPr>
            </w:pPr>
            <w:r>
              <w:rPr>
                <w:rFonts w:ascii="Arial" w:hAnsi="Arial" w:cs="Arial"/>
              </w:rPr>
              <w:t>21</w:t>
            </w:r>
          </w:p>
        </w:tc>
        <w:tc>
          <w:tcPr>
            <w:tcW w:w="1276" w:type="dxa"/>
          </w:tcPr>
          <w:p w:rsidR="000A2DAF" w:rsidRDefault="000A2DAF" w:rsidP="00F07A1B">
            <w:pPr>
              <w:spacing w:line="276" w:lineRule="auto"/>
              <w:rPr>
                <w:rFonts w:ascii="Arial" w:hAnsi="Arial" w:cs="Arial"/>
              </w:rPr>
            </w:pPr>
            <w:r>
              <w:rPr>
                <w:rFonts w:ascii="Arial" w:hAnsi="Arial" w:cs="Arial"/>
              </w:rPr>
              <w:t>194LA</w:t>
            </w:r>
          </w:p>
        </w:tc>
        <w:tc>
          <w:tcPr>
            <w:tcW w:w="4536" w:type="dxa"/>
            <w:vAlign w:val="center"/>
          </w:tcPr>
          <w:p w:rsidR="000A2DAF" w:rsidRDefault="000A2DAF" w:rsidP="00F07A1B">
            <w:pPr>
              <w:spacing w:line="276" w:lineRule="auto"/>
              <w:rPr>
                <w:rFonts w:ascii="Arial" w:hAnsi="Arial" w:cs="Arial"/>
                <w:sz w:val="20"/>
                <w:lang w:eastAsia="en-IN"/>
              </w:rPr>
            </w:pPr>
            <w:r w:rsidRPr="00697DBA">
              <w:rPr>
                <w:rFonts w:ascii="Arial" w:hAnsi="Arial" w:cs="Arial"/>
                <w:sz w:val="20"/>
                <w:lang w:eastAsia="en-IN"/>
              </w:rPr>
              <w:t>Payment of compensation on acquisition of certain immovable property</w:t>
            </w:r>
          </w:p>
          <w:p w:rsidR="000A2DAF" w:rsidRPr="00655AE6" w:rsidRDefault="000A2DAF" w:rsidP="00F07A1B">
            <w:pPr>
              <w:spacing w:line="276" w:lineRule="auto"/>
              <w:rPr>
                <w:rFonts w:ascii="Arial" w:hAnsi="Arial" w:cs="Arial"/>
              </w:rPr>
            </w:pPr>
          </w:p>
        </w:tc>
        <w:tc>
          <w:tcPr>
            <w:tcW w:w="2254" w:type="dxa"/>
            <w:vAlign w:val="center"/>
          </w:tcPr>
          <w:p w:rsidR="000A2DAF" w:rsidRPr="00655AE6" w:rsidRDefault="000A2DAF" w:rsidP="00F07A1B">
            <w:pPr>
              <w:spacing w:line="276" w:lineRule="auto"/>
              <w:jc w:val="center"/>
              <w:rPr>
                <w:rFonts w:ascii="Arial" w:hAnsi="Arial" w:cs="Arial"/>
              </w:rPr>
            </w:pPr>
            <w:r w:rsidRPr="00697DBA">
              <w:rPr>
                <w:rFonts w:ascii="Arial" w:hAnsi="Arial" w:cs="Arial"/>
                <w:sz w:val="20"/>
                <w:lang w:eastAsia="en-IN"/>
              </w:rPr>
              <w:t>10</w:t>
            </w:r>
          </w:p>
        </w:tc>
      </w:tr>
      <w:tr w:rsidR="000A2DAF" w:rsidRPr="00655AE6" w:rsidTr="000851A2">
        <w:trPr>
          <w:trHeight w:val="283"/>
        </w:trPr>
        <w:tc>
          <w:tcPr>
            <w:tcW w:w="1129" w:type="dxa"/>
          </w:tcPr>
          <w:p w:rsidR="000A2DAF" w:rsidRDefault="000A2DAF" w:rsidP="00F07A1B">
            <w:pPr>
              <w:spacing w:line="276" w:lineRule="auto"/>
              <w:jc w:val="center"/>
              <w:rPr>
                <w:rFonts w:ascii="Arial" w:hAnsi="Arial" w:cs="Arial"/>
              </w:rPr>
            </w:pPr>
            <w:r>
              <w:rPr>
                <w:rFonts w:ascii="Arial" w:hAnsi="Arial" w:cs="Arial"/>
              </w:rPr>
              <w:t>22</w:t>
            </w:r>
          </w:p>
        </w:tc>
        <w:tc>
          <w:tcPr>
            <w:tcW w:w="1276" w:type="dxa"/>
          </w:tcPr>
          <w:p w:rsidR="000A2DAF" w:rsidRDefault="000A2DAF" w:rsidP="00F07A1B">
            <w:pPr>
              <w:spacing w:line="276" w:lineRule="auto"/>
              <w:rPr>
                <w:rFonts w:ascii="Arial" w:hAnsi="Arial" w:cs="Arial"/>
              </w:rPr>
            </w:pPr>
            <w:r>
              <w:rPr>
                <w:rFonts w:ascii="Arial" w:hAnsi="Arial" w:cs="Arial"/>
              </w:rPr>
              <w:t>194LBA(1)</w:t>
            </w:r>
          </w:p>
        </w:tc>
        <w:tc>
          <w:tcPr>
            <w:tcW w:w="4536" w:type="dxa"/>
            <w:vAlign w:val="center"/>
          </w:tcPr>
          <w:p w:rsidR="000A2DAF" w:rsidRDefault="000A2DAF" w:rsidP="00F07A1B">
            <w:pPr>
              <w:spacing w:line="276" w:lineRule="auto"/>
              <w:rPr>
                <w:rFonts w:ascii="Arial" w:hAnsi="Arial" w:cs="Arial"/>
                <w:sz w:val="20"/>
                <w:lang w:eastAsia="en-IN"/>
              </w:rPr>
            </w:pPr>
            <w:r w:rsidRPr="00697DBA">
              <w:rPr>
                <w:rFonts w:ascii="Arial" w:hAnsi="Arial" w:cs="Arial"/>
                <w:sz w:val="20"/>
                <w:lang w:eastAsia="en-IN"/>
              </w:rPr>
              <w:t>Business trust shall deduct tax while distributing, any interest received or receivable by it from a SPV or any income received from renting or leasing or letting out any real estate asset owned directly by it, to its unit holders.</w:t>
            </w:r>
          </w:p>
          <w:p w:rsidR="000A2DAF" w:rsidRPr="00655AE6" w:rsidRDefault="000A2DAF" w:rsidP="00F07A1B">
            <w:pPr>
              <w:spacing w:line="276" w:lineRule="auto"/>
              <w:rPr>
                <w:rFonts w:ascii="Arial" w:hAnsi="Arial" w:cs="Arial"/>
              </w:rPr>
            </w:pPr>
          </w:p>
        </w:tc>
        <w:tc>
          <w:tcPr>
            <w:tcW w:w="2254" w:type="dxa"/>
            <w:vAlign w:val="center"/>
          </w:tcPr>
          <w:p w:rsidR="000A2DAF" w:rsidRPr="00655AE6" w:rsidRDefault="000A2DAF" w:rsidP="00F07A1B">
            <w:pPr>
              <w:spacing w:line="276" w:lineRule="auto"/>
              <w:jc w:val="center"/>
              <w:rPr>
                <w:rFonts w:ascii="Arial" w:hAnsi="Arial" w:cs="Arial"/>
              </w:rPr>
            </w:pPr>
            <w:r w:rsidRPr="00697DBA">
              <w:rPr>
                <w:rFonts w:ascii="Arial" w:hAnsi="Arial" w:cs="Arial"/>
                <w:sz w:val="20"/>
                <w:lang w:eastAsia="en-IN"/>
              </w:rPr>
              <w:t>10</w:t>
            </w:r>
          </w:p>
        </w:tc>
      </w:tr>
      <w:tr w:rsidR="000A2DAF" w:rsidRPr="00655AE6" w:rsidTr="000851A2">
        <w:trPr>
          <w:trHeight w:val="283"/>
        </w:trPr>
        <w:tc>
          <w:tcPr>
            <w:tcW w:w="1129" w:type="dxa"/>
          </w:tcPr>
          <w:p w:rsidR="000A2DAF" w:rsidRDefault="000A2DAF" w:rsidP="00F07A1B">
            <w:pPr>
              <w:spacing w:line="276" w:lineRule="auto"/>
              <w:jc w:val="center"/>
              <w:rPr>
                <w:rFonts w:ascii="Arial" w:hAnsi="Arial" w:cs="Arial"/>
              </w:rPr>
            </w:pPr>
            <w:r>
              <w:rPr>
                <w:rFonts w:ascii="Arial" w:hAnsi="Arial" w:cs="Arial"/>
              </w:rPr>
              <w:t>23</w:t>
            </w:r>
          </w:p>
        </w:tc>
        <w:tc>
          <w:tcPr>
            <w:tcW w:w="1276" w:type="dxa"/>
          </w:tcPr>
          <w:p w:rsidR="000A2DAF" w:rsidRDefault="000A2DAF" w:rsidP="00F07A1B">
            <w:pPr>
              <w:spacing w:line="276" w:lineRule="auto"/>
              <w:rPr>
                <w:rFonts w:ascii="Arial" w:hAnsi="Arial" w:cs="Arial"/>
              </w:rPr>
            </w:pPr>
            <w:r>
              <w:rPr>
                <w:rFonts w:ascii="Arial" w:hAnsi="Arial" w:cs="Arial"/>
              </w:rPr>
              <w:t>194LBB</w:t>
            </w:r>
          </w:p>
        </w:tc>
        <w:tc>
          <w:tcPr>
            <w:tcW w:w="4536" w:type="dxa"/>
            <w:vAlign w:val="center"/>
          </w:tcPr>
          <w:p w:rsidR="000A2DAF" w:rsidRDefault="000A2DAF" w:rsidP="00F07A1B">
            <w:pPr>
              <w:spacing w:line="276" w:lineRule="auto"/>
              <w:rPr>
                <w:rFonts w:ascii="Arial" w:hAnsi="Arial" w:cs="Arial"/>
                <w:sz w:val="20"/>
                <w:lang w:eastAsia="en-IN"/>
              </w:rPr>
            </w:pPr>
            <w:r w:rsidRPr="00697DBA">
              <w:rPr>
                <w:rFonts w:ascii="Arial" w:hAnsi="Arial" w:cs="Arial"/>
                <w:sz w:val="20"/>
                <w:lang w:eastAsia="en-IN"/>
              </w:rPr>
              <w:t xml:space="preserve">Investment fund paying an income to a unit holder [other than income which is exempt under </w:t>
            </w:r>
            <w:r w:rsidRPr="00F41FFF">
              <w:rPr>
                <w:rFonts w:ascii="Arial" w:hAnsi="Arial" w:cs="Arial"/>
                <w:sz w:val="20"/>
                <w:lang w:eastAsia="en-IN"/>
              </w:rPr>
              <w:t>Section 10(23FBB)</w:t>
            </w:r>
            <w:r w:rsidRPr="00697DBA">
              <w:rPr>
                <w:rFonts w:ascii="Arial" w:hAnsi="Arial" w:cs="Arial"/>
                <w:sz w:val="20"/>
                <w:lang w:eastAsia="en-IN"/>
              </w:rPr>
              <w:t xml:space="preserve">] </w:t>
            </w:r>
          </w:p>
          <w:p w:rsidR="000A2DAF" w:rsidRPr="00655AE6" w:rsidRDefault="000A2DAF" w:rsidP="00F07A1B">
            <w:pPr>
              <w:spacing w:line="276" w:lineRule="auto"/>
              <w:rPr>
                <w:rFonts w:ascii="Arial" w:hAnsi="Arial" w:cs="Arial"/>
              </w:rPr>
            </w:pPr>
          </w:p>
        </w:tc>
        <w:tc>
          <w:tcPr>
            <w:tcW w:w="2254" w:type="dxa"/>
            <w:vAlign w:val="center"/>
          </w:tcPr>
          <w:p w:rsidR="000A2DAF" w:rsidRPr="00655AE6" w:rsidRDefault="000A2DAF" w:rsidP="00F07A1B">
            <w:pPr>
              <w:spacing w:line="276" w:lineRule="auto"/>
              <w:jc w:val="center"/>
              <w:rPr>
                <w:rFonts w:ascii="Arial" w:hAnsi="Arial" w:cs="Arial"/>
              </w:rPr>
            </w:pPr>
            <w:r w:rsidRPr="00697DBA">
              <w:rPr>
                <w:rFonts w:ascii="Arial" w:hAnsi="Arial" w:cs="Arial"/>
                <w:sz w:val="20"/>
                <w:lang w:eastAsia="en-IN"/>
              </w:rPr>
              <w:t>10</w:t>
            </w:r>
          </w:p>
        </w:tc>
      </w:tr>
      <w:tr w:rsidR="000A2DAF" w:rsidRPr="00655AE6" w:rsidTr="000851A2">
        <w:trPr>
          <w:trHeight w:val="283"/>
        </w:trPr>
        <w:tc>
          <w:tcPr>
            <w:tcW w:w="1129" w:type="dxa"/>
          </w:tcPr>
          <w:p w:rsidR="000A2DAF" w:rsidRDefault="000A2DAF" w:rsidP="00F07A1B">
            <w:pPr>
              <w:spacing w:line="276" w:lineRule="auto"/>
              <w:jc w:val="center"/>
              <w:rPr>
                <w:rFonts w:ascii="Arial" w:hAnsi="Arial" w:cs="Arial"/>
              </w:rPr>
            </w:pPr>
            <w:r>
              <w:rPr>
                <w:rFonts w:ascii="Arial" w:hAnsi="Arial" w:cs="Arial"/>
              </w:rPr>
              <w:t>24</w:t>
            </w:r>
          </w:p>
        </w:tc>
        <w:tc>
          <w:tcPr>
            <w:tcW w:w="1276" w:type="dxa"/>
          </w:tcPr>
          <w:p w:rsidR="000A2DAF" w:rsidRDefault="000A2DAF" w:rsidP="00F07A1B">
            <w:pPr>
              <w:spacing w:line="276" w:lineRule="auto"/>
              <w:rPr>
                <w:rFonts w:ascii="Arial" w:hAnsi="Arial" w:cs="Arial"/>
              </w:rPr>
            </w:pPr>
            <w:r>
              <w:rPr>
                <w:rFonts w:ascii="Arial" w:hAnsi="Arial" w:cs="Arial"/>
              </w:rPr>
              <w:t>194LBC</w:t>
            </w:r>
          </w:p>
        </w:tc>
        <w:tc>
          <w:tcPr>
            <w:tcW w:w="4536" w:type="dxa"/>
            <w:vAlign w:val="center"/>
          </w:tcPr>
          <w:p w:rsidR="000A2DAF" w:rsidRDefault="000A2DAF" w:rsidP="00F07A1B">
            <w:pPr>
              <w:spacing w:line="276" w:lineRule="auto"/>
              <w:rPr>
                <w:rFonts w:ascii="Arial" w:hAnsi="Arial" w:cs="Arial"/>
                <w:sz w:val="20"/>
                <w:lang w:eastAsia="en-IN"/>
              </w:rPr>
            </w:pPr>
            <w:r w:rsidRPr="00697DBA">
              <w:rPr>
                <w:rFonts w:ascii="Arial" w:hAnsi="Arial" w:cs="Arial"/>
                <w:sz w:val="20"/>
                <w:lang w:eastAsia="en-IN"/>
              </w:rPr>
              <w:t xml:space="preserve">Income in respect of investment made in a securitisation trust (specified in </w:t>
            </w:r>
            <w:r w:rsidRPr="00697DBA">
              <w:rPr>
                <w:rFonts w:ascii="Arial" w:hAnsi="Arial" w:cs="Arial"/>
                <w:i/>
                <w:iCs/>
                <w:sz w:val="20"/>
                <w:lang w:eastAsia="en-IN"/>
              </w:rPr>
              <w:t xml:space="preserve">Explanation </w:t>
            </w:r>
            <w:r w:rsidRPr="00697DBA">
              <w:rPr>
                <w:rFonts w:ascii="Arial" w:hAnsi="Arial" w:cs="Arial"/>
                <w:sz w:val="20"/>
                <w:lang w:eastAsia="en-IN"/>
              </w:rPr>
              <w:t xml:space="preserve">of </w:t>
            </w:r>
            <w:r w:rsidRPr="00F41FFF">
              <w:rPr>
                <w:rFonts w:ascii="Arial" w:hAnsi="Arial" w:cs="Arial"/>
                <w:sz w:val="20"/>
                <w:lang w:eastAsia="en-IN"/>
              </w:rPr>
              <w:t>section 115TCA</w:t>
            </w:r>
            <w:r w:rsidRPr="00697DBA">
              <w:rPr>
                <w:rFonts w:ascii="Arial" w:hAnsi="Arial" w:cs="Arial"/>
                <w:sz w:val="20"/>
                <w:lang w:eastAsia="en-IN"/>
              </w:rPr>
              <w:t>)</w:t>
            </w:r>
          </w:p>
          <w:p w:rsidR="000A2DAF" w:rsidRPr="00655AE6" w:rsidRDefault="000A2DAF" w:rsidP="00F07A1B">
            <w:pPr>
              <w:spacing w:line="276" w:lineRule="auto"/>
              <w:rPr>
                <w:rFonts w:ascii="Arial" w:hAnsi="Arial" w:cs="Arial"/>
              </w:rPr>
            </w:pPr>
          </w:p>
        </w:tc>
        <w:tc>
          <w:tcPr>
            <w:tcW w:w="2254" w:type="dxa"/>
            <w:vAlign w:val="center"/>
          </w:tcPr>
          <w:p w:rsidR="000A2DAF" w:rsidRPr="00655AE6" w:rsidRDefault="000A2DAF" w:rsidP="00F07A1B">
            <w:pPr>
              <w:spacing w:line="276" w:lineRule="auto"/>
              <w:jc w:val="center"/>
              <w:rPr>
                <w:rFonts w:ascii="Arial" w:hAnsi="Arial" w:cs="Arial"/>
              </w:rPr>
            </w:pPr>
            <w:r w:rsidRPr="00697DBA">
              <w:rPr>
                <w:rFonts w:ascii="Arial" w:hAnsi="Arial" w:cs="Arial"/>
                <w:sz w:val="20"/>
                <w:lang w:eastAsia="en-IN"/>
              </w:rPr>
              <w:t>25 in case of Individual or HUF</w:t>
            </w:r>
            <w:r w:rsidRPr="00697DBA">
              <w:rPr>
                <w:rFonts w:ascii="Arial" w:hAnsi="Arial" w:cs="Arial"/>
                <w:sz w:val="20"/>
                <w:lang w:eastAsia="en-IN"/>
              </w:rPr>
              <w:br/>
              <w:t>30 in case of other person</w:t>
            </w:r>
          </w:p>
        </w:tc>
      </w:tr>
      <w:tr w:rsidR="000A2DAF" w:rsidRPr="00655AE6" w:rsidTr="000851A2">
        <w:trPr>
          <w:trHeight w:val="283"/>
        </w:trPr>
        <w:tc>
          <w:tcPr>
            <w:tcW w:w="1129" w:type="dxa"/>
          </w:tcPr>
          <w:p w:rsidR="000A2DAF" w:rsidRDefault="000A2DAF" w:rsidP="00F07A1B">
            <w:pPr>
              <w:spacing w:line="276" w:lineRule="auto"/>
              <w:jc w:val="center"/>
              <w:rPr>
                <w:rFonts w:ascii="Arial" w:hAnsi="Arial" w:cs="Arial"/>
              </w:rPr>
            </w:pPr>
            <w:r>
              <w:rPr>
                <w:rFonts w:ascii="Arial" w:hAnsi="Arial" w:cs="Arial"/>
              </w:rPr>
              <w:t>25</w:t>
            </w:r>
          </w:p>
        </w:tc>
        <w:tc>
          <w:tcPr>
            <w:tcW w:w="1276" w:type="dxa"/>
          </w:tcPr>
          <w:p w:rsidR="000A2DAF" w:rsidRDefault="000A2DAF" w:rsidP="00F07A1B">
            <w:pPr>
              <w:spacing w:line="276" w:lineRule="auto"/>
              <w:rPr>
                <w:rFonts w:ascii="Arial" w:hAnsi="Arial" w:cs="Arial"/>
              </w:rPr>
            </w:pPr>
            <w:r>
              <w:rPr>
                <w:rFonts w:ascii="Arial" w:hAnsi="Arial" w:cs="Arial"/>
              </w:rPr>
              <w:t>194M</w:t>
            </w:r>
          </w:p>
        </w:tc>
        <w:tc>
          <w:tcPr>
            <w:tcW w:w="4536" w:type="dxa"/>
            <w:vAlign w:val="center"/>
          </w:tcPr>
          <w:p w:rsidR="000A2DAF" w:rsidRPr="00697DBA" w:rsidRDefault="000A2DAF" w:rsidP="00F07A1B">
            <w:pPr>
              <w:spacing w:line="276" w:lineRule="auto"/>
              <w:rPr>
                <w:rFonts w:ascii="Arial" w:hAnsi="Arial" w:cs="Arial"/>
                <w:sz w:val="20"/>
                <w:lang w:eastAsia="en-IN"/>
              </w:rPr>
            </w:pPr>
            <w:r w:rsidRPr="00697DBA">
              <w:rPr>
                <w:rFonts w:ascii="Arial" w:hAnsi="Arial" w:cs="Arial"/>
                <w:sz w:val="20"/>
                <w:lang w:eastAsia="en-IN"/>
              </w:rPr>
              <w:t xml:space="preserve">Payment of commission (not being insurance commission), brokerage, contractual fee, professional fee to a resident person by an Individual or a HUF who are not liable to deduct TDS under </w:t>
            </w:r>
            <w:r w:rsidRPr="00F41FFF">
              <w:rPr>
                <w:rFonts w:ascii="Arial" w:hAnsi="Arial" w:cs="Arial"/>
                <w:sz w:val="20"/>
                <w:lang w:eastAsia="en-IN"/>
              </w:rPr>
              <w:t>section 194C</w:t>
            </w:r>
            <w:r w:rsidRPr="00697DBA">
              <w:rPr>
                <w:rFonts w:ascii="Arial" w:hAnsi="Arial" w:cs="Arial"/>
                <w:sz w:val="20"/>
                <w:lang w:eastAsia="en-IN"/>
              </w:rPr>
              <w:t xml:space="preserve">, </w:t>
            </w:r>
            <w:r w:rsidRPr="00F41FFF">
              <w:rPr>
                <w:rFonts w:ascii="Arial" w:hAnsi="Arial" w:cs="Arial"/>
                <w:sz w:val="20"/>
                <w:lang w:eastAsia="en-IN"/>
              </w:rPr>
              <w:t>194H</w:t>
            </w:r>
            <w:r w:rsidRPr="00697DBA">
              <w:rPr>
                <w:rFonts w:ascii="Arial" w:hAnsi="Arial" w:cs="Arial"/>
                <w:sz w:val="20"/>
                <w:lang w:eastAsia="en-IN"/>
              </w:rPr>
              <w:t xml:space="preserve">, or </w:t>
            </w:r>
            <w:r w:rsidRPr="00F41FFF">
              <w:rPr>
                <w:rFonts w:ascii="Arial" w:hAnsi="Arial" w:cs="Arial"/>
                <w:sz w:val="20"/>
                <w:lang w:eastAsia="en-IN"/>
              </w:rPr>
              <w:t>194J</w:t>
            </w:r>
            <w:r w:rsidRPr="00697DBA">
              <w:rPr>
                <w:rFonts w:ascii="Arial" w:hAnsi="Arial" w:cs="Arial"/>
                <w:sz w:val="20"/>
                <w:lang w:eastAsia="en-IN"/>
              </w:rPr>
              <w:t>.</w:t>
            </w:r>
          </w:p>
          <w:p w:rsidR="000A2DAF" w:rsidRPr="002214F2" w:rsidRDefault="000A2DAF" w:rsidP="00F07A1B">
            <w:pPr>
              <w:spacing w:line="276" w:lineRule="auto"/>
              <w:rPr>
                <w:rFonts w:ascii="Arial" w:hAnsi="Arial" w:cs="Arial"/>
                <w:sz w:val="20"/>
                <w:lang w:eastAsia="en-IN"/>
              </w:rPr>
            </w:pPr>
            <w:r w:rsidRPr="00697DBA">
              <w:rPr>
                <w:rFonts w:ascii="Arial" w:hAnsi="Arial" w:cs="Arial"/>
                <w:sz w:val="20"/>
                <w:lang w:eastAsia="en-IN"/>
              </w:rPr>
              <w:t xml:space="preserve">Tax shall be deducted under </w:t>
            </w:r>
            <w:r w:rsidRPr="00F41FFF">
              <w:rPr>
                <w:rFonts w:ascii="Arial" w:hAnsi="Arial" w:cs="Arial"/>
                <w:b/>
                <w:bCs/>
                <w:sz w:val="20"/>
                <w:lang w:eastAsia="en-IN"/>
              </w:rPr>
              <w:t>Section 194M</w:t>
            </w:r>
            <w:r w:rsidRPr="00697DBA">
              <w:rPr>
                <w:rFonts w:ascii="Arial" w:hAnsi="Arial" w:cs="Arial"/>
                <w:sz w:val="20"/>
                <w:lang w:eastAsia="en-IN"/>
              </w:rPr>
              <w:t xml:space="preserve"> with effect from 1/09/2019 when aggregate of sum credited or paid during a financial year exceeds Rs. 50 </w:t>
            </w:r>
            <w:proofErr w:type="spellStart"/>
            <w:r w:rsidRPr="00697DBA">
              <w:rPr>
                <w:rFonts w:ascii="Arial" w:hAnsi="Arial" w:cs="Arial"/>
                <w:sz w:val="20"/>
                <w:lang w:eastAsia="en-IN"/>
              </w:rPr>
              <w:t>lakh</w:t>
            </w:r>
            <w:proofErr w:type="spellEnd"/>
            <w:r w:rsidRPr="00697DBA">
              <w:rPr>
                <w:rFonts w:ascii="Arial" w:hAnsi="Arial" w:cs="Arial"/>
                <w:sz w:val="20"/>
                <w:lang w:eastAsia="en-IN"/>
              </w:rPr>
              <w:t>.</w:t>
            </w:r>
          </w:p>
        </w:tc>
        <w:tc>
          <w:tcPr>
            <w:tcW w:w="2254" w:type="dxa"/>
            <w:vAlign w:val="center"/>
          </w:tcPr>
          <w:p w:rsidR="000A2DAF" w:rsidRPr="00655AE6" w:rsidRDefault="000A2DAF" w:rsidP="00F07A1B">
            <w:pPr>
              <w:spacing w:line="276" w:lineRule="auto"/>
              <w:jc w:val="center"/>
              <w:rPr>
                <w:rFonts w:ascii="Arial" w:hAnsi="Arial" w:cs="Arial"/>
              </w:rPr>
            </w:pPr>
            <w:r w:rsidRPr="00697DBA">
              <w:rPr>
                <w:rFonts w:ascii="Arial" w:hAnsi="Arial" w:cs="Arial"/>
                <w:sz w:val="20"/>
                <w:lang w:eastAsia="en-IN"/>
              </w:rPr>
              <w:t>5</w:t>
            </w:r>
          </w:p>
        </w:tc>
      </w:tr>
      <w:tr w:rsidR="000A2DAF" w:rsidRPr="00655AE6" w:rsidTr="000851A2">
        <w:trPr>
          <w:trHeight w:val="283"/>
        </w:trPr>
        <w:tc>
          <w:tcPr>
            <w:tcW w:w="1129" w:type="dxa"/>
          </w:tcPr>
          <w:p w:rsidR="000A2DAF" w:rsidRDefault="000A2DAF" w:rsidP="00F07A1B">
            <w:pPr>
              <w:spacing w:line="276" w:lineRule="auto"/>
              <w:jc w:val="center"/>
              <w:rPr>
                <w:rFonts w:ascii="Arial" w:hAnsi="Arial" w:cs="Arial"/>
              </w:rPr>
            </w:pPr>
            <w:r>
              <w:rPr>
                <w:rFonts w:ascii="Arial" w:hAnsi="Arial" w:cs="Arial"/>
              </w:rPr>
              <w:t>26</w:t>
            </w:r>
          </w:p>
        </w:tc>
        <w:tc>
          <w:tcPr>
            <w:tcW w:w="1276" w:type="dxa"/>
          </w:tcPr>
          <w:p w:rsidR="000A2DAF" w:rsidRDefault="000A2DAF" w:rsidP="00F07A1B">
            <w:pPr>
              <w:spacing w:line="276" w:lineRule="auto"/>
              <w:rPr>
                <w:rFonts w:ascii="Arial" w:hAnsi="Arial" w:cs="Arial"/>
              </w:rPr>
            </w:pPr>
            <w:r>
              <w:rPr>
                <w:rFonts w:ascii="Arial" w:hAnsi="Arial" w:cs="Arial"/>
              </w:rPr>
              <w:t>194N</w:t>
            </w:r>
          </w:p>
        </w:tc>
        <w:tc>
          <w:tcPr>
            <w:tcW w:w="4536" w:type="dxa"/>
            <w:vAlign w:val="center"/>
          </w:tcPr>
          <w:p w:rsidR="000A2DAF" w:rsidRPr="00697DBA" w:rsidRDefault="000A2DAF" w:rsidP="00F07A1B">
            <w:pPr>
              <w:spacing w:line="276" w:lineRule="auto"/>
              <w:rPr>
                <w:rFonts w:ascii="Arial" w:hAnsi="Arial" w:cs="Arial"/>
                <w:sz w:val="20"/>
                <w:lang w:eastAsia="en-IN"/>
              </w:rPr>
            </w:pPr>
            <w:r w:rsidRPr="00697DBA">
              <w:rPr>
                <w:rFonts w:ascii="Arial" w:hAnsi="Arial" w:cs="Arial"/>
                <w:sz w:val="20"/>
                <w:lang w:eastAsia="en-IN"/>
              </w:rPr>
              <w:t>Cash withdrawal during the previous year from one or more account maintained by a person with a banking company, co-operative society engaged in business of banking or a post office:</w:t>
            </w:r>
          </w:p>
          <w:p w:rsidR="000A2DAF" w:rsidRPr="00697DBA" w:rsidRDefault="000A2DAF" w:rsidP="00F07A1B">
            <w:pPr>
              <w:spacing w:line="276" w:lineRule="auto"/>
              <w:rPr>
                <w:rFonts w:ascii="Arial" w:hAnsi="Arial" w:cs="Arial"/>
                <w:sz w:val="20"/>
                <w:lang w:eastAsia="en-IN"/>
              </w:rPr>
            </w:pPr>
            <w:r w:rsidRPr="00697DBA">
              <w:rPr>
                <w:rFonts w:ascii="Arial" w:hAnsi="Arial" w:cs="Arial"/>
                <w:sz w:val="20"/>
                <w:lang w:eastAsia="en-IN"/>
              </w:rPr>
              <w:lastRenderedPageBreak/>
              <w:t>i) in excess of Rs. 1 crore</w:t>
            </w:r>
          </w:p>
          <w:p w:rsidR="000A2DAF" w:rsidRPr="00697DBA" w:rsidRDefault="000A2DAF" w:rsidP="00F07A1B">
            <w:pPr>
              <w:spacing w:line="276" w:lineRule="auto"/>
              <w:rPr>
                <w:rFonts w:ascii="Arial" w:hAnsi="Arial" w:cs="Arial"/>
                <w:sz w:val="20"/>
                <w:lang w:eastAsia="en-IN"/>
              </w:rPr>
            </w:pPr>
            <w:r w:rsidRPr="00697DBA">
              <w:rPr>
                <w:rFonts w:ascii="Arial" w:hAnsi="Arial" w:cs="Arial"/>
                <w:sz w:val="20"/>
                <w:lang w:eastAsia="en-IN"/>
              </w:rPr>
              <w:t>ii) in excess of Rs. 20 lakhs*</w:t>
            </w:r>
          </w:p>
          <w:p w:rsidR="000A2DAF" w:rsidRPr="00697DBA" w:rsidRDefault="000A2DAF" w:rsidP="00F07A1B">
            <w:pPr>
              <w:spacing w:line="276" w:lineRule="auto"/>
              <w:rPr>
                <w:rFonts w:ascii="Arial" w:hAnsi="Arial" w:cs="Arial"/>
                <w:sz w:val="20"/>
                <w:lang w:eastAsia="en-IN"/>
              </w:rPr>
            </w:pPr>
            <w:r w:rsidRPr="00697DBA">
              <w:rPr>
                <w:rFonts w:ascii="Arial" w:hAnsi="Arial" w:cs="Arial"/>
                <w:sz w:val="20"/>
                <w:lang w:eastAsia="en-IN"/>
              </w:rPr>
              <w:t xml:space="preserve">* for those persons who have not filed return of income (ITR) for three previous years immediately preceding the previous year in which cash is withdrawn, and the due date for filing ITR under </w:t>
            </w:r>
            <w:r w:rsidRPr="00F41FFF">
              <w:rPr>
                <w:rFonts w:ascii="Arial" w:hAnsi="Arial" w:cs="Arial"/>
                <w:sz w:val="20"/>
                <w:lang w:eastAsia="en-IN"/>
              </w:rPr>
              <w:t>section 139(1)</w:t>
            </w:r>
            <w:r w:rsidRPr="00697DBA">
              <w:rPr>
                <w:rFonts w:ascii="Arial" w:hAnsi="Arial" w:cs="Arial"/>
                <w:sz w:val="20"/>
                <w:lang w:eastAsia="en-IN"/>
              </w:rPr>
              <w:t xml:space="preserve"> has expired. The deduction of tax under this situation shall be at the rate of:</w:t>
            </w:r>
          </w:p>
          <w:p w:rsidR="000A2DAF" w:rsidRPr="00697DBA" w:rsidRDefault="000A2DAF" w:rsidP="00F07A1B">
            <w:pPr>
              <w:spacing w:line="276" w:lineRule="auto"/>
              <w:rPr>
                <w:rFonts w:ascii="Arial" w:hAnsi="Arial" w:cs="Arial"/>
                <w:sz w:val="20"/>
                <w:lang w:eastAsia="en-IN"/>
              </w:rPr>
            </w:pPr>
            <w:r w:rsidRPr="00697DBA">
              <w:rPr>
                <w:rFonts w:ascii="Arial" w:hAnsi="Arial" w:cs="Arial"/>
                <w:sz w:val="20"/>
                <w:lang w:eastAsia="en-IN"/>
              </w:rPr>
              <w:t>a) 2% from the amount withdrawn in cash if the aggregate of the amount of withdrawal exceeds Rs. 20 lakhs during the previous year; or</w:t>
            </w:r>
          </w:p>
          <w:p w:rsidR="000A2DAF" w:rsidRPr="00655AE6" w:rsidRDefault="000A2DAF" w:rsidP="00F07A1B">
            <w:pPr>
              <w:spacing w:line="276" w:lineRule="auto"/>
              <w:rPr>
                <w:rFonts w:ascii="Arial" w:hAnsi="Arial" w:cs="Arial"/>
              </w:rPr>
            </w:pPr>
            <w:r w:rsidRPr="00697DBA">
              <w:rPr>
                <w:rFonts w:ascii="Arial" w:hAnsi="Arial" w:cs="Arial"/>
                <w:sz w:val="20"/>
                <w:lang w:eastAsia="en-IN"/>
              </w:rPr>
              <w:t>b) 5% from the amount withdrawn in cash if the aggregate of the amount of withdrawal exceeds Rs. 1 crore during the previous year.</w:t>
            </w:r>
          </w:p>
        </w:tc>
        <w:tc>
          <w:tcPr>
            <w:tcW w:w="2254" w:type="dxa"/>
          </w:tcPr>
          <w:p w:rsidR="000A2DAF" w:rsidRDefault="000A2DAF" w:rsidP="00F07A1B">
            <w:pPr>
              <w:spacing w:line="276" w:lineRule="auto"/>
              <w:jc w:val="center"/>
              <w:rPr>
                <w:rFonts w:ascii="Arial" w:hAnsi="Arial" w:cs="Arial"/>
                <w:sz w:val="20"/>
                <w:lang w:eastAsia="en-IN"/>
              </w:rPr>
            </w:pPr>
          </w:p>
          <w:p w:rsidR="000A2DAF" w:rsidRDefault="000A2DAF" w:rsidP="00F07A1B">
            <w:pPr>
              <w:spacing w:line="276" w:lineRule="auto"/>
              <w:jc w:val="center"/>
              <w:rPr>
                <w:rFonts w:ascii="Arial" w:hAnsi="Arial" w:cs="Arial"/>
                <w:sz w:val="20"/>
                <w:lang w:eastAsia="en-IN"/>
              </w:rPr>
            </w:pPr>
          </w:p>
          <w:p w:rsidR="00E9707E" w:rsidRDefault="00E9707E" w:rsidP="00F07A1B">
            <w:pPr>
              <w:spacing w:line="276" w:lineRule="auto"/>
              <w:jc w:val="center"/>
              <w:rPr>
                <w:rFonts w:ascii="Arial" w:hAnsi="Arial" w:cs="Arial"/>
                <w:sz w:val="20"/>
                <w:lang w:eastAsia="en-IN"/>
              </w:rPr>
            </w:pPr>
          </w:p>
          <w:p w:rsidR="00E9707E" w:rsidRDefault="00E9707E" w:rsidP="00F07A1B">
            <w:pPr>
              <w:spacing w:line="276" w:lineRule="auto"/>
              <w:jc w:val="center"/>
              <w:rPr>
                <w:rFonts w:ascii="Arial" w:hAnsi="Arial" w:cs="Arial"/>
                <w:sz w:val="20"/>
                <w:lang w:eastAsia="en-IN"/>
              </w:rPr>
            </w:pPr>
          </w:p>
          <w:p w:rsidR="000A2DAF" w:rsidRPr="00697DBA" w:rsidRDefault="000A2DAF" w:rsidP="00F07A1B">
            <w:pPr>
              <w:spacing w:line="276" w:lineRule="auto"/>
              <w:jc w:val="center"/>
              <w:rPr>
                <w:rFonts w:ascii="Arial" w:hAnsi="Arial" w:cs="Arial"/>
                <w:sz w:val="20"/>
                <w:lang w:eastAsia="en-IN"/>
              </w:rPr>
            </w:pPr>
            <w:r w:rsidRPr="00697DBA">
              <w:rPr>
                <w:rFonts w:ascii="Arial" w:hAnsi="Arial" w:cs="Arial"/>
                <w:sz w:val="20"/>
                <w:lang w:eastAsia="en-IN"/>
              </w:rPr>
              <w:lastRenderedPageBreak/>
              <w:t>2</w:t>
            </w:r>
          </w:p>
          <w:p w:rsidR="000A2DAF" w:rsidRPr="00655AE6" w:rsidRDefault="000A2DAF" w:rsidP="00F07A1B">
            <w:pPr>
              <w:spacing w:line="276" w:lineRule="auto"/>
              <w:jc w:val="center"/>
              <w:rPr>
                <w:rFonts w:ascii="Arial" w:hAnsi="Arial" w:cs="Arial"/>
              </w:rPr>
            </w:pPr>
            <w:r w:rsidRPr="00697DBA">
              <w:rPr>
                <w:rFonts w:ascii="Arial" w:hAnsi="Arial" w:cs="Arial"/>
                <w:sz w:val="20"/>
                <w:lang w:eastAsia="en-IN"/>
              </w:rPr>
              <w:t>2</w:t>
            </w:r>
            <w:r w:rsidR="00E9707E">
              <w:rPr>
                <w:rFonts w:ascii="Arial" w:hAnsi="Arial" w:cs="Arial"/>
                <w:sz w:val="20"/>
                <w:lang w:eastAsia="en-IN"/>
              </w:rPr>
              <w:t xml:space="preserve"> </w:t>
            </w:r>
            <w:r w:rsidRPr="00697DBA">
              <w:rPr>
                <w:rFonts w:ascii="Arial" w:hAnsi="Arial" w:cs="Arial"/>
                <w:sz w:val="20"/>
                <w:lang w:eastAsia="en-IN"/>
              </w:rPr>
              <w:t>/</w:t>
            </w:r>
            <w:r w:rsidR="00E9707E">
              <w:rPr>
                <w:rFonts w:ascii="Arial" w:hAnsi="Arial" w:cs="Arial"/>
                <w:sz w:val="20"/>
                <w:lang w:eastAsia="en-IN"/>
              </w:rPr>
              <w:t xml:space="preserve"> </w:t>
            </w:r>
            <w:r w:rsidRPr="00697DBA">
              <w:rPr>
                <w:rFonts w:ascii="Arial" w:hAnsi="Arial" w:cs="Arial"/>
                <w:sz w:val="20"/>
                <w:lang w:eastAsia="en-IN"/>
              </w:rPr>
              <w:t>5</w:t>
            </w:r>
          </w:p>
        </w:tc>
      </w:tr>
      <w:tr w:rsidR="000A2DAF" w:rsidRPr="00655AE6" w:rsidTr="000851A2">
        <w:trPr>
          <w:trHeight w:val="283"/>
        </w:trPr>
        <w:tc>
          <w:tcPr>
            <w:tcW w:w="1129" w:type="dxa"/>
          </w:tcPr>
          <w:p w:rsidR="000A2DAF" w:rsidRDefault="000A2DAF" w:rsidP="00F07A1B">
            <w:pPr>
              <w:spacing w:line="276" w:lineRule="auto"/>
              <w:jc w:val="center"/>
              <w:rPr>
                <w:rFonts w:ascii="Arial" w:hAnsi="Arial" w:cs="Arial"/>
              </w:rPr>
            </w:pPr>
            <w:r>
              <w:rPr>
                <w:rFonts w:ascii="Arial" w:hAnsi="Arial" w:cs="Arial"/>
              </w:rPr>
              <w:lastRenderedPageBreak/>
              <w:t>27</w:t>
            </w:r>
          </w:p>
        </w:tc>
        <w:tc>
          <w:tcPr>
            <w:tcW w:w="1276" w:type="dxa"/>
          </w:tcPr>
          <w:p w:rsidR="000A2DAF" w:rsidRDefault="000A2DAF" w:rsidP="00F07A1B">
            <w:pPr>
              <w:spacing w:line="276" w:lineRule="auto"/>
              <w:rPr>
                <w:rFonts w:ascii="Arial" w:hAnsi="Arial" w:cs="Arial"/>
              </w:rPr>
            </w:pPr>
            <w:r>
              <w:rPr>
                <w:rFonts w:ascii="Arial" w:hAnsi="Arial" w:cs="Arial"/>
              </w:rPr>
              <w:t>194O</w:t>
            </w:r>
          </w:p>
        </w:tc>
        <w:tc>
          <w:tcPr>
            <w:tcW w:w="4536" w:type="dxa"/>
            <w:vAlign w:val="center"/>
          </w:tcPr>
          <w:p w:rsidR="000A2DAF" w:rsidRPr="00655AE6" w:rsidRDefault="000A2DAF" w:rsidP="00F07A1B">
            <w:pPr>
              <w:spacing w:line="276" w:lineRule="auto"/>
              <w:rPr>
                <w:rFonts w:ascii="Arial" w:hAnsi="Arial" w:cs="Arial"/>
              </w:rPr>
            </w:pPr>
            <w:r w:rsidRPr="00697DBA">
              <w:rPr>
                <w:rFonts w:ascii="Arial" w:hAnsi="Arial" w:cs="Arial"/>
                <w:sz w:val="20"/>
                <w:lang w:eastAsia="en-IN"/>
              </w:rPr>
              <w:t>Payment or credit of amount by the e-commerce operator to e-commerce participant</w:t>
            </w:r>
          </w:p>
        </w:tc>
        <w:tc>
          <w:tcPr>
            <w:tcW w:w="2254" w:type="dxa"/>
            <w:vAlign w:val="center"/>
          </w:tcPr>
          <w:p w:rsidR="000A2DAF" w:rsidRPr="00655AE6" w:rsidRDefault="000A2DAF" w:rsidP="00F07A1B">
            <w:pPr>
              <w:spacing w:line="276" w:lineRule="auto"/>
              <w:jc w:val="center"/>
              <w:rPr>
                <w:rFonts w:ascii="Arial" w:hAnsi="Arial" w:cs="Arial"/>
              </w:rPr>
            </w:pPr>
            <w:r w:rsidRPr="00697DBA">
              <w:rPr>
                <w:rFonts w:ascii="Arial" w:hAnsi="Arial" w:cs="Arial"/>
                <w:sz w:val="20"/>
                <w:lang w:eastAsia="en-IN"/>
              </w:rPr>
              <w:t>1</w:t>
            </w:r>
          </w:p>
        </w:tc>
      </w:tr>
      <w:tr w:rsidR="000A2DAF" w:rsidRPr="00655AE6" w:rsidTr="000851A2">
        <w:trPr>
          <w:trHeight w:val="283"/>
        </w:trPr>
        <w:tc>
          <w:tcPr>
            <w:tcW w:w="1129" w:type="dxa"/>
          </w:tcPr>
          <w:p w:rsidR="000A2DAF" w:rsidRDefault="000A2DAF" w:rsidP="00F07A1B">
            <w:pPr>
              <w:spacing w:line="276" w:lineRule="auto"/>
              <w:jc w:val="center"/>
              <w:rPr>
                <w:rFonts w:ascii="Arial" w:hAnsi="Arial" w:cs="Arial"/>
              </w:rPr>
            </w:pPr>
            <w:r>
              <w:rPr>
                <w:rFonts w:ascii="Arial" w:hAnsi="Arial" w:cs="Arial"/>
              </w:rPr>
              <w:t>28</w:t>
            </w:r>
          </w:p>
        </w:tc>
        <w:tc>
          <w:tcPr>
            <w:tcW w:w="1276" w:type="dxa"/>
          </w:tcPr>
          <w:p w:rsidR="000A2DAF" w:rsidRDefault="000A2DAF" w:rsidP="00F07A1B">
            <w:pPr>
              <w:spacing w:line="276" w:lineRule="auto"/>
              <w:rPr>
                <w:rFonts w:ascii="Arial" w:hAnsi="Arial" w:cs="Arial"/>
              </w:rPr>
            </w:pPr>
            <w:r>
              <w:rPr>
                <w:rFonts w:ascii="Arial" w:hAnsi="Arial" w:cs="Arial"/>
              </w:rPr>
              <w:t>194P</w:t>
            </w:r>
          </w:p>
        </w:tc>
        <w:tc>
          <w:tcPr>
            <w:tcW w:w="4536" w:type="dxa"/>
            <w:vAlign w:val="center"/>
          </w:tcPr>
          <w:p w:rsidR="000A2DAF" w:rsidRPr="00655AE6" w:rsidRDefault="000A2DAF" w:rsidP="00F07A1B">
            <w:pPr>
              <w:spacing w:line="276" w:lineRule="auto"/>
              <w:rPr>
                <w:rFonts w:ascii="Arial" w:hAnsi="Arial" w:cs="Arial"/>
              </w:rPr>
            </w:pPr>
            <w:r w:rsidRPr="00697DBA">
              <w:rPr>
                <w:rFonts w:ascii="Arial" w:hAnsi="Arial" w:cs="Arial"/>
                <w:sz w:val="20"/>
                <w:lang w:eastAsia="en-IN"/>
              </w:rPr>
              <w:t>Deduction of tax by specified bank in case of senior citizen having age of 75 or more</w:t>
            </w:r>
          </w:p>
        </w:tc>
        <w:tc>
          <w:tcPr>
            <w:tcW w:w="2254" w:type="dxa"/>
            <w:vAlign w:val="center"/>
          </w:tcPr>
          <w:p w:rsidR="000A2DAF" w:rsidRPr="00655AE6" w:rsidRDefault="000A2DAF" w:rsidP="00F07A1B">
            <w:pPr>
              <w:spacing w:line="276" w:lineRule="auto"/>
              <w:jc w:val="center"/>
              <w:rPr>
                <w:rFonts w:ascii="Arial" w:hAnsi="Arial" w:cs="Arial"/>
              </w:rPr>
            </w:pPr>
            <w:r w:rsidRPr="00697DBA">
              <w:rPr>
                <w:rFonts w:ascii="Arial" w:hAnsi="Arial" w:cs="Arial"/>
                <w:sz w:val="20"/>
                <w:lang w:eastAsia="en-IN"/>
              </w:rPr>
              <w:t>Tax on total income as per rate in force</w:t>
            </w:r>
          </w:p>
        </w:tc>
      </w:tr>
      <w:tr w:rsidR="000A2DAF" w:rsidRPr="00655AE6" w:rsidTr="000851A2">
        <w:trPr>
          <w:trHeight w:val="283"/>
        </w:trPr>
        <w:tc>
          <w:tcPr>
            <w:tcW w:w="1129" w:type="dxa"/>
          </w:tcPr>
          <w:p w:rsidR="000A2DAF" w:rsidRDefault="000A2DAF" w:rsidP="00F07A1B">
            <w:pPr>
              <w:spacing w:line="276" w:lineRule="auto"/>
              <w:jc w:val="center"/>
              <w:rPr>
                <w:rFonts w:ascii="Arial" w:hAnsi="Arial" w:cs="Arial"/>
              </w:rPr>
            </w:pPr>
            <w:r>
              <w:rPr>
                <w:rFonts w:ascii="Arial" w:hAnsi="Arial" w:cs="Arial"/>
              </w:rPr>
              <w:t>29</w:t>
            </w:r>
          </w:p>
        </w:tc>
        <w:tc>
          <w:tcPr>
            <w:tcW w:w="1276" w:type="dxa"/>
          </w:tcPr>
          <w:p w:rsidR="000A2DAF" w:rsidRDefault="000A2DAF" w:rsidP="00F07A1B">
            <w:pPr>
              <w:spacing w:line="276" w:lineRule="auto"/>
              <w:rPr>
                <w:rFonts w:ascii="Arial" w:hAnsi="Arial" w:cs="Arial"/>
              </w:rPr>
            </w:pPr>
            <w:r>
              <w:rPr>
                <w:rFonts w:ascii="Arial" w:hAnsi="Arial" w:cs="Arial"/>
              </w:rPr>
              <w:t>194Q</w:t>
            </w:r>
          </w:p>
        </w:tc>
        <w:tc>
          <w:tcPr>
            <w:tcW w:w="4536" w:type="dxa"/>
            <w:vAlign w:val="center"/>
          </w:tcPr>
          <w:p w:rsidR="000A2DAF" w:rsidRPr="00697DBA" w:rsidRDefault="000A2DAF" w:rsidP="00F07A1B">
            <w:pPr>
              <w:spacing w:line="276" w:lineRule="auto"/>
              <w:rPr>
                <w:rFonts w:ascii="Arial" w:hAnsi="Arial" w:cs="Arial"/>
                <w:sz w:val="20"/>
                <w:lang w:eastAsia="en-IN"/>
              </w:rPr>
            </w:pPr>
            <w:r w:rsidRPr="00697DBA">
              <w:rPr>
                <w:rFonts w:ascii="Arial" w:hAnsi="Arial" w:cs="Arial"/>
                <w:sz w:val="20"/>
                <w:lang w:eastAsia="en-IN"/>
              </w:rPr>
              <w:t xml:space="preserve">Payment for purchase of goods of the aggregate value exceeding Rs. 50 lakhs </w:t>
            </w:r>
          </w:p>
          <w:p w:rsidR="000A2DAF" w:rsidRPr="00655AE6" w:rsidRDefault="000A2DAF" w:rsidP="00F07A1B">
            <w:pPr>
              <w:spacing w:line="276" w:lineRule="auto"/>
              <w:rPr>
                <w:rFonts w:ascii="Arial" w:hAnsi="Arial" w:cs="Arial"/>
              </w:rPr>
            </w:pPr>
            <w:r w:rsidRPr="00697DBA">
              <w:rPr>
                <w:rFonts w:ascii="Arial" w:hAnsi="Arial" w:cs="Arial"/>
                <w:sz w:val="20"/>
                <w:lang w:eastAsia="en-IN"/>
              </w:rPr>
              <w:t>Note: TDS is deductible on sum exceeding Rs. 50 lakhs</w:t>
            </w:r>
          </w:p>
        </w:tc>
        <w:tc>
          <w:tcPr>
            <w:tcW w:w="2254" w:type="dxa"/>
            <w:vAlign w:val="center"/>
          </w:tcPr>
          <w:p w:rsidR="000A2DAF" w:rsidRPr="00655AE6" w:rsidRDefault="000A2DAF" w:rsidP="00F07A1B">
            <w:pPr>
              <w:spacing w:line="276" w:lineRule="auto"/>
              <w:jc w:val="center"/>
              <w:rPr>
                <w:rFonts w:ascii="Arial" w:hAnsi="Arial" w:cs="Arial"/>
              </w:rPr>
            </w:pPr>
            <w:r w:rsidRPr="00697DBA">
              <w:rPr>
                <w:rFonts w:ascii="Arial" w:hAnsi="Arial" w:cs="Arial"/>
                <w:sz w:val="20"/>
                <w:lang w:eastAsia="en-IN"/>
              </w:rPr>
              <w:t>0.1</w:t>
            </w:r>
          </w:p>
        </w:tc>
      </w:tr>
      <w:tr w:rsidR="000A2DAF" w:rsidRPr="00655AE6" w:rsidTr="000851A2">
        <w:trPr>
          <w:trHeight w:val="283"/>
        </w:trPr>
        <w:tc>
          <w:tcPr>
            <w:tcW w:w="1129" w:type="dxa"/>
          </w:tcPr>
          <w:p w:rsidR="000A2DAF" w:rsidRDefault="000A2DAF" w:rsidP="00F07A1B">
            <w:pPr>
              <w:spacing w:line="276" w:lineRule="auto"/>
              <w:jc w:val="center"/>
              <w:rPr>
                <w:rFonts w:ascii="Arial" w:hAnsi="Arial" w:cs="Arial"/>
              </w:rPr>
            </w:pPr>
            <w:r>
              <w:rPr>
                <w:rFonts w:ascii="Arial" w:hAnsi="Arial" w:cs="Arial"/>
              </w:rPr>
              <w:t>30</w:t>
            </w:r>
          </w:p>
        </w:tc>
        <w:tc>
          <w:tcPr>
            <w:tcW w:w="1276" w:type="dxa"/>
          </w:tcPr>
          <w:p w:rsidR="000A2DAF" w:rsidRDefault="000A2DAF" w:rsidP="00F07A1B">
            <w:pPr>
              <w:spacing w:line="276" w:lineRule="auto"/>
              <w:rPr>
                <w:rFonts w:ascii="Arial" w:hAnsi="Arial" w:cs="Arial"/>
              </w:rPr>
            </w:pPr>
            <w:r>
              <w:rPr>
                <w:rFonts w:ascii="Arial" w:hAnsi="Arial" w:cs="Arial"/>
              </w:rPr>
              <w:t>194R</w:t>
            </w:r>
          </w:p>
        </w:tc>
        <w:tc>
          <w:tcPr>
            <w:tcW w:w="4536" w:type="dxa"/>
            <w:vAlign w:val="center"/>
          </w:tcPr>
          <w:p w:rsidR="000A2DAF" w:rsidRPr="00697DBA" w:rsidRDefault="000A2DAF" w:rsidP="00F07A1B">
            <w:pPr>
              <w:spacing w:line="276" w:lineRule="auto"/>
              <w:rPr>
                <w:rFonts w:ascii="Arial" w:hAnsi="Arial" w:cs="Arial"/>
                <w:sz w:val="20"/>
                <w:lang w:eastAsia="en-IN"/>
              </w:rPr>
            </w:pPr>
            <w:r w:rsidRPr="00697DBA">
              <w:rPr>
                <w:rFonts w:ascii="Arial" w:hAnsi="Arial" w:cs="Arial"/>
                <w:sz w:val="20"/>
                <w:lang w:eastAsia="en-IN"/>
              </w:rPr>
              <w:t>Deduction of tax in case any benefit or perquisite is provided and aggregate value of such benefit/perquisite exceeds Rs. 20,000</w:t>
            </w:r>
          </w:p>
          <w:p w:rsidR="000A2DAF" w:rsidRPr="00655AE6" w:rsidRDefault="000A2DAF" w:rsidP="00F07A1B">
            <w:pPr>
              <w:spacing w:line="276" w:lineRule="auto"/>
              <w:rPr>
                <w:rFonts w:ascii="Arial" w:hAnsi="Arial" w:cs="Arial"/>
              </w:rPr>
            </w:pPr>
            <w:r w:rsidRPr="00697DBA">
              <w:rPr>
                <w:rFonts w:ascii="Arial" w:hAnsi="Arial" w:cs="Arial"/>
                <w:sz w:val="20"/>
                <w:lang w:eastAsia="en-IN"/>
              </w:rPr>
              <w:t>Note: Benefit or perquisite should be arising from business or the exercise of a profession by such resident.</w:t>
            </w:r>
          </w:p>
        </w:tc>
        <w:tc>
          <w:tcPr>
            <w:tcW w:w="2254" w:type="dxa"/>
            <w:vAlign w:val="center"/>
          </w:tcPr>
          <w:p w:rsidR="000A2DAF" w:rsidRPr="00655AE6" w:rsidRDefault="000A2DAF" w:rsidP="00F07A1B">
            <w:pPr>
              <w:spacing w:line="276" w:lineRule="auto"/>
              <w:jc w:val="center"/>
              <w:rPr>
                <w:rFonts w:ascii="Arial" w:hAnsi="Arial" w:cs="Arial"/>
              </w:rPr>
            </w:pPr>
            <w:r w:rsidRPr="00697DBA">
              <w:rPr>
                <w:rFonts w:ascii="Arial" w:hAnsi="Arial" w:cs="Arial"/>
                <w:sz w:val="20"/>
                <w:lang w:eastAsia="en-IN"/>
              </w:rPr>
              <w:t>10</w:t>
            </w:r>
          </w:p>
        </w:tc>
      </w:tr>
      <w:tr w:rsidR="000A2DAF" w:rsidRPr="00655AE6" w:rsidTr="000851A2">
        <w:trPr>
          <w:trHeight w:val="283"/>
        </w:trPr>
        <w:tc>
          <w:tcPr>
            <w:tcW w:w="1129" w:type="dxa"/>
          </w:tcPr>
          <w:p w:rsidR="000A2DAF" w:rsidRDefault="000A2DAF" w:rsidP="00F07A1B">
            <w:pPr>
              <w:spacing w:line="276" w:lineRule="auto"/>
              <w:jc w:val="center"/>
              <w:rPr>
                <w:rFonts w:ascii="Arial" w:hAnsi="Arial" w:cs="Arial"/>
              </w:rPr>
            </w:pPr>
            <w:r>
              <w:rPr>
                <w:rFonts w:ascii="Arial" w:hAnsi="Arial" w:cs="Arial"/>
              </w:rPr>
              <w:t>31</w:t>
            </w:r>
          </w:p>
        </w:tc>
        <w:tc>
          <w:tcPr>
            <w:tcW w:w="1276" w:type="dxa"/>
          </w:tcPr>
          <w:p w:rsidR="000A2DAF" w:rsidRDefault="000A2DAF" w:rsidP="00F07A1B">
            <w:pPr>
              <w:spacing w:line="276" w:lineRule="auto"/>
              <w:rPr>
                <w:rFonts w:ascii="Arial" w:hAnsi="Arial" w:cs="Arial"/>
              </w:rPr>
            </w:pPr>
            <w:r>
              <w:rPr>
                <w:rFonts w:ascii="Arial" w:hAnsi="Arial" w:cs="Arial"/>
              </w:rPr>
              <w:t>194S</w:t>
            </w:r>
          </w:p>
        </w:tc>
        <w:tc>
          <w:tcPr>
            <w:tcW w:w="4536" w:type="dxa"/>
            <w:vAlign w:val="center"/>
          </w:tcPr>
          <w:p w:rsidR="000A2DAF" w:rsidRPr="00697DBA" w:rsidRDefault="000A2DAF" w:rsidP="00F07A1B">
            <w:pPr>
              <w:spacing w:line="276" w:lineRule="auto"/>
              <w:rPr>
                <w:rFonts w:ascii="Arial" w:hAnsi="Arial" w:cs="Arial"/>
                <w:sz w:val="20"/>
                <w:lang w:eastAsia="en-IN"/>
              </w:rPr>
            </w:pPr>
            <w:r w:rsidRPr="00697DBA">
              <w:rPr>
                <w:rFonts w:ascii="Arial" w:hAnsi="Arial" w:cs="Arial"/>
                <w:sz w:val="20"/>
                <w:lang w:eastAsia="en-IN"/>
              </w:rPr>
              <w:t>Payment on transfer of Virtual Digital Asset</w:t>
            </w:r>
          </w:p>
          <w:p w:rsidR="000A2DAF" w:rsidRPr="00697DBA" w:rsidRDefault="000A2DAF" w:rsidP="00F07A1B">
            <w:pPr>
              <w:spacing w:line="276" w:lineRule="auto"/>
              <w:rPr>
                <w:rFonts w:ascii="Arial" w:hAnsi="Arial" w:cs="Arial"/>
                <w:sz w:val="20"/>
                <w:lang w:eastAsia="en-IN"/>
              </w:rPr>
            </w:pPr>
            <w:r w:rsidRPr="00697DBA">
              <w:rPr>
                <w:rFonts w:ascii="Arial" w:hAnsi="Arial" w:cs="Arial"/>
                <w:sz w:val="20"/>
                <w:lang w:eastAsia="en-IN"/>
              </w:rPr>
              <w:t>Note: No tax shall be deducted under this provision in the following circumstance:</w:t>
            </w:r>
          </w:p>
          <w:p w:rsidR="000A2DAF" w:rsidRPr="00697DBA" w:rsidRDefault="000A2DAF" w:rsidP="00F07A1B">
            <w:pPr>
              <w:spacing w:line="276" w:lineRule="auto"/>
              <w:rPr>
                <w:rFonts w:ascii="Arial" w:hAnsi="Arial" w:cs="Arial"/>
                <w:sz w:val="20"/>
                <w:lang w:eastAsia="en-IN"/>
              </w:rPr>
            </w:pPr>
            <w:r w:rsidRPr="00697DBA">
              <w:rPr>
                <w:rFonts w:ascii="Arial" w:hAnsi="Arial" w:cs="Arial"/>
                <w:sz w:val="20"/>
                <w:lang w:eastAsia="en-IN"/>
              </w:rPr>
              <w:t>• If the consideration is payable by any person (other than a specified person) and its aggregate value does not exceed Rs. 10,000 during the financial year.</w:t>
            </w:r>
          </w:p>
          <w:p w:rsidR="000A2DAF" w:rsidRPr="00697DBA" w:rsidRDefault="000A2DAF" w:rsidP="00F07A1B">
            <w:pPr>
              <w:spacing w:line="276" w:lineRule="auto"/>
              <w:rPr>
                <w:rFonts w:ascii="Arial" w:hAnsi="Arial" w:cs="Arial"/>
                <w:sz w:val="20"/>
                <w:lang w:eastAsia="en-IN"/>
              </w:rPr>
            </w:pPr>
            <w:r w:rsidRPr="00697DBA">
              <w:rPr>
                <w:rFonts w:ascii="Arial" w:hAnsi="Arial" w:cs="Arial"/>
                <w:sz w:val="20"/>
                <w:lang w:eastAsia="en-IN"/>
              </w:rPr>
              <w:t>• if the consideration is payable by a specified person and its aggregate value does not exceed Rs. 50,000 during the financial year.</w:t>
            </w:r>
          </w:p>
          <w:p w:rsidR="000A2DAF" w:rsidRPr="00697DBA" w:rsidRDefault="000A2DAF" w:rsidP="00F07A1B">
            <w:pPr>
              <w:spacing w:line="276" w:lineRule="auto"/>
              <w:rPr>
                <w:rFonts w:ascii="Arial" w:hAnsi="Arial" w:cs="Arial"/>
                <w:sz w:val="20"/>
                <w:lang w:eastAsia="en-IN"/>
              </w:rPr>
            </w:pPr>
            <w:r w:rsidRPr="00697DBA">
              <w:rPr>
                <w:rFonts w:ascii="Arial" w:hAnsi="Arial" w:cs="Arial"/>
                <w:sz w:val="20"/>
                <w:lang w:eastAsia="en-IN"/>
              </w:rPr>
              <w:t>Specified person means:</w:t>
            </w:r>
          </w:p>
          <w:p w:rsidR="000A2DAF" w:rsidRPr="00697DBA" w:rsidRDefault="000A2DAF" w:rsidP="00F07A1B">
            <w:pPr>
              <w:spacing w:line="276" w:lineRule="auto"/>
              <w:rPr>
                <w:rFonts w:ascii="Arial" w:hAnsi="Arial" w:cs="Arial"/>
                <w:sz w:val="20"/>
                <w:lang w:eastAsia="en-IN"/>
              </w:rPr>
            </w:pPr>
            <w:r w:rsidRPr="00697DBA">
              <w:rPr>
                <w:rFonts w:ascii="Arial" w:hAnsi="Arial" w:cs="Arial"/>
                <w:sz w:val="20"/>
                <w:lang w:eastAsia="en-IN"/>
              </w:rPr>
              <w:t>(a) An individual or a HUF, whose total sales, gross receipts or turnover does not exceed Rs. 1 crore in case of business or Rs. 50 lakhs in case of a profession, during the financial year immediately preceding the financial year in which virtual digital asset is transferred;</w:t>
            </w:r>
          </w:p>
          <w:p w:rsidR="000A2DAF" w:rsidRPr="00655AE6" w:rsidRDefault="000A2DAF" w:rsidP="00F07A1B">
            <w:pPr>
              <w:spacing w:line="276" w:lineRule="auto"/>
              <w:rPr>
                <w:rFonts w:ascii="Arial" w:hAnsi="Arial" w:cs="Arial"/>
              </w:rPr>
            </w:pPr>
            <w:r w:rsidRPr="00697DBA">
              <w:rPr>
                <w:rFonts w:ascii="Arial" w:hAnsi="Arial" w:cs="Arial"/>
                <w:sz w:val="20"/>
                <w:lang w:eastAsia="en-IN"/>
              </w:rPr>
              <w:t>(b) An individual or a HUF who does not have any income under the head profits and gains of business or profession.</w:t>
            </w:r>
          </w:p>
        </w:tc>
        <w:tc>
          <w:tcPr>
            <w:tcW w:w="2254" w:type="dxa"/>
            <w:vAlign w:val="center"/>
          </w:tcPr>
          <w:p w:rsidR="000A2DAF" w:rsidRPr="00655AE6" w:rsidRDefault="000A2DAF" w:rsidP="00F07A1B">
            <w:pPr>
              <w:spacing w:line="276" w:lineRule="auto"/>
              <w:jc w:val="center"/>
              <w:rPr>
                <w:rFonts w:ascii="Arial" w:hAnsi="Arial" w:cs="Arial"/>
              </w:rPr>
            </w:pPr>
            <w:r w:rsidRPr="00697DBA">
              <w:rPr>
                <w:rFonts w:ascii="Arial" w:hAnsi="Arial" w:cs="Arial"/>
                <w:sz w:val="20"/>
                <w:lang w:eastAsia="en-IN"/>
              </w:rPr>
              <w:t>1</w:t>
            </w:r>
          </w:p>
        </w:tc>
      </w:tr>
    </w:tbl>
    <w:p w:rsidR="000A2DAF" w:rsidRDefault="000A2DAF" w:rsidP="00F07A1B">
      <w:pPr>
        <w:spacing w:after="0" w:line="276" w:lineRule="auto"/>
      </w:pPr>
    </w:p>
    <w:p w:rsidR="000A2DAF" w:rsidRDefault="000A2DAF" w:rsidP="00F07A1B">
      <w:pPr>
        <w:spacing w:after="0" w:line="276" w:lineRule="auto"/>
        <w:jc w:val="center"/>
        <w:rPr>
          <w:rFonts w:ascii="Arial" w:hAnsi="Arial" w:cs="Arial"/>
          <w:szCs w:val="22"/>
          <w:lang w:eastAsia="en-IN"/>
        </w:rPr>
      </w:pPr>
    </w:p>
    <w:sectPr w:rsidR="000A2DAF" w:rsidSect="00D51D67">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634B" w:rsidRDefault="0026634B" w:rsidP="000A2DAF">
      <w:pPr>
        <w:spacing w:after="0" w:line="240" w:lineRule="auto"/>
      </w:pPr>
      <w:r>
        <w:separator/>
      </w:r>
    </w:p>
  </w:endnote>
  <w:endnote w:type="continuationSeparator" w:id="0">
    <w:p w:rsidR="0026634B" w:rsidRDefault="0026634B" w:rsidP="000A2D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Kokila">
    <w:altName w:val="Kokila"/>
    <w:charset w:val="00"/>
    <w:family w:val="swiss"/>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5940971"/>
      <w:docPartObj>
        <w:docPartGallery w:val="Page Numbers (Bottom of Page)"/>
        <w:docPartUnique/>
      </w:docPartObj>
    </w:sdtPr>
    <w:sdtEndPr>
      <w:rPr>
        <w:noProof/>
      </w:rPr>
    </w:sdtEndPr>
    <w:sdtContent>
      <w:p w:rsidR="00AA5A7E" w:rsidRDefault="00D51D67">
        <w:pPr>
          <w:pStyle w:val="Footer"/>
          <w:jc w:val="right"/>
        </w:pPr>
        <w:r>
          <w:fldChar w:fldCharType="begin"/>
        </w:r>
        <w:r w:rsidR="00AA5A7E">
          <w:instrText xml:space="preserve"> PAGE   \* MERGEFORMAT </w:instrText>
        </w:r>
        <w:r>
          <w:fldChar w:fldCharType="separate"/>
        </w:r>
        <w:r w:rsidR="002214F2">
          <w:rPr>
            <w:noProof/>
          </w:rPr>
          <w:t>4</w:t>
        </w:r>
        <w:r>
          <w:rPr>
            <w:noProof/>
          </w:rPr>
          <w:fldChar w:fldCharType="end"/>
        </w:r>
      </w:p>
    </w:sdtContent>
  </w:sdt>
  <w:p w:rsidR="00AA5A7E" w:rsidRDefault="00AA5A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634B" w:rsidRDefault="0026634B" w:rsidP="000A2DAF">
      <w:pPr>
        <w:spacing w:after="0" w:line="240" w:lineRule="auto"/>
      </w:pPr>
      <w:r>
        <w:separator/>
      </w:r>
    </w:p>
  </w:footnote>
  <w:footnote w:type="continuationSeparator" w:id="0">
    <w:p w:rsidR="0026634B" w:rsidRDefault="0026634B" w:rsidP="000A2DAF">
      <w:pPr>
        <w:spacing w:after="0" w:line="240" w:lineRule="auto"/>
      </w:pPr>
      <w:r>
        <w:continuationSeparator/>
      </w:r>
    </w:p>
  </w:footnote>
  <w:footnote w:id="1">
    <w:p w:rsidR="005F5347" w:rsidRPr="00C1482A" w:rsidRDefault="005F5347">
      <w:pPr>
        <w:pStyle w:val="FootnoteText"/>
        <w:rPr>
          <w:rFonts w:ascii="Times New Roman" w:hAnsi="Times New Roman" w:cs="Times New Roman"/>
        </w:rPr>
      </w:pPr>
      <w:r w:rsidRPr="00C1482A">
        <w:rPr>
          <w:rStyle w:val="FootnoteReference"/>
          <w:rFonts w:ascii="Times New Roman" w:hAnsi="Times New Roman" w:cs="Times New Roman"/>
        </w:rPr>
        <w:footnoteRef/>
      </w:r>
      <w:r w:rsidRPr="00C1482A">
        <w:rPr>
          <w:rFonts w:ascii="Times New Roman" w:hAnsi="Times New Roman" w:cs="Times New Roman"/>
        </w:rPr>
        <w:t xml:space="preserve"> This is currently </w:t>
      </w:r>
      <w:r w:rsidR="00D60C2F" w:rsidRPr="00C1482A">
        <w:rPr>
          <w:rFonts w:ascii="Times New Roman" w:hAnsi="Times New Roman" w:cs="Times New Roman"/>
        </w:rPr>
        <w:t xml:space="preserve">redundant since the </w:t>
      </w:r>
      <w:r w:rsidR="00940B86" w:rsidRPr="00C1482A">
        <w:rPr>
          <w:rFonts w:ascii="Times New Roman" w:hAnsi="Times New Roman" w:cs="Times New Roman"/>
        </w:rPr>
        <w:t xml:space="preserve">Equity Linked Savings Scheme notified </w:t>
      </w:r>
      <w:r w:rsidR="00553AAD" w:rsidRPr="00C1482A">
        <w:rPr>
          <w:rFonts w:ascii="Times New Roman" w:hAnsi="Times New Roman" w:cs="Times New Roman"/>
        </w:rPr>
        <w:t xml:space="preserve">u/s. 80CCB withdrawals whereof are liable to TDS u/s. 194F at 20% </w:t>
      </w:r>
      <w:r w:rsidR="006D6561" w:rsidRPr="00C1482A">
        <w:rPr>
          <w:rFonts w:ascii="Times New Roman" w:hAnsi="Times New Roman" w:cs="Times New Roman"/>
        </w:rPr>
        <w:t>has expired on 31 March 1992</w:t>
      </w:r>
    </w:p>
  </w:footnote>
  <w:footnote w:id="2">
    <w:p w:rsidR="00753105" w:rsidRDefault="00753105" w:rsidP="00753105">
      <w:pPr>
        <w:pStyle w:val="FootnoteText"/>
      </w:pPr>
      <w:r w:rsidRPr="00C1482A">
        <w:rPr>
          <w:rStyle w:val="FootnoteReference"/>
          <w:rFonts w:ascii="Times New Roman" w:hAnsi="Times New Roman" w:cs="Times New Roman"/>
        </w:rPr>
        <w:footnoteRef/>
      </w:r>
      <w:r w:rsidRPr="00C1482A">
        <w:rPr>
          <w:rFonts w:ascii="Times New Roman" w:hAnsi="Times New Roman" w:cs="Times New Roman"/>
        </w:rPr>
        <w:t xml:space="preserve"> While the total number of sections is 31, due to multiple rates within single section like s.194C, 194J, etc, the total number of payments covered are 3</w:t>
      </w:r>
      <w:r w:rsidR="00A33711" w:rsidRPr="00C1482A">
        <w:rPr>
          <w:rFonts w:ascii="Times New Roman" w:hAnsi="Times New Roman" w:cs="Times New Roman"/>
        </w:rPr>
        <w:t>6</w:t>
      </w:r>
      <w:r w:rsidRPr="00C1482A">
        <w:rPr>
          <w:rFonts w:ascii="Times New Roman" w:hAnsi="Times New Roman" w:cs="Times New Roman"/>
        </w:rPr>
        <w:t xml:space="preserve"> in number </w:t>
      </w:r>
    </w:p>
  </w:footnote>
  <w:footnote w:id="3">
    <w:p w:rsidR="00925AE9" w:rsidRPr="00925AE9" w:rsidRDefault="00925AE9">
      <w:pPr>
        <w:pStyle w:val="FootnoteText"/>
        <w:rPr>
          <w:rFonts w:ascii="Times New Roman" w:hAnsi="Times New Roman" w:cs="Times New Roman"/>
        </w:rPr>
      </w:pPr>
      <w:r w:rsidRPr="00925AE9">
        <w:rPr>
          <w:rStyle w:val="FootnoteReference"/>
          <w:rFonts w:ascii="Times New Roman" w:hAnsi="Times New Roman" w:cs="Times New Roman"/>
        </w:rPr>
        <w:footnoteRef/>
      </w:r>
      <w:r w:rsidRPr="00925AE9">
        <w:rPr>
          <w:rFonts w:ascii="Times New Roman" w:hAnsi="Times New Roman" w:cs="Times New Roman"/>
        </w:rPr>
        <w:t xml:space="preserve"> PIB Press Release dated 17 March 2022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4F2" w:rsidRDefault="002214F2">
    <w:pPr>
      <w:pStyle w:val="Header"/>
    </w:pPr>
    <w:r w:rsidRPr="002214F2">
      <w:drawing>
        <wp:inline distT="0" distB="0" distL="0" distR="0">
          <wp:extent cx="581025" cy="3905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81025" cy="390525"/>
                  </a:xfrm>
                  <a:prstGeom prst="rect">
                    <a:avLst/>
                  </a:prstGeom>
                  <a:solidFill>
                    <a:srgbClr val="FFFFFF"/>
                  </a:solid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25ECE"/>
    <w:multiLevelType w:val="hybridMultilevel"/>
    <w:tmpl w:val="873ECEA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CC91B51"/>
    <w:multiLevelType w:val="hybridMultilevel"/>
    <w:tmpl w:val="C178D4C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55C27C9"/>
    <w:multiLevelType w:val="hybridMultilevel"/>
    <w:tmpl w:val="6602B752"/>
    <w:lvl w:ilvl="0" w:tplc="4009000F">
      <w:start w:val="1"/>
      <w:numFmt w:val="decimal"/>
      <w:lvlText w:val="%1."/>
      <w:lvlJc w:val="left"/>
      <w:pPr>
        <w:ind w:left="720" w:hanging="360"/>
      </w:pPr>
      <w:rPr>
        <w:rFonts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1C9656FE"/>
    <w:multiLevelType w:val="hybridMultilevel"/>
    <w:tmpl w:val="712C2F92"/>
    <w:lvl w:ilvl="0" w:tplc="4009000F">
      <w:start w:val="1"/>
      <w:numFmt w:val="decimal"/>
      <w:lvlText w:val="%1."/>
      <w:lvlJc w:val="left"/>
      <w:pPr>
        <w:ind w:left="360" w:hanging="360"/>
      </w:pPr>
    </w:lvl>
    <w:lvl w:ilvl="1" w:tplc="40090019">
      <w:start w:val="1"/>
      <w:numFmt w:val="lowerLetter"/>
      <w:lvlText w:val="%2."/>
      <w:lvlJc w:val="left"/>
      <w:pPr>
        <w:ind w:left="1080" w:hanging="360"/>
      </w:pPr>
    </w:lvl>
    <w:lvl w:ilvl="2" w:tplc="4009001B">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
    <w:nsid w:val="20D2595A"/>
    <w:multiLevelType w:val="hybridMultilevel"/>
    <w:tmpl w:val="20EA27FE"/>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5">
    <w:nsid w:val="24714DB1"/>
    <w:multiLevelType w:val="hybridMultilevel"/>
    <w:tmpl w:val="83666610"/>
    <w:lvl w:ilvl="0" w:tplc="CF76679A">
      <w:start w:val="1"/>
      <w:numFmt w:val="bullet"/>
      <w:lvlText w:val="•"/>
      <w:lvlJc w:val="left"/>
      <w:pPr>
        <w:tabs>
          <w:tab w:val="num" w:pos="720"/>
        </w:tabs>
        <w:ind w:left="720" w:hanging="360"/>
      </w:pPr>
      <w:rPr>
        <w:rFonts w:ascii="Arial" w:hAnsi="Arial" w:hint="default"/>
      </w:rPr>
    </w:lvl>
    <w:lvl w:ilvl="1" w:tplc="06983B4A" w:tentative="1">
      <w:start w:val="1"/>
      <w:numFmt w:val="bullet"/>
      <w:lvlText w:val="•"/>
      <w:lvlJc w:val="left"/>
      <w:pPr>
        <w:tabs>
          <w:tab w:val="num" w:pos="1440"/>
        </w:tabs>
        <w:ind w:left="1440" w:hanging="360"/>
      </w:pPr>
      <w:rPr>
        <w:rFonts w:ascii="Arial" w:hAnsi="Arial" w:hint="default"/>
      </w:rPr>
    </w:lvl>
    <w:lvl w:ilvl="2" w:tplc="DDB28586" w:tentative="1">
      <w:start w:val="1"/>
      <w:numFmt w:val="bullet"/>
      <w:lvlText w:val="•"/>
      <w:lvlJc w:val="left"/>
      <w:pPr>
        <w:tabs>
          <w:tab w:val="num" w:pos="2160"/>
        </w:tabs>
        <w:ind w:left="2160" w:hanging="360"/>
      </w:pPr>
      <w:rPr>
        <w:rFonts w:ascii="Arial" w:hAnsi="Arial" w:hint="default"/>
      </w:rPr>
    </w:lvl>
    <w:lvl w:ilvl="3" w:tplc="DFF44F94" w:tentative="1">
      <w:start w:val="1"/>
      <w:numFmt w:val="bullet"/>
      <w:lvlText w:val="•"/>
      <w:lvlJc w:val="left"/>
      <w:pPr>
        <w:tabs>
          <w:tab w:val="num" w:pos="2880"/>
        </w:tabs>
        <w:ind w:left="2880" w:hanging="360"/>
      </w:pPr>
      <w:rPr>
        <w:rFonts w:ascii="Arial" w:hAnsi="Arial" w:hint="default"/>
      </w:rPr>
    </w:lvl>
    <w:lvl w:ilvl="4" w:tplc="68B8D3CA" w:tentative="1">
      <w:start w:val="1"/>
      <w:numFmt w:val="bullet"/>
      <w:lvlText w:val="•"/>
      <w:lvlJc w:val="left"/>
      <w:pPr>
        <w:tabs>
          <w:tab w:val="num" w:pos="3600"/>
        </w:tabs>
        <w:ind w:left="3600" w:hanging="360"/>
      </w:pPr>
      <w:rPr>
        <w:rFonts w:ascii="Arial" w:hAnsi="Arial" w:hint="default"/>
      </w:rPr>
    </w:lvl>
    <w:lvl w:ilvl="5" w:tplc="642A2D26" w:tentative="1">
      <w:start w:val="1"/>
      <w:numFmt w:val="bullet"/>
      <w:lvlText w:val="•"/>
      <w:lvlJc w:val="left"/>
      <w:pPr>
        <w:tabs>
          <w:tab w:val="num" w:pos="4320"/>
        </w:tabs>
        <w:ind w:left="4320" w:hanging="360"/>
      </w:pPr>
      <w:rPr>
        <w:rFonts w:ascii="Arial" w:hAnsi="Arial" w:hint="default"/>
      </w:rPr>
    </w:lvl>
    <w:lvl w:ilvl="6" w:tplc="896C91AE" w:tentative="1">
      <w:start w:val="1"/>
      <w:numFmt w:val="bullet"/>
      <w:lvlText w:val="•"/>
      <w:lvlJc w:val="left"/>
      <w:pPr>
        <w:tabs>
          <w:tab w:val="num" w:pos="5040"/>
        </w:tabs>
        <w:ind w:left="5040" w:hanging="360"/>
      </w:pPr>
      <w:rPr>
        <w:rFonts w:ascii="Arial" w:hAnsi="Arial" w:hint="default"/>
      </w:rPr>
    </w:lvl>
    <w:lvl w:ilvl="7" w:tplc="4AAAAE90" w:tentative="1">
      <w:start w:val="1"/>
      <w:numFmt w:val="bullet"/>
      <w:lvlText w:val="•"/>
      <w:lvlJc w:val="left"/>
      <w:pPr>
        <w:tabs>
          <w:tab w:val="num" w:pos="5760"/>
        </w:tabs>
        <w:ind w:left="5760" w:hanging="360"/>
      </w:pPr>
      <w:rPr>
        <w:rFonts w:ascii="Arial" w:hAnsi="Arial" w:hint="default"/>
      </w:rPr>
    </w:lvl>
    <w:lvl w:ilvl="8" w:tplc="7EA89004" w:tentative="1">
      <w:start w:val="1"/>
      <w:numFmt w:val="bullet"/>
      <w:lvlText w:val="•"/>
      <w:lvlJc w:val="left"/>
      <w:pPr>
        <w:tabs>
          <w:tab w:val="num" w:pos="6480"/>
        </w:tabs>
        <w:ind w:left="6480" w:hanging="360"/>
      </w:pPr>
      <w:rPr>
        <w:rFonts w:ascii="Arial" w:hAnsi="Arial" w:hint="default"/>
      </w:rPr>
    </w:lvl>
  </w:abstractNum>
  <w:abstractNum w:abstractNumId="6">
    <w:nsid w:val="41BA38A2"/>
    <w:multiLevelType w:val="hybridMultilevel"/>
    <w:tmpl w:val="93186940"/>
    <w:lvl w:ilvl="0" w:tplc="956A8A5C">
      <w:start w:val="1"/>
      <w:numFmt w:val="lowerLetter"/>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43234E20"/>
    <w:multiLevelType w:val="hybridMultilevel"/>
    <w:tmpl w:val="9F782FC2"/>
    <w:lvl w:ilvl="0" w:tplc="4009000F">
      <w:start w:val="1"/>
      <w:numFmt w:val="decimal"/>
      <w:lvlText w:val="%1."/>
      <w:lvlJc w:val="left"/>
      <w:pPr>
        <w:ind w:left="720" w:hanging="360"/>
      </w:pPr>
      <w:rPr>
        <w:rFonts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4ADC2EB2"/>
    <w:multiLevelType w:val="hybridMultilevel"/>
    <w:tmpl w:val="6174117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4E252D1C"/>
    <w:multiLevelType w:val="hybridMultilevel"/>
    <w:tmpl w:val="A72EF91C"/>
    <w:lvl w:ilvl="0" w:tplc="4009000F">
      <w:start w:val="1"/>
      <w:numFmt w:val="decimal"/>
      <w:lvlText w:val="%1."/>
      <w:lvlJc w:val="left"/>
      <w:pPr>
        <w:ind w:left="360" w:hanging="360"/>
      </w:pPr>
      <w:rPr>
        <w:rFont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0">
    <w:nsid w:val="5141035E"/>
    <w:multiLevelType w:val="hybridMultilevel"/>
    <w:tmpl w:val="C8D074D0"/>
    <w:lvl w:ilvl="0" w:tplc="D7E27618">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5CD65494"/>
    <w:multiLevelType w:val="hybridMultilevel"/>
    <w:tmpl w:val="0108D3B2"/>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2">
    <w:nsid w:val="6D145649"/>
    <w:multiLevelType w:val="hybridMultilevel"/>
    <w:tmpl w:val="0D04CC92"/>
    <w:lvl w:ilvl="0" w:tplc="D7E27618">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6D7B6027"/>
    <w:multiLevelType w:val="hybridMultilevel"/>
    <w:tmpl w:val="0B46E410"/>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4">
    <w:nsid w:val="6E6A220B"/>
    <w:multiLevelType w:val="hybridMultilevel"/>
    <w:tmpl w:val="8EA49680"/>
    <w:lvl w:ilvl="0" w:tplc="4009000F">
      <w:start w:val="1"/>
      <w:numFmt w:val="decimal"/>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5">
    <w:nsid w:val="719520E9"/>
    <w:multiLevelType w:val="hybridMultilevel"/>
    <w:tmpl w:val="8EAE144E"/>
    <w:lvl w:ilvl="0" w:tplc="4AE495E6">
      <w:start w:val="1"/>
      <w:numFmt w:val="bullet"/>
      <w:lvlText w:val="►"/>
      <w:lvlJc w:val="left"/>
      <w:pPr>
        <w:tabs>
          <w:tab w:val="num" w:pos="720"/>
        </w:tabs>
        <w:ind w:left="720" w:hanging="360"/>
      </w:pPr>
      <w:rPr>
        <w:rFonts w:ascii="Arial" w:hAnsi="Arial" w:hint="default"/>
      </w:rPr>
    </w:lvl>
    <w:lvl w:ilvl="1" w:tplc="05446CAA" w:tentative="1">
      <w:start w:val="1"/>
      <w:numFmt w:val="bullet"/>
      <w:lvlText w:val="►"/>
      <w:lvlJc w:val="left"/>
      <w:pPr>
        <w:tabs>
          <w:tab w:val="num" w:pos="1440"/>
        </w:tabs>
        <w:ind w:left="1440" w:hanging="360"/>
      </w:pPr>
      <w:rPr>
        <w:rFonts w:ascii="Arial" w:hAnsi="Arial" w:hint="default"/>
      </w:rPr>
    </w:lvl>
    <w:lvl w:ilvl="2" w:tplc="492ECA54" w:tentative="1">
      <w:start w:val="1"/>
      <w:numFmt w:val="bullet"/>
      <w:lvlText w:val="►"/>
      <w:lvlJc w:val="left"/>
      <w:pPr>
        <w:tabs>
          <w:tab w:val="num" w:pos="2160"/>
        </w:tabs>
        <w:ind w:left="2160" w:hanging="360"/>
      </w:pPr>
      <w:rPr>
        <w:rFonts w:ascii="Arial" w:hAnsi="Arial" w:hint="default"/>
      </w:rPr>
    </w:lvl>
    <w:lvl w:ilvl="3" w:tplc="79F87F7C" w:tentative="1">
      <w:start w:val="1"/>
      <w:numFmt w:val="bullet"/>
      <w:lvlText w:val="►"/>
      <w:lvlJc w:val="left"/>
      <w:pPr>
        <w:tabs>
          <w:tab w:val="num" w:pos="2880"/>
        </w:tabs>
        <w:ind w:left="2880" w:hanging="360"/>
      </w:pPr>
      <w:rPr>
        <w:rFonts w:ascii="Arial" w:hAnsi="Arial" w:hint="default"/>
      </w:rPr>
    </w:lvl>
    <w:lvl w:ilvl="4" w:tplc="193C9BD2" w:tentative="1">
      <w:start w:val="1"/>
      <w:numFmt w:val="bullet"/>
      <w:lvlText w:val="►"/>
      <w:lvlJc w:val="left"/>
      <w:pPr>
        <w:tabs>
          <w:tab w:val="num" w:pos="3600"/>
        </w:tabs>
        <w:ind w:left="3600" w:hanging="360"/>
      </w:pPr>
      <w:rPr>
        <w:rFonts w:ascii="Arial" w:hAnsi="Arial" w:hint="default"/>
      </w:rPr>
    </w:lvl>
    <w:lvl w:ilvl="5" w:tplc="3790F2AA" w:tentative="1">
      <w:start w:val="1"/>
      <w:numFmt w:val="bullet"/>
      <w:lvlText w:val="►"/>
      <w:lvlJc w:val="left"/>
      <w:pPr>
        <w:tabs>
          <w:tab w:val="num" w:pos="4320"/>
        </w:tabs>
        <w:ind w:left="4320" w:hanging="360"/>
      </w:pPr>
      <w:rPr>
        <w:rFonts w:ascii="Arial" w:hAnsi="Arial" w:hint="default"/>
      </w:rPr>
    </w:lvl>
    <w:lvl w:ilvl="6" w:tplc="09C41DDC" w:tentative="1">
      <w:start w:val="1"/>
      <w:numFmt w:val="bullet"/>
      <w:lvlText w:val="►"/>
      <w:lvlJc w:val="left"/>
      <w:pPr>
        <w:tabs>
          <w:tab w:val="num" w:pos="5040"/>
        </w:tabs>
        <w:ind w:left="5040" w:hanging="360"/>
      </w:pPr>
      <w:rPr>
        <w:rFonts w:ascii="Arial" w:hAnsi="Arial" w:hint="default"/>
      </w:rPr>
    </w:lvl>
    <w:lvl w:ilvl="7" w:tplc="CEE6C840" w:tentative="1">
      <w:start w:val="1"/>
      <w:numFmt w:val="bullet"/>
      <w:lvlText w:val="►"/>
      <w:lvlJc w:val="left"/>
      <w:pPr>
        <w:tabs>
          <w:tab w:val="num" w:pos="5760"/>
        </w:tabs>
        <w:ind w:left="5760" w:hanging="360"/>
      </w:pPr>
      <w:rPr>
        <w:rFonts w:ascii="Arial" w:hAnsi="Arial" w:hint="default"/>
      </w:rPr>
    </w:lvl>
    <w:lvl w:ilvl="8" w:tplc="EC7E1C48" w:tentative="1">
      <w:start w:val="1"/>
      <w:numFmt w:val="bullet"/>
      <w:lvlText w:val="►"/>
      <w:lvlJc w:val="left"/>
      <w:pPr>
        <w:tabs>
          <w:tab w:val="num" w:pos="6480"/>
        </w:tabs>
        <w:ind w:left="6480" w:hanging="360"/>
      </w:pPr>
      <w:rPr>
        <w:rFonts w:ascii="Arial" w:hAnsi="Arial" w:hint="default"/>
      </w:rPr>
    </w:lvl>
  </w:abstractNum>
  <w:abstractNum w:abstractNumId="16">
    <w:nsid w:val="735B3608"/>
    <w:multiLevelType w:val="hybridMultilevel"/>
    <w:tmpl w:val="0F78B7B8"/>
    <w:lvl w:ilvl="0" w:tplc="6C580D8C">
      <w:start w:val="1"/>
      <w:numFmt w:val="bullet"/>
      <w:lvlText w:val="–"/>
      <w:lvlJc w:val="left"/>
      <w:pPr>
        <w:ind w:left="1080" w:hanging="360"/>
      </w:pPr>
      <w:rPr>
        <w:rFonts w:ascii="Calibri" w:hAnsi="Calibri"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7">
    <w:nsid w:val="764519EB"/>
    <w:multiLevelType w:val="hybridMultilevel"/>
    <w:tmpl w:val="1AA452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77B77FE4"/>
    <w:multiLevelType w:val="hybridMultilevel"/>
    <w:tmpl w:val="CA9A0412"/>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9">
    <w:nsid w:val="7A724240"/>
    <w:multiLevelType w:val="hybridMultilevel"/>
    <w:tmpl w:val="0F3CF752"/>
    <w:lvl w:ilvl="0" w:tplc="40090017">
      <w:start w:val="1"/>
      <w:numFmt w:val="lowerLetter"/>
      <w:lvlText w:val="%1)"/>
      <w:lvlJc w:val="left"/>
      <w:pPr>
        <w:ind w:left="1080" w:hanging="360"/>
      </w:p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3"/>
  </w:num>
  <w:num w:numId="2">
    <w:abstractNumId w:val="1"/>
  </w:num>
  <w:num w:numId="3">
    <w:abstractNumId w:val="14"/>
  </w:num>
  <w:num w:numId="4">
    <w:abstractNumId w:val="12"/>
  </w:num>
  <w:num w:numId="5">
    <w:abstractNumId w:val="10"/>
  </w:num>
  <w:num w:numId="6">
    <w:abstractNumId w:val="2"/>
  </w:num>
  <w:num w:numId="7">
    <w:abstractNumId w:val="9"/>
  </w:num>
  <w:num w:numId="8">
    <w:abstractNumId w:val="13"/>
  </w:num>
  <w:num w:numId="9">
    <w:abstractNumId w:val="19"/>
  </w:num>
  <w:num w:numId="10">
    <w:abstractNumId w:val="6"/>
  </w:num>
  <w:num w:numId="11">
    <w:abstractNumId w:val="7"/>
  </w:num>
  <w:num w:numId="12">
    <w:abstractNumId w:val="17"/>
  </w:num>
  <w:num w:numId="13">
    <w:abstractNumId w:val="5"/>
  </w:num>
  <w:num w:numId="14">
    <w:abstractNumId w:val="11"/>
  </w:num>
  <w:num w:numId="15">
    <w:abstractNumId w:val="15"/>
  </w:num>
  <w:num w:numId="16">
    <w:abstractNumId w:val="4"/>
  </w:num>
  <w:num w:numId="17">
    <w:abstractNumId w:val="8"/>
  </w:num>
  <w:num w:numId="18">
    <w:abstractNumId w:val="0"/>
  </w:num>
  <w:num w:numId="19">
    <w:abstractNumId w:val="18"/>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rsids>
    <w:rsidRoot w:val="00697DBA"/>
    <w:rsid w:val="00005611"/>
    <w:rsid w:val="00013478"/>
    <w:rsid w:val="000233A0"/>
    <w:rsid w:val="0003637C"/>
    <w:rsid w:val="0008312C"/>
    <w:rsid w:val="00086296"/>
    <w:rsid w:val="00090457"/>
    <w:rsid w:val="000A2DAF"/>
    <w:rsid w:val="000B21F6"/>
    <w:rsid w:val="000B3787"/>
    <w:rsid w:val="000C611A"/>
    <w:rsid w:val="000D0541"/>
    <w:rsid w:val="000D4520"/>
    <w:rsid w:val="000D56DF"/>
    <w:rsid w:val="000E240A"/>
    <w:rsid w:val="00107739"/>
    <w:rsid w:val="001116B2"/>
    <w:rsid w:val="00112A25"/>
    <w:rsid w:val="00112CC8"/>
    <w:rsid w:val="0012092A"/>
    <w:rsid w:val="0013090B"/>
    <w:rsid w:val="00140FFB"/>
    <w:rsid w:val="001A0B22"/>
    <w:rsid w:val="001A4B5D"/>
    <w:rsid w:val="001A4C7D"/>
    <w:rsid w:val="001A4F72"/>
    <w:rsid w:val="001C02DF"/>
    <w:rsid w:val="001C3880"/>
    <w:rsid w:val="001C3ACB"/>
    <w:rsid w:val="001D324F"/>
    <w:rsid w:val="001E62DB"/>
    <w:rsid w:val="00217C56"/>
    <w:rsid w:val="00217F73"/>
    <w:rsid w:val="002214F2"/>
    <w:rsid w:val="002318B4"/>
    <w:rsid w:val="00244D54"/>
    <w:rsid w:val="00255EB9"/>
    <w:rsid w:val="00256C33"/>
    <w:rsid w:val="0026634B"/>
    <w:rsid w:val="00281B8E"/>
    <w:rsid w:val="00287AB1"/>
    <w:rsid w:val="002A03F3"/>
    <w:rsid w:val="002C5BE8"/>
    <w:rsid w:val="002C5F96"/>
    <w:rsid w:val="002C6EB7"/>
    <w:rsid w:val="002E114A"/>
    <w:rsid w:val="002E3035"/>
    <w:rsid w:val="002E5F42"/>
    <w:rsid w:val="003103BE"/>
    <w:rsid w:val="0032232E"/>
    <w:rsid w:val="00326935"/>
    <w:rsid w:val="00355718"/>
    <w:rsid w:val="00355905"/>
    <w:rsid w:val="003567BC"/>
    <w:rsid w:val="00363C74"/>
    <w:rsid w:val="0037546C"/>
    <w:rsid w:val="00375F27"/>
    <w:rsid w:val="00383A0E"/>
    <w:rsid w:val="00385512"/>
    <w:rsid w:val="00391350"/>
    <w:rsid w:val="00396BC7"/>
    <w:rsid w:val="003C4764"/>
    <w:rsid w:val="003D3515"/>
    <w:rsid w:val="00402799"/>
    <w:rsid w:val="004056F7"/>
    <w:rsid w:val="0041145D"/>
    <w:rsid w:val="004249E9"/>
    <w:rsid w:val="004274EC"/>
    <w:rsid w:val="00430F1B"/>
    <w:rsid w:val="0044187F"/>
    <w:rsid w:val="00442012"/>
    <w:rsid w:val="00446B58"/>
    <w:rsid w:val="00462ABC"/>
    <w:rsid w:val="00470D88"/>
    <w:rsid w:val="004802E6"/>
    <w:rsid w:val="00483C5A"/>
    <w:rsid w:val="004857DE"/>
    <w:rsid w:val="00493340"/>
    <w:rsid w:val="004B1534"/>
    <w:rsid w:val="004B50E2"/>
    <w:rsid w:val="004C0B65"/>
    <w:rsid w:val="004C59A3"/>
    <w:rsid w:val="004D4B9F"/>
    <w:rsid w:val="004D7579"/>
    <w:rsid w:val="004E6109"/>
    <w:rsid w:val="004F1C1F"/>
    <w:rsid w:val="004F5224"/>
    <w:rsid w:val="004F7D80"/>
    <w:rsid w:val="0050653C"/>
    <w:rsid w:val="00512493"/>
    <w:rsid w:val="00515A0C"/>
    <w:rsid w:val="00520FAE"/>
    <w:rsid w:val="00532ACE"/>
    <w:rsid w:val="00541653"/>
    <w:rsid w:val="0054231E"/>
    <w:rsid w:val="00544E22"/>
    <w:rsid w:val="00552F79"/>
    <w:rsid w:val="00553AAD"/>
    <w:rsid w:val="00555B5F"/>
    <w:rsid w:val="00565FDA"/>
    <w:rsid w:val="00571F0C"/>
    <w:rsid w:val="005B0809"/>
    <w:rsid w:val="005B4FC1"/>
    <w:rsid w:val="005C330E"/>
    <w:rsid w:val="005E3541"/>
    <w:rsid w:val="005F2709"/>
    <w:rsid w:val="005F2AED"/>
    <w:rsid w:val="005F4E65"/>
    <w:rsid w:val="005F5347"/>
    <w:rsid w:val="005F5EC2"/>
    <w:rsid w:val="005F68DE"/>
    <w:rsid w:val="006030A2"/>
    <w:rsid w:val="00622498"/>
    <w:rsid w:val="00652C8B"/>
    <w:rsid w:val="00666442"/>
    <w:rsid w:val="00674B5C"/>
    <w:rsid w:val="00684473"/>
    <w:rsid w:val="00693183"/>
    <w:rsid w:val="00697DBA"/>
    <w:rsid w:val="006A2960"/>
    <w:rsid w:val="006B69D2"/>
    <w:rsid w:val="006C3990"/>
    <w:rsid w:val="006C3C25"/>
    <w:rsid w:val="006D1C32"/>
    <w:rsid w:val="006D5756"/>
    <w:rsid w:val="006D6561"/>
    <w:rsid w:val="006D7F4B"/>
    <w:rsid w:val="00706248"/>
    <w:rsid w:val="00730AE5"/>
    <w:rsid w:val="00730EB9"/>
    <w:rsid w:val="00753105"/>
    <w:rsid w:val="00774EB8"/>
    <w:rsid w:val="00783AD9"/>
    <w:rsid w:val="00795A35"/>
    <w:rsid w:val="007B5C1E"/>
    <w:rsid w:val="007C2C80"/>
    <w:rsid w:val="007C2D08"/>
    <w:rsid w:val="007D2E98"/>
    <w:rsid w:val="007D44A7"/>
    <w:rsid w:val="007D6157"/>
    <w:rsid w:val="007E1210"/>
    <w:rsid w:val="007E3133"/>
    <w:rsid w:val="007E5D31"/>
    <w:rsid w:val="00806FD7"/>
    <w:rsid w:val="00814B98"/>
    <w:rsid w:val="008473D9"/>
    <w:rsid w:val="008864D3"/>
    <w:rsid w:val="00896368"/>
    <w:rsid w:val="008A3174"/>
    <w:rsid w:val="008B0692"/>
    <w:rsid w:val="008B0AC5"/>
    <w:rsid w:val="008B4B13"/>
    <w:rsid w:val="008B5BEB"/>
    <w:rsid w:val="008D60F8"/>
    <w:rsid w:val="008D6D36"/>
    <w:rsid w:val="008E6BF0"/>
    <w:rsid w:val="008F4BAE"/>
    <w:rsid w:val="00925AE9"/>
    <w:rsid w:val="00940B86"/>
    <w:rsid w:val="009621B5"/>
    <w:rsid w:val="00963D81"/>
    <w:rsid w:val="00985012"/>
    <w:rsid w:val="0098649B"/>
    <w:rsid w:val="00991FC6"/>
    <w:rsid w:val="009A2A59"/>
    <w:rsid w:val="009C0FD9"/>
    <w:rsid w:val="009C5621"/>
    <w:rsid w:val="009E4FE7"/>
    <w:rsid w:val="009E5142"/>
    <w:rsid w:val="009E6BBA"/>
    <w:rsid w:val="009F57E3"/>
    <w:rsid w:val="00A111F4"/>
    <w:rsid w:val="00A1347F"/>
    <w:rsid w:val="00A23F8C"/>
    <w:rsid w:val="00A24481"/>
    <w:rsid w:val="00A26C13"/>
    <w:rsid w:val="00A33711"/>
    <w:rsid w:val="00A36DEE"/>
    <w:rsid w:val="00A851A5"/>
    <w:rsid w:val="00A87C91"/>
    <w:rsid w:val="00A93114"/>
    <w:rsid w:val="00A93D8B"/>
    <w:rsid w:val="00AA5A7E"/>
    <w:rsid w:val="00AA791B"/>
    <w:rsid w:val="00AB09B5"/>
    <w:rsid w:val="00AB0EDC"/>
    <w:rsid w:val="00AB307B"/>
    <w:rsid w:val="00AC52D2"/>
    <w:rsid w:val="00AC7BD6"/>
    <w:rsid w:val="00AE2437"/>
    <w:rsid w:val="00AE2614"/>
    <w:rsid w:val="00B05FAE"/>
    <w:rsid w:val="00B227D0"/>
    <w:rsid w:val="00B3652C"/>
    <w:rsid w:val="00B45086"/>
    <w:rsid w:val="00B56CCE"/>
    <w:rsid w:val="00B6051E"/>
    <w:rsid w:val="00B6149C"/>
    <w:rsid w:val="00B639F8"/>
    <w:rsid w:val="00B73295"/>
    <w:rsid w:val="00B740F3"/>
    <w:rsid w:val="00B972CD"/>
    <w:rsid w:val="00BA0078"/>
    <w:rsid w:val="00BB2D6D"/>
    <w:rsid w:val="00BB3A37"/>
    <w:rsid w:val="00BB77F2"/>
    <w:rsid w:val="00BC20EE"/>
    <w:rsid w:val="00BC4936"/>
    <w:rsid w:val="00BD373A"/>
    <w:rsid w:val="00BD66C6"/>
    <w:rsid w:val="00BE225D"/>
    <w:rsid w:val="00C0744D"/>
    <w:rsid w:val="00C1482A"/>
    <w:rsid w:val="00C312E6"/>
    <w:rsid w:val="00C35732"/>
    <w:rsid w:val="00C36145"/>
    <w:rsid w:val="00C45F80"/>
    <w:rsid w:val="00C45FD9"/>
    <w:rsid w:val="00C6517F"/>
    <w:rsid w:val="00C67C30"/>
    <w:rsid w:val="00C74529"/>
    <w:rsid w:val="00C91BEF"/>
    <w:rsid w:val="00C92FAA"/>
    <w:rsid w:val="00C93FF1"/>
    <w:rsid w:val="00C94390"/>
    <w:rsid w:val="00CA0E22"/>
    <w:rsid w:val="00CA0E7F"/>
    <w:rsid w:val="00CB0659"/>
    <w:rsid w:val="00CC5CE6"/>
    <w:rsid w:val="00CD3C94"/>
    <w:rsid w:val="00CD56FE"/>
    <w:rsid w:val="00CE2B36"/>
    <w:rsid w:val="00CE4040"/>
    <w:rsid w:val="00CE5C0E"/>
    <w:rsid w:val="00CE7147"/>
    <w:rsid w:val="00CF11A0"/>
    <w:rsid w:val="00D02067"/>
    <w:rsid w:val="00D03335"/>
    <w:rsid w:val="00D05147"/>
    <w:rsid w:val="00D137EA"/>
    <w:rsid w:val="00D246FA"/>
    <w:rsid w:val="00D42ECC"/>
    <w:rsid w:val="00D43D09"/>
    <w:rsid w:val="00D50A31"/>
    <w:rsid w:val="00D51D67"/>
    <w:rsid w:val="00D52017"/>
    <w:rsid w:val="00D5214F"/>
    <w:rsid w:val="00D60C2F"/>
    <w:rsid w:val="00D70729"/>
    <w:rsid w:val="00D847A7"/>
    <w:rsid w:val="00D85ACD"/>
    <w:rsid w:val="00D908A1"/>
    <w:rsid w:val="00D919DA"/>
    <w:rsid w:val="00D95E57"/>
    <w:rsid w:val="00DA43D5"/>
    <w:rsid w:val="00DA6529"/>
    <w:rsid w:val="00DB2A76"/>
    <w:rsid w:val="00DB780D"/>
    <w:rsid w:val="00DC58F7"/>
    <w:rsid w:val="00DD5600"/>
    <w:rsid w:val="00DE30A3"/>
    <w:rsid w:val="00DE4A17"/>
    <w:rsid w:val="00DE6B8B"/>
    <w:rsid w:val="00E10192"/>
    <w:rsid w:val="00E1095E"/>
    <w:rsid w:val="00E75A3C"/>
    <w:rsid w:val="00E9290B"/>
    <w:rsid w:val="00E92BEF"/>
    <w:rsid w:val="00E9383B"/>
    <w:rsid w:val="00E9707E"/>
    <w:rsid w:val="00EB6EF2"/>
    <w:rsid w:val="00EB7351"/>
    <w:rsid w:val="00ED6217"/>
    <w:rsid w:val="00F07A1B"/>
    <w:rsid w:val="00F1176A"/>
    <w:rsid w:val="00F44735"/>
    <w:rsid w:val="00F600BC"/>
    <w:rsid w:val="00F91DC5"/>
    <w:rsid w:val="00F942F9"/>
    <w:rsid w:val="00FC09DA"/>
    <w:rsid w:val="00FF00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DBA"/>
    <w:rPr>
      <w:rFonts w:cs="Koki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itation List,List Paragraph Char Char,List Paragraph1,Graphic,Table of contents numbered,Bullets,lp1,List Paragraph11,List Paragraph1 Char Char,Figure_name,Resume Title,Ha,Bullets1,ADB paragraph numbering,Colorful List - Accent 11,HEAD 3"/>
    <w:basedOn w:val="Normal"/>
    <w:link w:val="ListParagraphChar"/>
    <w:uiPriority w:val="34"/>
    <w:qFormat/>
    <w:rsid w:val="00697DBA"/>
    <w:pPr>
      <w:ind w:left="720"/>
      <w:contextualSpacing/>
    </w:pPr>
    <w:rPr>
      <w:rFonts w:cs="Mangal"/>
    </w:rPr>
  </w:style>
  <w:style w:type="character" w:customStyle="1" w:styleId="ListParagraphChar">
    <w:name w:val="List Paragraph Char"/>
    <w:aliases w:val="Citation List Char,List Paragraph Char Char Char,List Paragraph1 Char,Graphic Char,Table of contents numbered Char,Bullets Char,lp1 Char,List Paragraph11 Char,List Paragraph1 Char Char Char,Figure_name Char,Resume Title Char,Ha Char"/>
    <w:link w:val="ListParagraph"/>
    <w:uiPriority w:val="34"/>
    <w:qFormat/>
    <w:locked/>
    <w:rsid w:val="00697DBA"/>
    <w:rPr>
      <w:rFonts w:cs="Mangal"/>
    </w:rPr>
  </w:style>
  <w:style w:type="table" w:styleId="TableGrid">
    <w:name w:val="Table Grid"/>
    <w:basedOn w:val="TableNormal"/>
    <w:uiPriority w:val="39"/>
    <w:rsid w:val="00697D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697DBA"/>
    <w:rPr>
      <w:color w:val="0563C1"/>
      <w:u w:val="single"/>
    </w:rPr>
  </w:style>
  <w:style w:type="paragraph" w:styleId="Header">
    <w:name w:val="header"/>
    <w:basedOn w:val="Normal"/>
    <w:link w:val="HeaderChar"/>
    <w:uiPriority w:val="99"/>
    <w:unhideWhenUsed/>
    <w:rsid w:val="00AA5A7E"/>
    <w:pPr>
      <w:tabs>
        <w:tab w:val="center" w:pos="4513"/>
        <w:tab w:val="right" w:pos="9026"/>
      </w:tabs>
      <w:spacing w:after="0" w:line="240" w:lineRule="auto"/>
    </w:pPr>
    <w:rPr>
      <w:rFonts w:cs="Mangal"/>
    </w:rPr>
  </w:style>
  <w:style w:type="character" w:customStyle="1" w:styleId="HeaderChar">
    <w:name w:val="Header Char"/>
    <w:basedOn w:val="DefaultParagraphFont"/>
    <w:link w:val="Header"/>
    <w:uiPriority w:val="99"/>
    <w:rsid w:val="00AA5A7E"/>
    <w:rPr>
      <w:rFonts w:cs="Mangal"/>
    </w:rPr>
  </w:style>
  <w:style w:type="paragraph" w:styleId="Footer">
    <w:name w:val="footer"/>
    <w:basedOn w:val="Normal"/>
    <w:link w:val="FooterChar"/>
    <w:uiPriority w:val="99"/>
    <w:unhideWhenUsed/>
    <w:rsid w:val="00AA5A7E"/>
    <w:pPr>
      <w:tabs>
        <w:tab w:val="center" w:pos="4513"/>
        <w:tab w:val="right" w:pos="9026"/>
      </w:tabs>
      <w:spacing w:after="0" w:line="240" w:lineRule="auto"/>
    </w:pPr>
    <w:rPr>
      <w:rFonts w:cs="Mangal"/>
    </w:rPr>
  </w:style>
  <w:style w:type="character" w:customStyle="1" w:styleId="FooterChar">
    <w:name w:val="Footer Char"/>
    <w:basedOn w:val="DefaultParagraphFont"/>
    <w:link w:val="Footer"/>
    <w:uiPriority w:val="99"/>
    <w:rsid w:val="00AA5A7E"/>
    <w:rPr>
      <w:rFonts w:cs="Mangal"/>
    </w:rPr>
  </w:style>
  <w:style w:type="character" w:styleId="CommentReference">
    <w:name w:val="annotation reference"/>
    <w:basedOn w:val="DefaultParagraphFont"/>
    <w:uiPriority w:val="99"/>
    <w:semiHidden/>
    <w:unhideWhenUsed/>
    <w:rsid w:val="00AC52D2"/>
    <w:rPr>
      <w:sz w:val="16"/>
      <w:szCs w:val="16"/>
    </w:rPr>
  </w:style>
  <w:style w:type="paragraph" w:styleId="CommentText">
    <w:name w:val="annotation text"/>
    <w:basedOn w:val="Normal"/>
    <w:link w:val="CommentTextChar"/>
    <w:uiPriority w:val="99"/>
    <w:semiHidden/>
    <w:unhideWhenUsed/>
    <w:rsid w:val="00AC52D2"/>
    <w:pPr>
      <w:spacing w:line="240" w:lineRule="auto"/>
    </w:pPr>
    <w:rPr>
      <w:rFonts w:cs="Mangal"/>
      <w:sz w:val="20"/>
      <w:szCs w:val="18"/>
    </w:rPr>
  </w:style>
  <w:style w:type="character" w:customStyle="1" w:styleId="CommentTextChar">
    <w:name w:val="Comment Text Char"/>
    <w:basedOn w:val="DefaultParagraphFont"/>
    <w:link w:val="CommentText"/>
    <w:uiPriority w:val="99"/>
    <w:semiHidden/>
    <w:rsid w:val="00AC52D2"/>
    <w:rPr>
      <w:rFonts w:cs="Mangal"/>
      <w:sz w:val="20"/>
      <w:szCs w:val="18"/>
    </w:rPr>
  </w:style>
  <w:style w:type="paragraph" w:styleId="CommentSubject">
    <w:name w:val="annotation subject"/>
    <w:basedOn w:val="CommentText"/>
    <w:next w:val="CommentText"/>
    <w:link w:val="CommentSubjectChar"/>
    <w:uiPriority w:val="99"/>
    <w:semiHidden/>
    <w:unhideWhenUsed/>
    <w:rsid w:val="00AC52D2"/>
    <w:rPr>
      <w:b/>
      <w:bCs/>
    </w:rPr>
  </w:style>
  <w:style w:type="character" w:customStyle="1" w:styleId="CommentSubjectChar">
    <w:name w:val="Comment Subject Char"/>
    <w:basedOn w:val="CommentTextChar"/>
    <w:link w:val="CommentSubject"/>
    <w:uiPriority w:val="99"/>
    <w:semiHidden/>
    <w:rsid w:val="00AC52D2"/>
    <w:rPr>
      <w:rFonts w:cs="Mangal"/>
      <w:b/>
      <w:bCs/>
      <w:sz w:val="20"/>
      <w:szCs w:val="18"/>
    </w:rPr>
  </w:style>
  <w:style w:type="paragraph" w:styleId="FootnoteText">
    <w:name w:val="footnote text"/>
    <w:basedOn w:val="Normal"/>
    <w:link w:val="FootnoteTextChar"/>
    <w:uiPriority w:val="99"/>
    <w:semiHidden/>
    <w:unhideWhenUsed/>
    <w:rsid w:val="00925AE9"/>
    <w:pPr>
      <w:spacing w:after="0" w:line="240" w:lineRule="auto"/>
    </w:pPr>
    <w:rPr>
      <w:rFonts w:cs="Mangal"/>
      <w:sz w:val="20"/>
      <w:szCs w:val="18"/>
    </w:rPr>
  </w:style>
  <w:style w:type="character" w:customStyle="1" w:styleId="FootnoteTextChar">
    <w:name w:val="Footnote Text Char"/>
    <w:basedOn w:val="DefaultParagraphFont"/>
    <w:link w:val="FootnoteText"/>
    <w:uiPriority w:val="99"/>
    <w:semiHidden/>
    <w:rsid w:val="00925AE9"/>
    <w:rPr>
      <w:rFonts w:cs="Mangal"/>
      <w:sz w:val="20"/>
      <w:szCs w:val="18"/>
    </w:rPr>
  </w:style>
  <w:style w:type="character" w:styleId="FootnoteReference">
    <w:name w:val="footnote reference"/>
    <w:basedOn w:val="DefaultParagraphFont"/>
    <w:uiPriority w:val="99"/>
    <w:semiHidden/>
    <w:unhideWhenUsed/>
    <w:rsid w:val="00925AE9"/>
    <w:rPr>
      <w:vertAlign w:val="superscript"/>
    </w:rPr>
  </w:style>
  <w:style w:type="paragraph" w:styleId="BalloonText">
    <w:name w:val="Balloon Text"/>
    <w:basedOn w:val="Normal"/>
    <w:link w:val="BalloonTextChar"/>
    <w:uiPriority w:val="99"/>
    <w:semiHidden/>
    <w:unhideWhenUsed/>
    <w:rsid w:val="002214F2"/>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2214F2"/>
    <w:rPr>
      <w:rFonts w:ascii="Tahoma" w:hAnsi="Tahoma" w:cs="Mangal"/>
      <w:sz w:val="16"/>
      <w:szCs w:val="14"/>
    </w:rPr>
  </w:style>
</w:styles>
</file>

<file path=word/webSettings.xml><?xml version="1.0" encoding="utf-8"?>
<w:webSettings xmlns:r="http://schemas.openxmlformats.org/officeDocument/2006/relationships" xmlns:w="http://schemas.openxmlformats.org/wordprocessingml/2006/main">
  <w:divs>
    <w:div w:id="710612183">
      <w:bodyDiv w:val="1"/>
      <w:marLeft w:val="0"/>
      <w:marRight w:val="0"/>
      <w:marTop w:val="0"/>
      <w:marBottom w:val="0"/>
      <w:divBdr>
        <w:top w:val="none" w:sz="0" w:space="0" w:color="auto"/>
        <w:left w:val="none" w:sz="0" w:space="0" w:color="auto"/>
        <w:bottom w:val="none" w:sz="0" w:space="0" w:color="auto"/>
        <w:right w:val="none" w:sz="0" w:space="0" w:color="auto"/>
      </w:divBdr>
      <w:divsChild>
        <w:div w:id="417480816">
          <w:marLeft w:val="706"/>
          <w:marRight w:val="0"/>
          <w:marTop w:val="0"/>
          <w:marBottom w:val="120"/>
          <w:divBdr>
            <w:top w:val="none" w:sz="0" w:space="0" w:color="auto"/>
            <w:left w:val="none" w:sz="0" w:space="0" w:color="auto"/>
            <w:bottom w:val="none" w:sz="0" w:space="0" w:color="auto"/>
            <w:right w:val="none" w:sz="0" w:space="0" w:color="auto"/>
          </w:divBdr>
        </w:div>
      </w:divsChild>
    </w:div>
    <w:div w:id="1129593160">
      <w:bodyDiv w:val="1"/>
      <w:marLeft w:val="0"/>
      <w:marRight w:val="0"/>
      <w:marTop w:val="0"/>
      <w:marBottom w:val="0"/>
      <w:divBdr>
        <w:top w:val="none" w:sz="0" w:space="0" w:color="auto"/>
        <w:left w:val="none" w:sz="0" w:space="0" w:color="auto"/>
        <w:bottom w:val="none" w:sz="0" w:space="0" w:color="auto"/>
        <w:right w:val="none" w:sz="0" w:space="0" w:color="auto"/>
      </w:divBdr>
      <w:divsChild>
        <w:div w:id="2089568547">
          <w:marLeft w:val="446"/>
          <w:marRight w:val="0"/>
          <w:marTop w:val="0"/>
          <w:marBottom w:val="120"/>
          <w:divBdr>
            <w:top w:val="none" w:sz="0" w:space="0" w:color="auto"/>
            <w:left w:val="none" w:sz="0" w:space="0" w:color="auto"/>
            <w:bottom w:val="none" w:sz="0" w:space="0" w:color="auto"/>
            <w:right w:val="none" w:sz="0" w:space="0" w:color="auto"/>
          </w:divBdr>
        </w:div>
        <w:div w:id="353918914">
          <w:marLeft w:val="446"/>
          <w:marRight w:val="0"/>
          <w:marTop w:val="0"/>
          <w:marBottom w:val="120"/>
          <w:divBdr>
            <w:top w:val="none" w:sz="0" w:space="0" w:color="auto"/>
            <w:left w:val="none" w:sz="0" w:space="0" w:color="auto"/>
            <w:bottom w:val="none" w:sz="0" w:space="0" w:color="auto"/>
            <w:right w:val="none" w:sz="0" w:space="0" w:color="auto"/>
          </w:divBdr>
        </w:div>
        <w:div w:id="546258093">
          <w:marLeft w:val="446"/>
          <w:marRight w:val="0"/>
          <w:marTop w:val="0"/>
          <w:marBottom w:val="120"/>
          <w:divBdr>
            <w:top w:val="none" w:sz="0" w:space="0" w:color="auto"/>
            <w:left w:val="none" w:sz="0" w:space="0" w:color="auto"/>
            <w:bottom w:val="none" w:sz="0" w:space="0" w:color="auto"/>
            <w:right w:val="none" w:sz="0" w:space="0" w:color="auto"/>
          </w:divBdr>
        </w:div>
      </w:divsChild>
    </w:div>
    <w:div w:id="1508133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91E414-4D00-4265-BD07-DE9E30469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2323</Words>
  <Characters>13244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Shalini Mathur</dc:creator>
  <cp:lastModifiedBy>R Ganesh</cp:lastModifiedBy>
  <cp:revision>2</cp:revision>
  <dcterms:created xsi:type="dcterms:W3CDTF">2022-12-22T05:08:00Z</dcterms:created>
  <dcterms:modified xsi:type="dcterms:W3CDTF">2022-12-22T05:08:00Z</dcterms:modified>
</cp:coreProperties>
</file>