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0" w:rsidRDefault="00791920" w:rsidP="00A44880">
      <w:pPr>
        <w:spacing w:line="276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A44880" w:rsidRPr="00791920" w:rsidRDefault="00A44880" w:rsidP="00A44880">
      <w:pPr>
        <w:spacing w:line="276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791920">
        <w:rPr>
          <w:rFonts w:ascii="Tahoma" w:hAnsi="Tahoma" w:cs="Tahoma"/>
          <w:b/>
          <w:sz w:val="21"/>
          <w:szCs w:val="21"/>
          <w:u w:val="single"/>
        </w:rPr>
        <w:t xml:space="preserve">Subject: Inputs </w:t>
      </w:r>
      <w:r w:rsidR="00E40DFD" w:rsidRPr="00791920">
        <w:rPr>
          <w:rFonts w:ascii="Tahoma" w:hAnsi="Tahoma" w:cs="Tahoma"/>
          <w:b/>
          <w:sz w:val="21"/>
          <w:szCs w:val="21"/>
          <w:u w:val="single"/>
        </w:rPr>
        <w:t xml:space="preserve">on draft common </w:t>
      </w:r>
      <w:r w:rsidRPr="00791920">
        <w:rPr>
          <w:rFonts w:ascii="Tahoma" w:hAnsi="Tahoma" w:cs="Tahoma"/>
          <w:b/>
          <w:sz w:val="21"/>
          <w:szCs w:val="21"/>
          <w:u w:val="single"/>
        </w:rPr>
        <w:t xml:space="preserve">income tax return </w:t>
      </w:r>
    </w:p>
    <w:p w:rsidR="009C6BC7" w:rsidRPr="00791920" w:rsidRDefault="00A44880" w:rsidP="00A44880">
      <w:pPr>
        <w:spacing w:line="276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791920">
        <w:rPr>
          <w:rFonts w:ascii="Tahoma" w:hAnsi="Tahoma" w:cs="Tahoma"/>
          <w:b/>
          <w:sz w:val="21"/>
          <w:szCs w:val="21"/>
          <w:u w:val="single"/>
        </w:rPr>
        <w:t xml:space="preserve">Reference: Letter of </w:t>
      </w:r>
      <w:r w:rsidR="00E40DFD" w:rsidRPr="00791920">
        <w:rPr>
          <w:rFonts w:ascii="Tahoma" w:hAnsi="Tahoma" w:cs="Tahoma"/>
          <w:b/>
          <w:sz w:val="21"/>
          <w:szCs w:val="21"/>
          <w:u w:val="single"/>
        </w:rPr>
        <w:t>CBDT</w:t>
      </w:r>
      <w:r w:rsidRPr="00791920">
        <w:rPr>
          <w:rFonts w:ascii="Tahoma" w:hAnsi="Tahoma" w:cs="Tahoma"/>
          <w:b/>
          <w:sz w:val="21"/>
          <w:szCs w:val="21"/>
          <w:u w:val="single"/>
        </w:rPr>
        <w:t xml:space="preserve"> F No. 370133/16/2022-TPL dated 01.11.2022</w:t>
      </w:r>
    </w:p>
    <w:p w:rsidR="009C6BC7" w:rsidRPr="00791920" w:rsidRDefault="009C6BC7" w:rsidP="00A44880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C34B60" w:rsidRPr="00791920" w:rsidRDefault="00C26F36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The format </w:t>
      </w:r>
      <w:r w:rsidR="00E40DFD" w:rsidRPr="00791920">
        <w:rPr>
          <w:rFonts w:ascii="Tahoma" w:hAnsi="Tahoma" w:cs="Tahoma"/>
          <w:sz w:val="21"/>
          <w:szCs w:val="21"/>
        </w:rPr>
        <w:t xml:space="preserve">of Balance Sheet and statement of Profit and loss account in ITR – 6 / draft Common ITR </w:t>
      </w:r>
      <w:r w:rsidRPr="00791920">
        <w:rPr>
          <w:rFonts w:ascii="Tahoma" w:hAnsi="Tahoma" w:cs="Tahoma"/>
          <w:sz w:val="21"/>
          <w:szCs w:val="21"/>
        </w:rPr>
        <w:t>is not in line with the format of financial statements prescribed unde</w:t>
      </w:r>
      <w:r w:rsidR="00C34B60" w:rsidRPr="00791920">
        <w:rPr>
          <w:rFonts w:ascii="Tahoma" w:hAnsi="Tahoma" w:cs="Tahoma"/>
          <w:sz w:val="21"/>
          <w:szCs w:val="21"/>
        </w:rPr>
        <w:t>r the Corporate Law. For e.g.</w:t>
      </w:r>
      <w:r w:rsidRPr="00791920">
        <w:rPr>
          <w:rFonts w:ascii="Tahoma" w:hAnsi="Tahoma" w:cs="Tahoma"/>
          <w:sz w:val="21"/>
          <w:szCs w:val="21"/>
        </w:rPr>
        <w:t xml:space="preserve">, ITR </w:t>
      </w:r>
      <w:r w:rsidR="00E40DFD" w:rsidRPr="00791920">
        <w:rPr>
          <w:rFonts w:ascii="Tahoma" w:hAnsi="Tahoma" w:cs="Tahoma"/>
          <w:sz w:val="21"/>
          <w:szCs w:val="21"/>
        </w:rPr>
        <w:t xml:space="preserve">– 6 / draft Common ITR </w:t>
      </w:r>
      <w:r w:rsidRPr="00791920">
        <w:rPr>
          <w:rFonts w:ascii="Tahoma" w:hAnsi="Tahoma" w:cs="Tahoma"/>
          <w:sz w:val="21"/>
          <w:szCs w:val="21"/>
        </w:rPr>
        <w:t>require</w:t>
      </w:r>
      <w:r w:rsidR="00E40DFD" w:rsidRPr="00791920">
        <w:rPr>
          <w:rFonts w:ascii="Tahoma" w:hAnsi="Tahoma" w:cs="Tahoma"/>
          <w:sz w:val="21"/>
          <w:szCs w:val="21"/>
        </w:rPr>
        <w:t>s</w:t>
      </w:r>
      <w:r w:rsidRPr="00791920">
        <w:rPr>
          <w:rFonts w:ascii="Tahoma" w:hAnsi="Tahoma" w:cs="Tahoma"/>
          <w:sz w:val="21"/>
          <w:szCs w:val="21"/>
        </w:rPr>
        <w:t xml:space="preserve"> a company to give </w:t>
      </w:r>
      <w:r w:rsidR="00E8458A" w:rsidRPr="00791920">
        <w:rPr>
          <w:rFonts w:ascii="Tahoma" w:hAnsi="Tahoma" w:cs="Tahoma"/>
          <w:sz w:val="21"/>
          <w:szCs w:val="21"/>
        </w:rPr>
        <w:t xml:space="preserve">Manufacturing, </w:t>
      </w:r>
      <w:r w:rsidRPr="00791920">
        <w:rPr>
          <w:rFonts w:ascii="Tahoma" w:hAnsi="Tahoma" w:cs="Tahoma"/>
          <w:sz w:val="21"/>
          <w:szCs w:val="21"/>
        </w:rPr>
        <w:t>trading and P&amp;L account separately.</w:t>
      </w:r>
      <w:r w:rsidR="00E40DFD" w:rsidRPr="00791920">
        <w:rPr>
          <w:rFonts w:ascii="Tahoma" w:hAnsi="Tahoma" w:cs="Tahoma"/>
          <w:sz w:val="21"/>
          <w:szCs w:val="21"/>
        </w:rPr>
        <w:t xml:space="preserve"> </w:t>
      </w:r>
      <w:r w:rsidRPr="00791920">
        <w:rPr>
          <w:rFonts w:ascii="Tahoma" w:hAnsi="Tahoma" w:cs="Tahoma"/>
          <w:sz w:val="21"/>
          <w:szCs w:val="21"/>
        </w:rPr>
        <w:t xml:space="preserve"> Such separate accounts are not prepared for financial reporting. In case of large multi divisional and multi-location entities it is huge task to prepare. </w:t>
      </w:r>
      <w:r w:rsidR="00E40DFD" w:rsidRPr="00791920">
        <w:rPr>
          <w:rFonts w:ascii="Tahoma" w:hAnsi="Tahoma" w:cs="Tahoma"/>
          <w:sz w:val="21"/>
          <w:szCs w:val="21"/>
        </w:rPr>
        <w:t xml:space="preserve"> </w:t>
      </w:r>
    </w:p>
    <w:p w:rsidR="00A86291" w:rsidRPr="00791920" w:rsidRDefault="00A86291" w:rsidP="00A8629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86291" w:rsidRPr="00791920" w:rsidRDefault="00A86291" w:rsidP="00A86291">
      <w:pPr>
        <w:spacing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CBDT should simplify the common ITR format and keep it in line with format of financial reporting under the corporate law. </w:t>
      </w:r>
    </w:p>
    <w:p w:rsidR="00A86291" w:rsidRPr="00791920" w:rsidRDefault="00A86291" w:rsidP="00A8629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34B60" w:rsidRPr="00791920" w:rsidRDefault="00A86291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I</w:t>
      </w:r>
      <w:r w:rsidR="00C26F36" w:rsidRPr="00791920">
        <w:rPr>
          <w:rFonts w:ascii="Tahoma" w:hAnsi="Tahoma" w:cs="Tahoma"/>
          <w:sz w:val="21"/>
          <w:szCs w:val="21"/>
        </w:rPr>
        <w:t xml:space="preserve">n respect of certain cost, granule information is required which is not prepared in normal way. </w:t>
      </w:r>
      <w:r w:rsidR="00E40DFD" w:rsidRPr="00791920">
        <w:rPr>
          <w:rFonts w:ascii="Tahoma" w:hAnsi="Tahoma" w:cs="Tahoma"/>
          <w:sz w:val="21"/>
          <w:szCs w:val="21"/>
        </w:rPr>
        <w:t>For e.g. in</w:t>
      </w:r>
      <w:r w:rsidR="00C34B60" w:rsidRPr="00791920">
        <w:rPr>
          <w:rFonts w:ascii="Tahoma" w:hAnsi="Tahoma" w:cs="Tahoma"/>
          <w:sz w:val="21"/>
          <w:szCs w:val="21"/>
        </w:rPr>
        <w:t xml:space="preserve"> financial statements, only insurance cost is reported as against in</w:t>
      </w:r>
      <w:r w:rsidR="00E40DFD" w:rsidRPr="00791920">
        <w:rPr>
          <w:rFonts w:ascii="Tahoma" w:hAnsi="Tahoma" w:cs="Tahoma"/>
          <w:sz w:val="21"/>
          <w:szCs w:val="21"/>
        </w:rPr>
        <w:t xml:space="preserve"> ITR – 6 / draft Common ITR</w:t>
      </w:r>
      <w:r w:rsidR="00C34B60" w:rsidRPr="00791920">
        <w:rPr>
          <w:rFonts w:ascii="Tahoma" w:hAnsi="Tahoma" w:cs="Tahoma"/>
          <w:sz w:val="21"/>
          <w:szCs w:val="21"/>
        </w:rPr>
        <w:t xml:space="preserve"> wherein the break-up of insurance cost into below items needs to be reported (refer INS-PL.6 annexure): - </w:t>
      </w:r>
    </w:p>
    <w:p w:rsidR="00C34B60" w:rsidRPr="00791920" w:rsidRDefault="00C34B60" w:rsidP="00A448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Medical Insurance, </w:t>
      </w:r>
    </w:p>
    <w:p w:rsidR="00C34B60" w:rsidRPr="00791920" w:rsidRDefault="00C34B60" w:rsidP="00A448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Life Insurance, </w:t>
      </w:r>
    </w:p>
    <w:p w:rsidR="00C34B60" w:rsidRPr="00791920" w:rsidRDefault="00C34B60" w:rsidP="00A448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Keyman’s Insurance and </w:t>
      </w:r>
    </w:p>
    <w:p w:rsidR="00E9655C" w:rsidRPr="00791920" w:rsidRDefault="00C34B60" w:rsidP="00A448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Other Insurance including factory, office, car, goods, etc.</w:t>
      </w:r>
      <w:r w:rsidR="00E40DFD" w:rsidRPr="00791920">
        <w:rPr>
          <w:rFonts w:ascii="Tahoma" w:hAnsi="Tahoma" w:cs="Tahoma"/>
          <w:sz w:val="21"/>
          <w:szCs w:val="21"/>
        </w:rPr>
        <w:t xml:space="preserve"> </w:t>
      </w:r>
    </w:p>
    <w:p w:rsidR="00E9655C" w:rsidRPr="00791920" w:rsidRDefault="00E9655C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6F36" w:rsidRPr="00791920" w:rsidRDefault="00C26F36" w:rsidP="00A44880">
      <w:pPr>
        <w:spacing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CBDT should simplify the </w:t>
      </w:r>
      <w:r w:rsidR="00C34B60" w:rsidRPr="00791920">
        <w:rPr>
          <w:rFonts w:ascii="Tahoma" w:hAnsi="Tahoma" w:cs="Tahoma"/>
          <w:sz w:val="21"/>
          <w:szCs w:val="21"/>
        </w:rPr>
        <w:t xml:space="preserve">common ITR </w:t>
      </w:r>
      <w:r w:rsidRPr="00791920">
        <w:rPr>
          <w:rFonts w:ascii="Tahoma" w:hAnsi="Tahoma" w:cs="Tahoma"/>
          <w:sz w:val="21"/>
          <w:szCs w:val="21"/>
        </w:rPr>
        <w:t xml:space="preserve">format and keep it in line with format of financial reporting under the corporate law. </w:t>
      </w:r>
    </w:p>
    <w:p w:rsidR="00C26F36" w:rsidRPr="00791920" w:rsidRDefault="00C26F36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86291" w:rsidRPr="00791920" w:rsidRDefault="00C34B60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b/>
          <w:sz w:val="21"/>
          <w:szCs w:val="21"/>
        </w:rPr>
        <w:t>Schedule GST –</w:t>
      </w:r>
      <w:r w:rsidRPr="00791920">
        <w:rPr>
          <w:rFonts w:ascii="Tahoma" w:hAnsi="Tahoma" w:cs="Tahoma"/>
          <w:sz w:val="21"/>
          <w:szCs w:val="21"/>
        </w:rPr>
        <w:t xml:space="preserve"> In this schedule it is required to provide Reconciliation of turnover as reported in ITR with turnover reported in GST return.  The last date to file Annual GST return is 31</w:t>
      </w:r>
      <w:r w:rsidRPr="00791920">
        <w:rPr>
          <w:rFonts w:ascii="Tahoma" w:hAnsi="Tahoma" w:cs="Tahoma"/>
          <w:sz w:val="21"/>
          <w:szCs w:val="21"/>
          <w:vertAlign w:val="superscript"/>
        </w:rPr>
        <w:t>st</w:t>
      </w:r>
      <w:r w:rsidRPr="00791920">
        <w:rPr>
          <w:rFonts w:ascii="Tahoma" w:hAnsi="Tahoma" w:cs="Tahoma"/>
          <w:sz w:val="21"/>
          <w:szCs w:val="21"/>
        </w:rPr>
        <w:t xml:space="preserve"> December and last date to file ITR is 31</w:t>
      </w:r>
      <w:r w:rsidRPr="00791920">
        <w:rPr>
          <w:rFonts w:ascii="Tahoma" w:hAnsi="Tahoma" w:cs="Tahoma"/>
          <w:sz w:val="21"/>
          <w:szCs w:val="21"/>
          <w:vertAlign w:val="superscript"/>
        </w:rPr>
        <w:t>st</w:t>
      </w:r>
      <w:r w:rsidRPr="00791920">
        <w:rPr>
          <w:rFonts w:ascii="Tahoma" w:hAnsi="Tahoma" w:cs="Tahoma"/>
          <w:sz w:val="21"/>
          <w:szCs w:val="21"/>
        </w:rPr>
        <w:t xml:space="preserve"> October / 30</w:t>
      </w:r>
      <w:r w:rsidRPr="00791920">
        <w:rPr>
          <w:rFonts w:ascii="Tahoma" w:hAnsi="Tahoma" w:cs="Tahoma"/>
          <w:sz w:val="21"/>
          <w:szCs w:val="21"/>
          <w:vertAlign w:val="superscript"/>
        </w:rPr>
        <w:t>th</w:t>
      </w:r>
      <w:r w:rsidRPr="00791920">
        <w:rPr>
          <w:rFonts w:ascii="Tahoma" w:hAnsi="Tahoma" w:cs="Tahoma"/>
          <w:sz w:val="21"/>
          <w:szCs w:val="21"/>
        </w:rPr>
        <w:t xml:space="preserve"> November.  Many time </w:t>
      </w:r>
      <w:r w:rsidR="00D80610" w:rsidRPr="00791920">
        <w:rPr>
          <w:rFonts w:ascii="Tahoma" w:hAnsi="Tahoma" w:cs="Tahoma"/>
          <w:sz w:val="21"/>
          <w:szCs w:val="21"/>
        </w:rPr>
        <w:t>rectifications</w:t>
      </w:r>
      <w:r w:rsidRPr="00791920">
        <w:rPr>
          <w:rFonts w:ascii="Tahoma" w:hAnsi="Tahoma" w:cs="Tahoma"/>
          <w:sz w:val="21"/>
          <w:szCs w:val="21"/>
        </w:rPr>
        <w:t xml:space="preserve"> in monthly GST return </w:t>
      </w:r>
      <w:proofErr w:type="gramStart"/>
      <w:r w:rsidRPr="00791920">
        <w:rPr>
          <w:rFonts w:ascii="Tahoma" w:hAnsi="Tahoma" w:cs="Tahoma"/>
          <w:sz w:val="21"/>
          <w:szCs w:val="21"/>
        </w:rPr>
        <w:t>is</w:t>
      </w:r>
      <w:proofErr w:type="gramEnd"/>
      <w:r w:rsidRPr="00791920">
        <w:rPr>
          <w:rFonts w:ascii="Tahoma" w:hAnsi="Tahoma" w:cs="Tahoma"/>
          <w:sz w:val="21"/>
          <w:szCs w:val="21"/>
        </w:rPr>
        <w:t xml:space="preserve"> carried out at the time of filing of Annual Return.  Hence, providing reconciliation without finalising annual GST return may not be appropriate.  Further, Annual GST </w:t>
      </w:r>
      <w:proofErr w:type="gramStart"/>
      <w:r w:rsidRPr="00791920">
        <w:rPr>
          <w:rFonts w:ascii="Tahoma" w:hAnsi="Tahoma" w:cs="Tahoma"/>
          <w:sz w:val="21"/>
          <w:szCs w:val="21"/>
        </w:rPr>
        <w:t>return also require</w:t>
      </w:r>
      <w:proofErr w:type="gramEnd"/>
      <w:r w:rsidRPr="00791920">
        <w:rPr>
          <w:rFonts w:ascii="Tahoma" w:hAnsi="Tahoma" w:cs="Tahoma"/>
          <w:sz w:val="21"/>
          <w:szCs w:val="21"/>
        </w:rPr>
        <w:t xml:space="preserve"> same reconciliation.  </w:t>
      </w:r>
    </w:p>
    <w:p w:rsidR="00A86291" w:rsidRPr="00791920" w:rsidRDefault="00A86291" w:rsidP="00A86291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C34B60" w:rsidRPr="00791920" w:rsidRDefault="00C34B60" w:rsidP="00A86291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Considering this, it is recommended that this reconciliation schedule needs to be removed from common ITR.  </w:t>
      </w:r>
    </w:p>
    <w:p w:rsidR="00C34B60" w:rsidRPr="00791920" w:rsidRDefault="00C34B60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6BC7" w:rsidRPr="00791920" w:rsidRDefault="009C6BC7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b/>
          <w:sz w:val="21"/>
          <w:szCs w:val="21"/>
        </w:rPr>
        <w:t>Schedule ARCG</w:t>
      </w:r>
      <w:r w:rsidRPr="00791920">
        <w:rPr>
          <w:rFonts w:ascii="Tahoma" w:hAnsi="Tahoma" w:cs="Tahoma"/>
          <w:sz w:val="21"/>
          <w:szCs w:val="21"/>
        </w:rPr>
        <w:t xml:space="preserve"> – The name of schedule is mentioned as “Information about accrual / receipt of income from </w:t>
      </w:r>
      <w:r w:rsidRPr="00791920">
        <w:rPr>
          <w:rFonts w:ascii="Tahoma" w:hAnsi="Tahoma" w:cs="Tahoma"/>
          <w:sz w:val="21"/>
          <w:szCs w:val="21"/>
          <w:u w:val="single"/>
        </w:rPr>
        <w:t>other sources</w:t>
      </w:r>
      <w:r w:rsidRPr="00791920">
        <w:rPr>
          <w:rFonts w:ascii="Tahoma" w:hAnsi="Tahoma" w:cs="Tahoma"/>
          <w:sz w:val="21"/>
          <w:szCs w:val="21"/>
        </w:rPr>
        <w:t xml:space="preserve">” in place of “Information about accrual / receipt of income from </w:t>
      </w:r>
      <w:r w:rsidRPr="00791920">
        <w:rPr>
          <w:rFonts w:ascii="Tahoma" w:hAnsi="Tahoma" w:cs="Tahoma"/>
          <w:sz w:val="21"/>
          <w:szCs w:val="21"/>
          <w:u w:val="single"/>
        </w:rPr>
        <w:t>capital gains</w:t>
      </w:r>
      <w:r w:rsidRPr="00791920">
        <w:rPr>
          <w:rFonts w:ascii="Tahoma" w:hAnsi="Tahoma" w:cs="Tahoma"/>
          <w:sz w:val="21"/>
          <w:szCs w:val="21"/>
        </w:rPr>
        <w:t>”</w:t>
      </w:r>
    </w:p>
    <w:p w:rsidR="009C6BC7" w:rsidRPr="00791920" w:rsidRDefault="009C6BC7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34B60" w:rsidRPr="00791920" w:rsidRDefault="009C6BC7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b/>
          <w:sz w:val="21"/>
          <w:szCs w:val="21"/>
        </w:rPr>
        <w:t xml:space="preserve">Schedule BA </w:t>
      </w:r>
      <w:r w:rsidRPr="00791920">
        <w:rPr>
          <w:rFonts w:ascii="Tahoma" w:hAnsi="Tahoma" w:cs="Tahoma"/>
          <w:sz w:val="21"/>
          <w:szCs w:val="21"/>
        </w:rPr>
        <w:t xml:space="preserve">– Bank account details – </w:t>
      </w:r>
      <w:r w:rsidR="002D4120" w:rsidRPr="00791920">
        <w:rPr>
          <w:rFonts w:ascii="Tahoma" w:hAnsi="Tahoma" w:cs="Tahoma"/>
          <w:sz w:val="21"/>
          <w:szCs w:val="21"/>
        </w:rPr>
        <w:t xml:space="preserve">Additional information like </w:t>
      </w:r>
      <w:r w:rsidRPr="00791920">
        <w:rPr>
          <w:rFonts w:ascii="Tahoma" w:hAnsi="Tahoma" w:cs="Tahoma"/>
          <w:sz w:val="21"/>
          <w:szCs w:val="21"/>
        </w:rPr>
        <w:t xml:space="preserve">Branch name and Account type </w:t>
      </w:r>
      <w:r w:rsidR="002D4120" w:rsidRPr="00791920">
        <w:rPr>
          <w:rFonts w:ascii="Tahoma" w:hAnsi="Tahoma" w:cs="Tahoma"/>
          <w:sz w:val="21"/>
          <w:szCs w:val="21"/>
        </w:rPr>
        <w:t xml:space="preserve">to be filled in addition to Bank name, IFSC code and Account number </w:t>
      </w:r>
      <w:r w:rsidRPr="00791920">
        <w:rPr>
          <w:rFonts w:ascii="Tahoma" w:hAnsi="Tahoma" w:cs="Tahoma"/>
          <w:sz w:val="21"/>
          <w:szCs w:val="21"/>
        </w:rPr>
        <w:t>– All the Bank accounts are already linked with PAN / Aadhaar.  Hence, requirement of entering details of all the bank account in common ITR should be removed.</w:t>
      </w:r>
    </w:p>
    <w:p w:rsidR="00C34B60" w:rsidRPr="00791920" w:rsidRDefault="00C34B60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0561AA" w:rsidRPr="00791920" w:rsidRDefault="000561AA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b/>
          <w:sz w:val="21"/>
          <w:szCs w:val="21"/>
        </w:rPr>
        <w:t>Schedule DEP</w:t>
      </w:r>
      <w:r w:rsidRPr="00791920">
        <w:rPr>
          <w:rFonts w:ascii="Tahoma" w:hAnsi="Tahoma" w:cs="Tahoma"/>
          <w:sz w:val="21"/>
          <w:szCs w:val="21"/>
        </w:rPr>
        <w:t xml:space="preserve"> – Below fields to be part of Schedule DEP in draft common ITR: -</w:t>
      </w:r>
    </w:p>
    <w:p w:rsidR="000561AA" w:rsidRDefault="000561AA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791920" w:rsidRDefault="00791920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791920" w:rsidRPr="00791920" w:rsidRDefault="00791920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0561AA" w:rsidRPr="00791920" w:rsidRDefault="000561AA" w:rsidP="00A448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Proportionate aggregate depreciation allowable in the event of succession, demerger, etc. – This field was there in ITR – 6 however missing in draft common ITR.</w:t>
      </w:r>
    </w:p>
    <w:p w:rsidR="000561AA" w:rsidRPr="00791920" w:rsidRDefault="000561AA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0561AA" w:rsidRPr="00791920" w:rsidRDefault="000561AA" w:rsidP="00A448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WDV of asset transferred in the event of succession, demerger, etc. to be reduced from the block of the asset.</w:t>
      </w:r>
    </w:p>
    <w:p w:rsidR="000561AA" w:rsidRPr="00791920" w:rsidRDefault="000561AA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6BC7" w:rsidRPr="00791920" w:rsidRDefault="00545E97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In cases where depreciation </w:t>
      </w:r>
      <w:r w:rsidR="00682E43" w:rsidRPr="00791920">
        <w:rPr>
          <w:rFonts w:ascii="Tahoma" w:hAnsi="Tahoma" w:cs="Tahoma"/>
          <w:sz w:val="21"/>
          <w:szCs w:val="21"/>
        </w:rPr>
        <w:t xml:space="preserve">on straight line method </w:t>
      </w:r>
      <w:r w:rsidRPr="00791920">
        <w:rPr>
          <w:rFonts w:ascii="Tahoma" w:hAnsi="Tahoma" w:cs="Tahoma"/>
          <w:sz w:val="21"/>
          <w:szCs w:val="21"/>
        </w:rPr>
        <w:t>is allowable u/s. 32(1</w:t>
      </w:r>
      <w:proofErr w:type="gramStart"/>
      <w:r w:rsidRPr="00791920">
        <w:rPr>
          <w:rFonts w:ascii="Tahoma" w:hAnsi="Tahoma" w:cs="Tahoma"/>
          <w:sz w:val="21"/>
          <w:szCs w:val="21"/>
        </w:rPr>
        <w:t>)(</w:t>
      </w:r>
      <w:proofErr w:type="gramEnd"/>
      <w:r w:rsidRPr="00791920">
        <w:rPr>
          <w:rFonts w:ascii="Tahoma" w:hAnsi="Tahoma" w:cs="Tahoma"/>
          <w:sz w:val="21"/>
          <w:szCs w:val="21"/>
        </w:rPr>
        <w:t>i) on assets of power plant, s</w:t>
      </w:r>
      <w:r w:rsidR="009C6BC7" w:rsidRPr="00791920">
        <w:rPr>
          <w:rFonts w:ascii="Tahoma" w:hAnsi="Tahoma" w:cs="Tahoma"/>
          <w:sz w:val="21"/>
          <w:szCs w:val="21"/>
        </w:rPr>
        <w:t xml:space="preserve">eparate </w:t>
      </w:r>
      <w:r w:rsidRPr="00791920">
        <w:rPr>
          <w:rFonts w:ascii="Tahoma" w:hAnsi="Tahoma" w:cs="Tahoma"/>
          <w:sz w:val="21"/>
          <w:szCs w:val="21"/>
        </w:rPr>
        <w:t xml:space="preserve">depreciation </w:t>
      </w:r>
      <w:r w:rsidR="009C6BC7" w:rsidRPr="00791920">
        <w:rPr>
          <w:rFonts w:ascii="Tahoma" w:hAnsi="Tahoma" w:cs="Tahoma"/>
          <w:sz w:val="21"/>
          <w:szCs w:val="21"/>
        </w:rPr>
        <w:t xml:space="preserve">schedule to be </w:t>
      </w:r>
      <w:r w:rsidRPr="00791920">
        <w:rPr>
          <w:rFonts w:ascii="Tahoma" w:hAnsi="Tahoma" w:cs="Tahoma"/>
          <w:sz w:val="21"/>
          <w:szCs w:val="21"/>
        </w:rPr>
        <w:t>provided in common ITR.  Presently, the amount of such depreciation allowable u/s. 32(1</w:t>
      </w:r>
      <w:proofErr w:type="gramStart"/>
      <w:r w:rsidRPr="00791920">
        <w:rPr>
          <w:rFonts w:ascii="Tahoma" w:hAnsi="Tahoma" w:cs="Tahoma"/>
          <w:sz w:val="21"/>
          <w:szCs w:val="21"/>
        </w:rPr>
        <w:t>)(</w:t>
      </w:r>
      <w:proofErr w:type="gramEnd"/>
      <w:r w:rsidRPr="00791920">
        <w:rPr>
          <w:rFonts w:ascii="Tahoma" w:hAnsi="Tahoma" w:cs="Tahoma"/>
          <w:sz w:val="21"/>
          <w:szCs w:val="21"/>
        </w:rPr>
        <w:t>i) is directly inserted in Schedule BP.</w:t>
      </w:r>
    </w:p>
    <w:p w:rsidR="009C6BC7" w:rsidRPr="00791920" w:rsidRDefault="009C6BC7" w:rsidP="00A44880">
      <w:pPr>
        <w:pStyle w:val="ListParagraph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C6BC7" w:rsidRPr="00791920" w:rsidRDefault="00E857F4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 xml:space="preserve">Where the Assessee is assessed to tax under provisions of MAT, Interest u/s. </w:t>
      </w:r>
      <w:r w:rsidR="009C6BC7" w:rsidRPr="00791920">
        <w:rPr>
          <w:rFonts w:ascii="Tahoma" w:hAnsi="Tahoma" w:cs="Tahoma"/>
          <w:sz w:val="21"/>
          <w:szCs w:val="21"/>
        </w:rPr>
        <w:t xml:space="preserve">234C to be </w:t>
      </w:r>
      <w:r w:rsidRPr="00791920">
        <w:rPr>
          <w:rFonts w:ascii="Tahoma" w:hAnsi="Tahoma" w:cs="Tahoma"/>
          <w:sz w:val="21"/>
          <w:szCs w:val="21"/>
        </w:rPr>
        <w:t>computed after considering realised quarterly capital gain as per statement of P&amp;L account (</w:t>
      </w:r>
      <w:r w:rsidR="002D4120" w:rsidRPr="00791920">
        <w:rPr>
          <w:rFonts w:ascii="Tahoma" w:hAnsi="Tahoma" w:cs="Tahoma"/>
          <w:sz w:val="21"/>
          <w:szCs w:val="21"/>
        </w:rPr>
        <w:t>P</w:t>
      </w:r>
      <w:r w:rsidRPr="00791920">
        <w:rPr>
          <w:rFonts w:ascii="Tahoma" w:hAnsi="Tahoma" w:cs="Tahoma"/>
          <w:sz w:val="21"/>
          <w:szCs w:val="21"/>
        </w:rPr>
        <w:t xml:space="preserve">roviso to Section 234C) and not </w:t>
      </w:r>
      <w:r w:rsidR="002D4120" w:rsidRPr="00791920">
        <w:rPr>
          <w:rFonts w:ascii="Tahoma" w:hAnsi="Tahoma" w:cs="Tahoma"/>
          <w:sz w:val="21"/>
          <w:szCs w:val="21"/>
        </w:rPr>
        <w:t xml:space="preserve">after considering </w:t>
      </w:r>
      <w:r w:rsidRPr="00791920">
        <w:rPr>
          <w:rFonts w:ascii="Tahoma" w:hAnsi="Tahoma" w:cs="Tahoma"/>
          <w:sz w:val="21"/>
          <w:szCs w:val="21"/>
        </w:rPr>
        <w:t>quarterly capital gain computed under normal provision of Income Tax Act, 1961</w:t>
      </w:r>
      <w:r w:rsidR="009C6BC7" w:rsidRPr="00791920">
        <w:rPr>
          <w:rFonts w:ascii="Tahoma" w:hAnsi="Tahoma" w:cs="Tahoma"/>
          <w:sz w:val="21"/>
          <w:szCs w:val="21"/>
        </w:rPr>
        <w:t>.</w:t>
      </w:r>
    </w:p>
    <w:p w:rsidR="00545E97" w:rsidRPr="00791920" w:rsidRDefault="00545E97" w:rsidP="00A44880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C34B60" w:rsidRPr="00791920" w:rsidRDefault="00C34B60" w:rsidP="00A448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While uploading tax return, there should be facility to upload financial statements and notes to computation of income.</w:t>
      </w:r>
    </w:p>
    <w:p w:rsidR="009C6BC7" w:rsidRPr="00791920" w:rsidRDefault="009C6BC7" w:rsidP="00A44880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44880" w:rsidRPr="00791920" w:rsidRDefault="00A44880" w:rsidP="00A44880">
      <w:pPr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791920">
        <w:rPr>
          <w:rFonts w:ascii="Tahoma" w:hAnsi="Tahoma" w:cs="Tahoma"/>
          <w:sz w:val="21"/>
          <w:szCs w:val="21"/>
        </w:rPr>
        <w:t>-x-x-x-</w:t>
      </w:r>
    </w:p>
    <w:sectPr w:rsidR="00A44880" w:rsidRPr="00791920" w:rsidSect="007D79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F5" w:rsidRDefault="00CB03F5" w:rsidP="00791920">
      <w:r>
        <w:separator/>
      </w:r>
    </w:p>
  </w:endnote>
  <w:endnote w:type="continuationSeparator" w:id="0">
    <w:p w:rsidR="00CB03F5" w:rsidRDefault="00CB03F5" w:rsidP="0079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F5" w:rsidRDefault="00CB03F5" w:rsidP="00791920">
      <w:r>
        <w:separator/>
      </w:r>
    </w:p>
  </w:footnote>
  <w:footnote w:type="continuationSeparator" w:id="0">
    <w:p w:rsidR="00CB03F5" w:rsidRDefault="00CB03F5" w:rsidP="00791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20" w:rsidRDefault="00791920">
    <w:pPr>
      <w:pStyle w:val="Header"/>
    </w:pPr>
    <w:r w:rsidRPr="00791920">
      <w:drawing>
        <wp:inline distT="0" distB="0" distL="0" distR="0">
          <wp:extent cx="58102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87C"/>
    <w:multiLevelType w:val="hybridMultilevel"/>
    <w:tmpl w:val="7570BEAE"/>
    <w:lvl w:ilvl="0" w:tplc="019401C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2AE4"/>
    <w:multiLevelType w:val="hybridMultilevel"/>
    <w:tmpl w:val="5CD243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F2041"/>
    <w:multiLevelType w:val="hybridMultilevel"/>
    <w:tmpl w:val="356CEA3C"/>
    <w:lvl w:ilvl="0" w:tplc="684A4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F5E89"/>
    <w:multiLevelType w:val="hybridMultilevel"/>
    <w:tmpl w:val="82741B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F768B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50514"/>
    <w:multiLevelType w:val="hybridMultilevel"/>
    <w:tmpl w:val="C63A42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C7"/>
    <w:rsid w:val="00013528"/>
    <w:rsid w:val="000561AA"/>
    <w:rsid w:val="00071F18"/>
    <w:rsid w:val="000C0FEE"/>
    <w:rsid w:val="002D4120"/>
    <w:rsid w:val="00545E97"/>
    <w:rsid w:val="00682E43"/>
    <w:rsid w:val="00791920"/>
    <w:rsid w:val="007D7983"/>
    <w:rsid w:val="008673AF"/>
    <w:rsid w:val="009C6BC7"/>
    <w:rsid w:val="00A44880"/>
    <w:rsid w:val="00A86291"/>
    <w:rsid w:val="00C26F36"/>
    <w:rsid w:val="00C34B60"/>
    <w:rsid w:val="00CB03F5"/>
    <w:rsid w:val="00CD5879"/>
    <w:rsid w:val="00D80610"/>
    <w:rsid w:val="00E37F21"/>
    <w:rsid w:val="00E40DFD"/>
    <w:rsid w:val="00E8458A"/>
    <w:rsid w:val="00E857F4"/>
    <w:rsid w:val="00E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C7"/>
    <w:pPr>
      <w:ind w:left="720"/>
    </w:pPr>
  </w:style>
  <w:style w:type="table" w:styleId="TableGrid">
    <w:name w:val="Table Grid"/>
    <w:basedOn w:val="TableNormal"/>
    <w:uiPriority w:val="39"/>
    <w:rsid w:val="00C2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9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2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Bajaj</dc:creator>
  <cp:lastModifiedBy>R Ganesh</cp:lastModifiedBy>
  <cp:revision>2</cp:revision>
  <dcterms:created xsi:type="dcterms:W3CDTF">2022-12-14T04:36:00Z</dcterms:created>
  <dcterms:modified xsi:type="dcterms:W3CDTF">2022-12-14T04:36:00Z</dcterms:modified>
</cp:coreProperties>
</file>