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C7" w:rsidRPr="00D30D0A" w:rsidRDefault="001B6761" w:rsidP="00D30D0A">
      <w:pPr>
        <w:tabs>
          <w:tab w:val="num" w:pos="567"/>
        </w:tabs>
        <w:spacing w:after="0" w:line="276" w:lineRule="auto"/>
        <w:ind w:left="567" w:hanging="567"/>
        <w:jc w:val="both"/>
        <w:rPr>
          <w:rFonts w:ascii="Arial" w:hAnsi="Arial" w:cs="Arial"/>
          <w:color w:val="00001E"/>
          <w:sz w:val="16"/>
          <w:szCs w:val="16"/>
        </w:rPr>
      </w:pPr>
      <w:r w:rsidRPr="00D30D0A">
        <w:rPr>
          <w:rFonts w:ascii="Arial" w:hAnsi="Arial" w:cs="Arial"/>
          <w:color w:val="00001E"/>
          <w:sz w:val="16"/>
          <w:szCs w:val="16"/>
        </w:rPr>
        <w:t xml:space="preserve"> </w:t>
      </w:r>
    </w:p>
    <w:p w:rsidR="004166C7" w:rsidRPr="008004ED" w:rsidRDefault="00F35741" w:rsidP="000C0224">
      <w:pPr>
        <w:tabs>
          <w:tab w:val="num" w:pos="0"/>
        </w:tabs>
        <w:spacing w:after="240" w:line="276" w:lineRule="auto"/>
        <w:jc w:val="both"/>
        <w:rPr>
          <w:rFonts w:ascii="Arial" w:hAnsi="Arial" w:cs="Arial"/>
          <w:b/>
          <w:bCs/>
          <w:color w:val="00001E"/>
          <w:sz w:val="24"/>
          <w:szCs w:val="24"/>
          <w:u w:val="single"/>
        </w:rPr>
      </w:pPr>
      <w:r w:rsidRPr="008004ED">
        <w:rPr>
          <w:rFonts w:ascii="Arial" w:hAnsi="Arial" w:cs="Arial"/>
          <w:b/>
          <w:bCs/>
          <w:color w:val="00001E"/>
          <w:sz w:val="24"/>
          <w:szCs w:val="24"/>
          <w:u w:val="single"/>
        </w:rPr>
        <w:t>Detailed representations</w:t>
      </w:r>
      <w:r w:rsidR="00634517">
        <w:rPr>
          <w:rFonts w:ascii="Arial" w:hAnsi="Arial" w:cs="Arial"/>
          <w:b/>
          <w:bCs/>
          <w:color w:val="00001E"/>
          <w:sz w:val="24"/>
          <w:szCs w:val="24"/>
          <w:u w:val="single"/>
        </w:rPr>
        <w:t xml:space="preserve"> on (a) amending definition of ‘demerger’ u/s. 2(19AA) to cover hive off of business through divestment of shares of operating subsidiary (b) expanding scope of s.72A to cover </w:t>
      </w:r>
      <w:r w:rsidR="00964A66">
        <w:rPr>
          <w:rFonts w:ascii="Arial" w:hAnsi="Arial" w:cs="Arial"/>
          <w:b/>
          <w:bCs/>
          <w:color w:val="00001E"/>
          <w:sz w:val="24"/>
          <w:szCs w:val="24"/>
          <w:u w:val="single"/>
        </w:rPr>
        <w:t xml:space="preserve">service sector and (c) </w:t>
      </w:r>
      <w:r w:rsidR="000C0224">
        <w:rPr>
          <w:rFonts w:ascii="Arial" w:hAnsi="Arial" w:cs="Arial"/>
          <w:b/>
          <w:bCs/>
          <w:color w:val="00001E"/>
          <w:sz w:val="24"/>
          <w:szCs w:val="24"/>
          <w:u w:val="single"/>
        </w:rPr>
        <w:t>further clarifications on TDS u/s. 194R on business perquisites</w:t>
      </w:r>
    </w:p>
    <w:p w:rsidR="001B038A" w:rsidRPr="008004ED" w:rsidRDefault="00F239F0" w:rsidP="00D30D0A">
      <w:pPr>
        <w:pStyle w:val="Heading2"/>
        <w:numPr>
          <w:ilvl w:val="0"/>
          <w:numId w:val="2"/>
        </w:numPr>
        <w:tabs>
          <w:tab w:val="num" w:pos="567"/>
        </w:tabs>
        <w:spacing w:before="0" w:after="240" w:line="276" w:lineRule="auto"/>
        <w:ind w:left="567" w:hanging="567"/>
        <w:jc w:val="both"/>
        <w:rPr>
          <w:rFonts w:ascii="Arial" w:hAnsi="Arial" w:cs="Arial"/>
          <w:b/>
          <w:bCs/>
          <w:color w:val="00001E"/>
          <w:sz w:val="24"/>
          <w:szCs w:val="24"/>
        </w:rPr>
      </w:pPr>
      <w:r w:rsidRPr="008004ED">
        <w:rPr>
          <w:rFonts w:ascii="Arial" w:hAnsi="Arial" w:cs="Arial"/>
          <w:b/>
          <w:bCs/>
          <w:color w:val="00001E"/>
          <w:sz w:val="24"/>
          <w:szCs w:val="24"/>
        </w:rPr>
        <w:t>Clarify</w:t>
      </w:r>
      <w:r w:rsidR="001E6382">
        <w:rPr>
          <w:rFonts w:ascii="Arial" w:hAnsi="Arial" w:cs="Arial"/>
          <w:b/>
          <w:bCs/>
          <w:color w:val="00001E"/>
          <w:sz w:val="24"/>
          <w:szCs w:val="24"/>
        </w:rPr>
        <w:t xml:space="preserve"> </w:t>
      </w:r>
      <w:r w:rsidRPr="008004ED">
        <w:rPr>
          <w:rFonts w:ascii="Arial" w:hAnsi="Arial" w:cs="Arial"/>
          <w:b/>
          <w:bCs/>
          <w:color w:val="00001E"/>
          <w:sz w:val="24"/>
          <w:szCs w:val="24"/>
        </w:rPr>
        <w:t xml:space="preserve">that </w:t>
      </w:r>
      <w:r w:rsidR="00854AB1" w:rsidRPr="008004ED">
        <w:rPr>
          <w:rFonts w:ascii="Arial" w:hAnsi="Arial" w:cs="Arial"/>
          <w:b/>
          <w:bCs/>
          <w:color w:val="00001E"/>
          <w:sz w:val="24"/>
          <w:szCs w:val="24"/>
        </w:rPr>
        <w:t>definition</w:t>
      </w:r>
      <w:r w:rsidR="00F35741" w:rsidRPr="008004ED">
        <w:rPr>
          <w:rFonts w:ascii="Arial" w:hAnsi="Arial" w:cs="Arial"/>
          <w:b/>
          <w:bCs/>
          <w:color w:val="00001E"/>
          <w:sz w:val="24"/>
          <w:szCs w:val="24"/>
        </w:rPr>
        <w:t xml:space="preserve"> of ‘undertaking’ in section </w:t>
      </w:r>
      <w:r w:rsidR="00333206" w:rsidRPr="008004ED">
        <w:rPr>
          <w:rFonts w:ascii="Arial" w:hAnsi="Arial" w:cs="Arial"/>
          <w:b/>
          <w:bCs/>
          <w:color w:val="00001E"/>
          <w:sz w:val="24"/>
          <w:szCs w:val="24"/>
        </w:rPr>
        <w:t xml:space="preserve">(s.) </w:t>
      </w:r>
      <w:r w:rsidR="00F35741" w:rsidRPr="008004ED">
        <w:rPr>
          <w:rFonts w:ascii="Arial" w:hAnsi="Arial" w:cs="Arial"/>
          <w:b/>
          <w:bCs/>
          <w:color w:val="00001E"/>
          <w:sz w:val="24"/>
          <w:szCs w:val="24"/>
        </w:rPr>
        <w:t xml:space="preserve">2(19AA) </w:t>
      </w:r>
      <w:r w:rsidR="00617A1A" w:rsidRPr="008004ED">
        <w:rPr>
          <w:rFonts w:ascii="Arial" w:hAnsi="Arial" w:cs="Arial"/>
          <w:b/>
          <w:bCs/>
          <w:color w:val="00001E"/>
          <w:sz w:val="24"/>
          <w:szCs w:val="24"/>
        </w:rPr>
        <w:t>cover</w:t>
      </w:r>
      <w:r w:rsidRPr="008004ED">
        <w:rPr>
          <w:rFonts w:ascii="Arial" w:hAnsi="Arial" w:cs="Arial"/>
          <w:b/>
          <w:bCs/>
          <w:color w:val="00001E"/>
          <w:sz w:val="24"/>
          <w:szCs w:val="24"/>
        </w:rPr>
        <w:t>s</w:t>
      </w:r>
      <w:r w:rsidR="00E60BBA" w:rsidRPr="008004ED">
        <w:rPr>
          <w:rFonts w:ascii="Arial" w:hAnsi="Arial" w:cs="Arial"/>
          <w:b/>
          <w:bCs/>
          <w:color w:val="00001E"/>
          <w:sz w:val="24"/>
          <w:szCs w:val="24"/>
        </w:rPr>
        <w:t xml:space="preserve"> hive</w:t>
      </w:r>
      <w:r w:rsidR="00E60BBA" w:rsidRPr="008004ED">
        <w:rPr>
          <w:rFonts w:ascii="Arial" w:hAnsi="Arial" w:cs="Arial"/>
          <w:b/>
          <w:bCs/>
          <w:color w:val="00001E"/>
          <w:sz w:val="24"/>
          <w:szCs w:val="24"/>
        </w:rPr>
        <w:noBreakHyphen/>
      </w:r>
      <w:r w:rsidR="00474E69" w:rsidRPr="008004ED">
        <w:rPr>
          <w:rFonts w:ascii="Arial" w:hAnsi="Arial" w:cs="Arial"/>
          <w:b/>
          <w:bCs/>
          <w:color w:val="00001E"/>
          <w:sz w:val="24"/>
          <w:szCs w:val="24"/>
        </w:rPr>
        <w:t>off of business through divestment of shares of operating subsidiary</w:t>
      </w:r>
    </w:p>
    <w:p w:rsidR="001B038A" w:rsidRPr="008004ED" w:rsidRDefault="001B038A" w:rsidP="00D30D0A">
      <w:pPr>
        <w:pStyle w:val="ListParagraph"/>
        <w:spacing w:after="240" w:line="276" w:lineRule="auto"/>
        <w:ind w:left="567"/>
        <w:contextualSpacing w:val="0"/>
        <w:jc w:val="both"/>
        <w:rPr>
          <w:rFonts w:ascii="Arial" w:eastAsia="Times New Roman" w:hAnsi="Arial" w:cs="Arial"/>
          <w:b/>
          <w:color w:val="00001E"/>
          <w:sz w:val="24"/>
          <w:szCs w:val="24"/>
          <w:u w:val="single"/>
          <w:lang w:val="en-US"/>
        </w:rPr>
      </w:pPr>
      <w:r w:rsidRPr="008004ED">
        <w:rPr>
          <w:rFonts w:ascii="Arial" w:eastAsia="Times New Roman" w:hAnsi="Arial" w:cs="Arial"/>
          <w:b/>
          <w:color w:val="00001E"/>
          <w:sz w:val="24"/>
          <w:szCs w:val="24"/>
          <w:u w:val="single"/>
          <w:lang w:val="en-US"/>
        </w:rPr>
        <w:t>Background</w:t>
      </w:r>
    </w:p>
    <w:p w:rsidR="001B038A" w:rsidRPr="008004ED" w:rsidRDefault="001B038A"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S. 47</w:t>
      </w:r>
      <w:r w:rsidR="00016404" w:rsidRPr="008004ED">
        <w:rPr>
          <w:rFonts w:ascii="Arial" w:eastAsia="Times New Roman" w:hAnsi="Arial" w:cs="Arial"/>
          <w:color w:val="00001E"/>
          <w:sz w:val="24"/>
          <w:szCs w:val="24"/>
          <w:lang w:val="en-US"/>
        </w:rPr>
        <w:t>(</w:t>
      </w:r>
      <w:proofErr w:type="spellStart"/>
      <w:r w:rsidR="00016404" w:rsidRPr="008004ED">
        <w:rPr>
          <w:rFonts w:ascii="Arial" w:eastAsia="Times New Roman" w:hAnsi="Arial" w:cs="Arial"/>
          <w:color w:val="00001E"/>
          <w:sz w:val="24"/>
          <w:szCs w:val="24"/>
          <w:lang w:val="en-US"/>
        </w:rPr>
        <w:t>vib</w:t>
      </w:r>
      <w:proofErr w:type="spellEnd"/>
      <w:r w:rsidR="00016404" w:rsidRPr="008004ED">
        <w:rPr>
          <w:rFonts w:ascii="Arial" w:eastAsia="Times New Roman" w:hAnsi="Arial" w:cs="Arial"/>
          <w:color w:val="00001E"/>
          <w:sz w:val="24"/>
          <w:szCs w:val="24"/>
          <w:lang w:val="en-US"/>
        </w:rPr>
        <w:t>)/</w:t>
      </w:r>
      <w:r w:rsidR="008434B9" w:rsidRPr="008004ED">
        <w:rPr>
          <w:rFonts w:ascii="Arial" w:eastAsia="Times New Roman" w:hAnsi="Arial" w:cs="Arial"/>
          <w:color w:val="00001E"/>
          <w:sz w:val="24"/>
          <w:szCs w:val="24"/>
          <w:lang w:val="en-US"/>
        </w:rPr>
        <w:t>(</w:t>
      </w:r>
      <w:proofErr w:type="spellStart"/>
      <w:r w:rsidR="008434B9" w:rsidRPr="008004ED">
        <w:rPr>
          <w:rFonts w:ascii="Arial" w:eastAsia="Times New Roman" w:hAnsi="Arial" w:cs="Arial"/>
          <w:color w:val="00001E"/>
          <w:sz w:val="24"/>
          <w:szCs w:val="24"/>
          <w:lang w:val="en-US"/>
        </w:rPr>
        <w:t>vid</w:t>
      </w:r>
      <w:proofErr w:type="spellEnd"/>
      <w:r w:rsidR="008434B9" w:rsidRPr="008004ED">
        <w:rPr>
          <w:rFonts w:ascii="Arial" w:eastAsia="Times New Roman" w:hAnsi="Arial" w:cs="Arial"/>
          <w:color w:val="00001E"/>
          <w:sz w:val="24"/>
          <w:szCs w:val="24"/>
          <w:lang w:val="en-US"/>
        </w:rPr>
        <w:t xml:space="preserve">) </w:t>
      </w:r>
      <w:r w:rsidRPr="008004ED">
        <w:rPr>
          <w:rFonts w:ascii="Arial" w:eastAsia="Times New Roman" w:hAnsi="Arial" w:cs="Arial"/>
          <w:color w:val="00001E"/>
          <w:sz w:val="24"/>
          <w:szCs w:val="24"/>
          <w:lang w:val="en-US"/>
        </w:rPr>
        <w:t xml:space="preserve">of the </w:t>
      </w:r>
      <w:r w:rsidR="00333206" w:rsidRPr="008004ED">
        <w:rPr>
          <w:rFonts w:ascii="Arial" w:eastAsia="Times New Roman" w:hAnsi="Arial" w:cs="Arial"/>
          <w:color w:val="00001E"/>
          <w:sz w:val="24"/>
          <w:szCs w:val="24"/>
          <w:lang w:val="en-US"/>
        </w:rPr>
        <w:t xml:space="preserve">Income tax </w:t>
      </w:r>
      <w:r w:rsidRPr="008004ED">
        <w:rPr>
          <w:rFonts w:ascii="Arial" w:eastAsia="Times New Roman" w:hAnsi="Arial" w:cs="Arial"/>
          <w:color w:val="00001E"/>
          <w:sz w:val="24"/>
          <w:szCs w:val="24"/>
          <w:lang w:val="en-US"/>
        </w:rPr>
        <w:t xml:space="preserve">Act </w:t>
      </w:r>
      <w:r w:rsidR="00333206" w:rsidRPr="008004ED">
        <w:rPr>
          <w:rFonts w:ascii="Arial" w:eastAsia="Times New Roman" w:hAnsi="Arial" w:cs="Arial"/>
          <w:color w:val="00001E"/>
          <w:sz w:val="24"/>
          <w:szCs w:val="24"/>
          <w:lang w:val="en-US"/>
        </w:rPr>
        <w:t xml:space="preserve">(‘Act) </w:t>
      </w:r>
      <w:r w:rsidRPr="008004ED">
        <w:rPr>
          <w:rFonts w:ascii="Arial" w:eastAsia="Times New Roman" w:hAnsi="Arial" w:cs="Arial"/>
          <w:color w:val="00001E"/>
          <w:sz w:val="24"/>
          <w:szCs w:val="24"/>
          <w:lang w:val="en-US"/>
        </w:rPr>
        <w:t xml:space="preserve">provides for exemption from capital gains taxation to the resulting company as well as the shareholders in case of a </w:t>
      </w:r>
      <w:r w:rsidR="00F0203E" w:rsidRPr="008004ED">
        <w:rPr>
          <w:rFonts w:ascii="Arial" w:eastAsia="Times New Roman" w:hAnsi="Arial" w:cs="Arial"/>
          <w:color w:val="00001E"/>
          <w:sz w:val="24"/>
          <w:szCs w:val="24"/>
          <w:lang w:val="en-US"/>
        </w:rPr>
        <w:t>‘</w:t>
      </w:r>
      <w:r w:rsidRPr="008004ED">
        <w:rPr>
          <w:rFonts w:ascii="Arial" w:eastAsia="Times New Roman" w:hAnsi="Arial" w:cs="Arial"/>
          <w:color w:val="00001E"/>
          <w:sz w:val="24"/>
          <w:szCs w:val="24"/>
          <w:lang w:val="en-US"/>
        </w:rPr>
        <w:t>demerger</w:t>
      </w:r>
      <w:r w:rsidR="00F0203E" w:rsidRPr="008004ED">
        <w:rPr>
          <w:rFonts w:ascii="Arial" w:eastAsia="Times New Roman" w:hAnsi="Arial" w:cs="Arial"/>
          <w:color w:val="00001E"/>
          <w:sz w:val="24"/>
          <w:szCs w:val="24"/>
          <w:lang w:val="en-US"/>
        </w:rPr>
        <w:t>’</w:t>
      </w:r>
      <w:r w:rsidR="001E6382">
        <w:rPr>
          <w:rFonts w:ascii="Arial" w:eastAsia="Times New Roman" w:hAnsi="Arial" w:cs="Arial"/>
          <w:color w:val="00001E"/>
          <w:sz w:val="24"/>
          <w:szCs w:val="24"/>
          <w:lang w:val="en-US"/>
        </w:rPr>
        <w:t xml:space="preserve"> </w:t>
      </w:r>
      <w:r w:rsidR="00F0203E" w:rsidRPr="008004ED">
        <w:rPr>
          <w:rFonts w:ascii="Arial" w:eastAsia="Times New Roman" w:hAnsi="Arial" w:cs="Arial"/>
          <w:color w:val="00001E"/>
          <w:sz w:val="24"/>
          <w:szCs w:val="24"/>
          <w:lang w:val="en-US"/>
        </w:rPr>
        <w:t xml:space="preserve">where resulting company is </w:t>
      </w:r>
      <w:r w:rsidRPr="008004ED">
        <w:rPr>
          <w:rFonts w:ascii="Arial" w:eastAsia="Times New Roman" w:hAnsi="Arial" w:cs="Arial"/>
          <w:color w:val="00001E"/>
          <w:sz w:val="24"/>
          <w:szCs w:val="24"/>
          <w:lang w:val="en-US"/>
        </w:rPr>
        <w:t>an Indian company.</w:t>
      </w:r>
    </w:p>
    <w:p w:rsidR="001B038A" w:rsidRPr="008004ED" w:rsidRDefault="001B038A"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Similar exemption is also provided </w:t>
      </w:r>
      <w:r w:rsidR="00016404" w:rsidRPr="008004ED">
        <w:rPr>
          <w:rFonts w:ascii="Arial" w:eastAsia="Times New Roman" w:hAnsi="Arial" w:cs="Arial"/>
          <w:color w:val="00001E"/>
          <w:sz w:val="24"/>
          <w:szCs w:val="24"/>
          <w:lang w:val="en-US"/>
        </w:rPr>
        <w:t>in s.47(</w:t>
      </w:r>
      <w:proofErr w:type="spellStart"/>
      <w:r w:rsidR="008434B9" w:rsidRPr="008004ED">
        <w:rPr>
          <w:rFonts w:ascii="Arial" w:eastAsia="Times New Roman" w:hAnsi="Arial" w:cs="Arial"/>
          <w:color w:val="00001E"/>
          <w:sz w:val="24"/>
          <w:szCs w:val="24"/>
          <w:lang w:val="en-US"/>
        </w:rPr>
        <w:t>vic</w:t>
      </w:r>
      <w:proofErr w:type="spellEnd"/>
      <w:r w:rsidR="008434B9" w:rsidRPr="008004ED">
        <w:rPr>
          <w:rFonts w:ascii="Arial" w:eastAsia="Times New Roman" w:hAnsi="Arial" w:cs="Arial"/>
          <w:color w:val="00001E"/>
          <w:sz w:val="24"/>
          <w:szCs w:val="24"/>
          <w:lang w:val="en-US"/>
        </w:rPr>
        <w:t xml:space="preserve">) </w:t>
      </w:r>
      <w:proofErr w:type="spellStart"/>
      <w:r w:rsidRPr="008004ED">
        <w:rPr>
          <w:rFonts w:ascii="Arial" w:eastAsia="Times New Roman" w:hAnsi="Arial" w:cs="Arial"/>
          <w:color w:val="00001E"/>
          <w:sz w:val="24"/>
          <w:szCs w:val="24"/>
          <w:lang w:val="en-US"/>
        </w:rPr>
        <w:t>w.r.t</w:t>
      </w:r>
      <w:proofErr w:type="spellEnd"/>
      <w:r w:rsidRPr="008004ED">
        <w:rPr>
          <w:rFonts w:ascii="Arial" w:eastAsia="Times New Roman" w:hAnsi="Arial" w:cs="Arial"/>
          <w:color w:val="00001E"/>
          <w:sz w:val="24"/>
          <w:szCs w:val="24"/>
          <w:lang w:val="en-US"/>
        </w:rPr>
        <w:t xml:space="preserve">. capital gains arising from transfer of shares of an Indian Company or shares of a foreign company deriving substantial value from shares of an Indian company, held by the demerged foreign company to the </w:t>
      </w:r>
      <w:r w:rsidR="00C736E1" w:rsidRPr="008004ED">
        <w:rPr>
          <w:rFonts w:ascii="Arial" w:eastAsia="Times New Roman" w:hAnsi="Arial" w:cs="Arial"/>
          <w:color w:val="00001E"/>
          <w:sz w:val="24"/>
          <w:szCs w:val="24"/>
          <w:lang w:val="en-US"/>
        </w:rPr>
        <w:t xml:space="preserve">foreign </w:t>
      </w:r>
      <w:r w:rsidRPr="008004ED">
        <w:rPr>
          <w:rFonts w:ascii="Arial" w:eastAsia="Times New Roman" w:hAnsi="Arial" w:cs="Arial"/>
          <w:color w:val="00001E"/>
          <w:sz w:val="24"/>
          <w:szCs w:val="24"/>
          <w:lang w:val="en-US"/>
        </w:rPr>
        <w:t>resulting company.</w:t>
      </w:r>
    </w:p>
    <w:p w:rsidR="001B038A" w:rsidRPr="008004ED" w:rsidRDefault="001B038A"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For this purpose, the term </w:t>
      </w:r>
      <w:r w:rsidR="001D446B" w:rsidRPr="008004ED">
        <w:rPr>
          <w:rFonts w:ascii="Arial" w:eastAsia="Times New Roman" w:hAnsi="Arial" w:cs="Arial"/>
          <w:color w:val="00001E"/>
          <w:sz w:val="24"/>
          <w:szCs w:val="24"/>
          <w:lang w:val="en-US"/>
        </w:rPr>
        <w:t>‘</w:t>
      </w:r>
      <w:r w:rsidRPr="008004ED">
        <w:rPr>
          <w:rFonts w:ascii="Arial" w:eastAsia="Times New Roman" w:hAnsi="Arial" w:cs="Arial"/>
          <w:color w:val="00001E"/>
          <w:sz w:val="24"/>
          <w:szCs w:val="24"/>
          <w:lang w:val="en-US"/>
        </w:rPr>
        <w:t>demerger</w:t>
      </w:r>
      <w:r w:rsidR="001D446B" w:rsidRPr="008004ED">
        <w:rPr>
          <w:rFonts w:ascii="Arial" w:eastAsia="Times New Roman" w:hAnsi="Arial" w:cs="Arial"/>
          <w:color w:val="00001E"/>
          <w:sz w:val="24"/>
          <w:szCs w:val="24"/>
          <w:lang w:val="en-US"/>
        </w:rPr>
        <w:t>’</w:t>
      </w:r>
      <w:r w:rsidRPr="008004ED">
        <w:rPr>
          <w:rFonts w:ascii="Arial" w:eastAsia="Times New Roman" w:hAnsi="Arial" w:cs="Arial"/>
          <w:color w:val="00001E"/>
          <w:sz w:val="24"/>
          <w:szCs w:val="24"/>
          <w:lang w:val="en-US"/>
        </w:rPr>
        <w:t xml:space="preserve"> is defined in </w:t>
      </w:r>
      <w:r w:rsidR="00E60BBA" w:rsidRPr="008004ED">
        <w:rPr>
          <w:rFonts w:ascii="Arial" w:eastAsia="Times New Roman" w:hAnsi="Arial" w:cs="Arial"/>
          <w:color w:val="00001E"/>
          <w:sz w:val="24"/>
          <w:szCs w:val="24"/>
          <w:lang w:val="en-US"/>
        </w:rPr>
        <w:t>s</w:t>
      </w:r>
      <w:r w:rsidRPr="008004ED">
        <w:rPr>
          <w:rFonts w:ascii="Arial" w:eastAsia="Times New Roman" w:hAnsi="Arial" w:cs="Arial"/>
          <w:color w:val="00001E"/>
          <w:sz w:val="24"/>
          <w:szCs w:val="24"/>
          <w:lang w:val="en-US"/>
        </w:rPr>
        <w:t xml:space="preserve">. 2(19AA) to mean a transfer of one or more </w:t>
      </w:r>
      <w:r w:rsidR="001D446B" w:rsidRPr="008004ED">
        <w:rPr>
          <w:rFonts w:ascii="Arial" w:eastAsia="Times New Roman" w:hAnsi="Arial" w:cs="Arial"/>
          <w:color w:val="00001E"/>
          <w:sz w:val="24"/>
          <w:szCs w:val="24"/>
          <w:lang w:val="en-US"/>
        </w:rPr>
        <w:t>‘</w:t>
      </w:r>
      <w:r w:rsidRPr="008004ED">
        <w:rPr>
          <w:rFonts w:ascii="Arial" w:eastAsia="Times New Roman" w:hAnsi="Arial" w:cs="Arial"/>
          <w:color w:val="00001E"/>
          <w:sz w:val="24"/>
          <w:szCs w:val="24"/>
          <w:lang w:val="en-US"/>
        </w:rPr>
        <w:t>undertakings</w:t>
      </w:r>
      <w:r w:rsidR="001D446B" w:rsidRPr="008004ED">
        <w:rPr>
          <w:rFonts w:ascii="Arial" w:eastAsia="Times New Roman" w:hAnsi="Arial" w:cs="Arial"/>
          <w:color w:val="00001E"/>
          <w:sz w:val="24"/>
          <w:szCs w:val="24"/>
          <w:lang w:val="en-US"/>
        </w:rPr>
        <w:t>’</w:t>
      </w:r>
      <w:r w:rsidRPr="008004ED">
        <w:rPr>
          <w:rFonts w:ascii="Arial" w:eastAsia="Times New Roman" w:hAnsi="Arial" w:cs="Arial"/>
          <w:color w:val="00001E"/>
          <w:sz w:val="24"/>
          <w:szCs w:val="24"/>
          <w:lang w:val="en-US"/>
        </w:rPr>
        <w:t xml:space="preserve"> by the demerged company to a resulting company subject to satisfaction of conditions specified therein.</w:t>
      </w:r>
    </w:p>
    <w:p w:rsidR="001B038A" w:rsidRPr="008004ED" w:rsidRDefault="001B038A"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Explanation 1 to </w:t>
      </w:r>
      <w:r w:rsidR="00E60BBA" w:rsidRPr="008004ED">
        <w:rPr>
          <w:rFonts w:ascii="Arial" w:eastAsia="Times New Roman" w:hAnsi="Arial" w:cs="Arial"/>
          <w:color w:val="00001E"/>
          <w:sz w:val="24"/>
          <w:szCs w:val="24"/>
          <w:lang w:val="en-US"/>
        </w:rPr>
        <w:t>s</w:t>
      </w:r>
      <w:r w:rsidRPr="008004ED">
        <w:rPr>
          <w:rFonts w:ascii="Arial" w:eastAsia="Times New Roman" w:hAnsi="Arial" w:cs="Arial"/>
          <w:color w:val="00001E"/>
          <w:sz w:val="24"/>
          <w:szCs w:val="24"/>
          <w:lang w:val="en-US"/>
        </w:rPr>
        <w:t xml:space="preserve">. 2(19AA) defines </w:t>
      </w:r>
      <w:r w:rsidR="001D446B" w:rsidRPr="008004ED">
        <w:rPr>
          <w:rFonts w:ascii="Arial" w:eastAsia="Times New Roman" w:hAnsi="Arial" w:cs="Arial"/>
          <w:color w:val="00001E"/>
          <w:sz w:val="24"/>
          <w:szCs w:val="24"/>
          <w:lang w:val="en-US"/>
        </w:rPr>
        <w:t>‘</w:t>
      </w:r>
      <w:r w:rsidRPr="008004ED">
        <w:rPr>
          <w:rFonts w:ascii="Arial" w:eastAsia="Times New Roman" w:hAnsi="Arial" w:cs="Arial"/>
          <w:color w:val="00001E"/>
          <w:sz w:val="24"/>
          <w:szCs w:val="24"/>
          <w:lang w:val="en-US"/>
        </w:rPr>
        <w:t>undertaking</w:t>
      </w:r>
      <w:r w:rsidR="001D446B" w:rsidRPr="008004ED">
        <w:rPr>
          <w:rFonts w:ascii="Arial" w:eastAsia="Times New Roman" w:hAnsi="Arial" w:cs="Arial"/>
          <w:color w:val="00001E"/>
          <w:sz w:val="24"/>
          <w:szCs w:val="24"/>
          <w:lang w:val="en-US"/>
        </w:rPr>
        <w:t>’</w:t>
      </w:r>
      <w:r w:rsidRPr="008004ED">
        <w:rPr>
          <w:rFonts w:ascii="Arial" w:eastAsia="Times New Roman" w:hAnsi="Arial" w:cs="Arial"/>
          <w:color w:val="00001E"/>
          <w:sz w:val="24"/>
          <w:szCs w:val="24"/>
          <w:lang w:val="en-US"/>
        </w:rPr>
        <w:t xml:space="preserve"> to include any part of an undertaking, or a unit or division of an undertaking or a business activity taken as a whole but specifically excludes individual assets or liabilities or any combination thereof not constituting a business activity</w:t>
      </w:r>
      <w:r w:rsidR="00CF14EA" w:rsidRPr="008004ED">
        <w:rPr>
          <w:rFonts w:ascii="Arial" w:eastAsia="Times New Roman" w:hAnsi="Arial" w:cs="Arial"/>
          <w:color w:val="00001E"/>
          <w:sz w:val="24"/>
          <w:szCs w:val="24"/>
          <w:lang w:val="en-US"/>
        </w:rPr>
        <w:t>.</w:t>
      </w:r>
    </w:p>
    <w:p w:rsidR="001B038A" w:rsidRPr="008004ED" w:rsidRDefault="001B038A" w:rsidP="00D30D0A">
      <w:pPr>
        <w:pStyle w:val="ListParagraph"/>
        <w:spacing w:after="240" w:line="276" w:lineRule="auto"/>
        <w:ind w:left="567"/>
        <w:contextualSpacing w:val="0"/>
        <w:jc w:val="both"/>
        <w:rPr>
          <w:rFonts w:ascii="Arial" w:eastAsia="Times New Roman" w:hAnsi="Arial" w:cs="Arial"/>
          <w:b/>
          <w:color w:val="00001E"/>
          <w:sz w:val="24"/>
          <w:szCs w:val="24"/>
          <w:u w:val="single"/>
          <w:lang w:val="en-US"/>
        </w:rPr>
      </w:pPr>
      <w:r w:rsidRPr="008004ED">
        <w:rPr>
          <w:rFonts w:ascii="Arial" w:eastAsia="Times New Roman" w:hAnsi="Arial" w:cs="Arial"/>
          <w:b/>
          <w:color w:val="00001E"/>
          <w:sz w:val="24"/>
          <w:szCs w:val="24"/>
          <w:u w:val="single"/>
          <w:lang w:val="en-US"/>
        </w:rPr>
        <w:t>Issue</w:t>
      </w:r>
    </w:p>
    <w:p w:rsidR="00080AD0" w:rsidRPr="008004ED" w:rsidRDefault="00080AD0"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In many cases, businesses are housed in an operating subsidiary company for regulatory or commercial reasons. </w:t>
      </w:r>
    </w:p>
    <w:p w:rsidR="002D171F" w:rsidRPr="008004ED" w:rsidRDefault="0064147F"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For instance, e</w:t>
      </w:r>
      <w:r w:rsidR="00CF14EA" w:rsidRPr="008004ED">
        <w:rPr>
          <w:rFonts w:ascii="Arial" w:eastAsia="Times New Roman" w:hAnsi="Arial" w:cs="Arial"/>
          <w:color w:val="00001E"/>
          <w:sz w:val="24"/>
          <w:szCs w:val="24"/>
          <w:lang w:val="en-US"/>
        </w:rPr>
        <w:t xml:space="preserve">xtant </w:t>
      </w:r>
      <w:r w:rsidR="00F44592" w:rsidRPr="008004ED">
        <w:rPr>
          <w:rFonts w:ascii="Arial" w:eastAsia="Times New Roman" w:hAnsi="Arial" w:cs="Arial"/>
          <w:color w:val="00001E"/>
          <w:sz w:val="24"/>
          <w:szCs w:val="24"/>
          <w:lang w:val="en-US"/>
        </w:rPr>
        <w:t xml:space="preserve">RBI </w:t>
      </w:r>
      <w:r w:rsidRPr="008004ED">
        <w:rPr>
          <w:rFonts w:ascii="Arial" w:eastAsia="Times New Roman" w:hAnsi="Arial" w:cs="Arial"/>
          <w:color w:val="00001E"/>
          <w:sz w:val="24"/>
          <w:szCs w:val="24"/>
          <w:lang w:val="en-US"/>
        </w:rPr>
        <w:t xml:space="preserve">or IRDA or SEBI guidelines </w:t>
      </w:r>
      <w:r w:rsidR="00F44592" w:rsidRPr="008004ED">
        <w:rPr>
          <w:rFonts w:ascii="Arial" w:eastAsia="Times New Roman" w:hAnsi="Arial" w:cs="Arial"/>
          <w:color w:val="00001E"/>
          <w:sz w:val="24"/>
          <w:szCs w:val="24"/>
          <w:lang w:val="en-US"/>
        </w:rPr>
        <w:t>do not permit banking</w:t>
      </w:r>
      <w:r w:rsidRPr="008004ED">
        <w:rPr>
          <w:rFonts w:ascii="Arial" w:eastAsia="Times New Roman" w:hAnsi="Arial" w:cs="Arial"/>
          <w:color w:val="00001E"/>
          <w:sz w:val="24"/>
          <w:szCs w:val="24"/>
          <w:lang w:val="en-US"/>
        </w:rPr>
        <w:t>, NBFC,</w:t>
      </w:r>
      <w:r w:rsidR="00F44592" w:rsidRPr="008004ED">
        <w:rPr>
          <w:rFonts w:ascii="Arial" w:eastAsia="Times New Roman" w:hAnsi="Arial" w:cs="Arial"/>
          <w:color w:val="00001E"/>
          <w:sz w:val="24"/>
          <w:szCs w:val="24"/>
          <w:lang w:val="en-US"/>
        </w:rPr>
        <w:t xml:space="preserve"> insurance </w:t>
      </w:r>
      <w:r w:rsidRPr="008004ED">
        <w:rPr>
          <w:rFonts w:ascii="Arial" w:eastAsia="Times New Roman" w:hAnsi="Arial" w:cs="Arial"/>
          <w:color w:val="00001E"/>
          <w:sz w:val="24"/>
          <w:szCs w:val="24"/>
          <w:lang w:val="en-US"/>
        </w:rPr>
        <w:t xml:space="preserve">or </w:t>
      </w:r>
      <w:r w:rsidR="002D171F" w:rsidRPr="008004ED">
        <w:rPr>
          <w:rFonts w:ascii="Arial" w:eastAsia="Times New Roman" w:hAnsi="Arial" w:cs="Arial"/>
          <w:color w:val="00001E"/>
          <w:sz w:val="24"/>
          <w:szCs w:val="24"/>
          <w:lang w:val="en-US"/>
        </w:rPr>
        <w:t xml:space="preserve">AMC </w:t>
      </w:r>
      <w:r w:rsidR="00F44592" w:rsidRPr="008004ED">
        <w:rPr>
          <w:rFonts w:ascii="Arial" w:eastAsia="Times New Roman" w:hAnsi="Arial" w:cs="Arial"/>
          <w:color w:val="00001E"/>
          <w:sz w:val="24"/>
          <w:szCs w:val="24"/>
          <w:lang w:val="en-US"/>
        </w:rPr>
        <w:t xml:space="preserve">business to be undertaken </w:t>
      </w:r>
      <w:r w:rsidR="002D171F" w:rsidRPr="008004ED">
        <w:rPr>
          <w:rFonts w:ascii="Arial" w:eastAsia="Times New Roman" w:hAnsi="Arial" w:cs="Arial"/>
          <w:color w:val="00001E"/>
          <w:sz w:val="24"/>
          <w:szCs w:val="24"/>
          <w:lang w:val="en-US"/>
        </w:rPr>
        <w:t xml:space="preserve">along with any other business activity </w:t>
      </w:r>
      <w:r w:rsidR="00F44592" w:rsidRPr="008004ED">
        <w:rPr>
          <w:rFonts w:ascii="Arial" w:eastAsia="Times New Roman" w:hAnsi="Arial" w:cs="Arial"/>
          <w:color w:val="00001E"/>
          <w:sz w:val="24"/>
          <w:szCs w:val="24"/>
          <w:lang w:val="en-US"/>
        </w:rPr>
        <w:t>under the same legal entity.</w:t>
      </w:r>
      <w:r w:rsidR="008F47DE" w:rsidRPr="008004ED">
        <w:rPr>
          <w:rFonts w:ascii="Arial" w:eastAsia="Times New Roman" w:hAnsi="Arial" w:cs="Arial"/>
          <w:color w:val="00001E"/>
          <w:sz w:val="24"/>
          <w:szCs w:val="24"/>
          <w:lang w:val="en-US"/>
        </w:rPr>
        <w:t xml:space="preserve"> Any business group desiring to </w:t>
      </w:r>
      <w:r w:rsidR="00AA184C" w:rsidRPr="008004ED">
        <w:rPr>
          <w:rFonts w:ascii="Arial" w:eastAsia="Times New Roman" w:hAnsi="Arial" w:cs="Arial"/>
          <w:color w:val="00001E"/>
          <w:sz w:val="24"/>
          <w:szCs w:val="24"/>
          <w:lang w:val="en-US"/>
        </w:rPr>
        <w:t xml:space="preserve">enter any such regulated business is required to set up a </w:t>
      </w:r>
      <w:proofErr w:type="gramStart"/>
      <w:r w:rsidR="00AA184C" w:rsidRPr="008004ED">
        <w:rPr>
          <w:rFonts w:ascii="Arial" w:eastAsia="Times New Roman" w:hAnsi="Arial" w:cs="Arial"/>
          <w:color w:val="00001E"/>
          <w:sz w:val="24"/>
          <w:szCs w:val="24"/>
          <w:lang w:val="en-US"/>
        </w:rPr>
        <w:t>separate</w:t>
      </w:r>
      <w:proofErr w:type="gramEnd"/>
      <w:r w:rsidR="00AA184C" w:rsidRPr="008004ED">
        <w:rPr>
          <w:rFonts w:ascii="Arial" w:eastAsia="Times New Roman" w:hAnsi="Arial" w:cs="Arial"/>
          <w:color w:val="00001E"/>
          <w:sz w:val="24"/>
          <w:szCs w:val="24"/>
          <w:lang w:val="en-US"/>
        </w:rPr>
        <w:t xml:space="preserve"> SPV/subsidiary </w:t>
      </w:r>
      <w:r w:rsidR="00F5677B" w:rsidRPr="008004ED">
        <w:rPr>
          <w:rFonts w:ascii="Arial" w:eastAsia="Times New Roman" w:hAnsi="Arial" w:cs="Arial"/>
          <w:color w:val="00001E"/>
          <w:sz w:val="24"/>
          <w:szCs w:val="24"/>
          <w:lang w:val="en-US"/>
        </w:rPr>
        <w:t>to undertake such business.</w:t>
      </w:r>
    </w:p>
    <w:p w:rsidR="00F5677B" w:rsidRPr="008004ED" w:rsidRDefault="00F5677B"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Similarly, in infrastructure sector, </w:t>
      </w:r>
      <w:r w:rsidR="007449AF" w:rsidRPr="008004ED">
        <w:rPr>
          <w:rFonts w:ascii="Arial" w:eastAsia="Times New Roman" w:hAnsi="Arial" w:cs="Arial"/>
          <w:color w:val="00001E"/>
          <w:sz w:val="24"/>
          <w:szCs w:val="24"/>
          <w:lang w:val="en-US"/>
        </w:rPr>
        <w:t xml:space="preserve">separate SPVs are required to be set up for executing individual infrastructure projects due to mandate of tender conditions </w:t>
      </w:r>
      <w:r w:rsidR="00D1751E" w:rsidRPr="008004ED">
        <w:rPr>
          <w:rFonts w:ascii="Arial" w:eastAsia="Times New Roman" w:hAnsi="Arial" w:cs="Arial"/>
          <w:color w:val="00001E"/>
          <w:sz w:val="24"/>
          <w:szCs w:val="24"/>
          <w:lang w:val="en-US"/>
        </w:rPr>
        <w:t>issued by NHAI.</w:t>
      </w:r>
    </w:p>
    <w:p w:rsidR="00D1751E" w:rsidRPr="008004ED" w:rsidRDefault="00D1751E"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Even commercially, business groups find it more expedient to commence any new business within the fold of a new </w:t>
      </w:r>
      <w:r w:rsidR="00C95286" w:rsidRPr="008004ED">
        <w:rPr>
          <w:rFonts w:ascii="Arial" w:eastAsia="Times New Roman" w:hAnsi="Arial" w:cs="Arial"/>
          <w:color w:val="00001E"/>
          <w:sz w:val="24"/>
          <w:szCs w:val="24"/>
          <w:lang w:val="en-US"/>
        </w:rPr>
        <w:t xml:space="preserve">subsidiary </w:t>
      </w:r>
      <w:r w:rsidR="002F40BE" w:rsidRPr="008004ED">
        <w:rPr>
          <w:rFonts w:ascii="Arial" w:eastAsia="Times New Roman" w:hAnsi="Arial" w:cs="Arial"/>
          <w:color w:val="00001E"/>
          <w:sz w:val="24"/>
          <w:szCs w:val="24"/>
          <w:lang w:val="en-US"/>
        </w:rPr>
        <w:t xml:space="preserve">for diverse reasons </w:t>
      </w:r>
      <w:proofErr w:type="gramStart"/>
      <w:r w:rsidR="002F40BE" w:rsidRPr="008004ED">
        <w:rPr>
          <w:rFonts w:ascii="Arial" w:eastAsia="Times New Roman" w:hAnsi="Arial" w:cs="Arial"/>
          <w:color w:val="00001E"/>
          <w:sz w:val="24"/>
          <w:szCs w:val="24"/>
          <w:lang w:val="en-US"/>
        </w:rPr>
        <w:lastRenderedPageBreak/>
        <w:t>like</w:t>
      </w:r>
      <w:proofErr w:type="gramEnd"/>
      <w:r w:rsidR="002F40BE" w:rsidRPr="008004ED">
        <w:rPr>
          <w:rFonts w:ascii="Arial" w:eastAsia="Times New Roman" w:hAnsi="Arial" w:cs="Arial"/>
          <w:color w:val="00001E"/>
          <w:sz w:val="24"/>
          <w:szCs w:val="24"/>
          <w:lang w:val="en-US"/>
        </w:rPr>
        <w:t xml:space="preserve"> </w:t>
      </w:r>
      <w:r w:rsidR="00EE19EF" w:rsidRPr="008004ED">
        <w:rPr>
          <w:rFonts w:ascii="Arial" w:eastAsia="Times New Roman" w:hAnsi="Arial" w:cs="Arial"/>
          <w:color w:val="00001E"/>
          <w:sz w:val="24"/>
          <w:szCs w:val="24"/>
          <w:lang w:val="en-US"/>
        </w:rPr>
        <w:t>protection</w:t>
      </w:r>
      <w:r w:rsidR="001E6382">
        <w:rPr>
          <w:rFonts w:ascii="Arial" w:eastAsia="Times New Roman" w:hAnsi="Arial" w:cs="Arial"/>
          <w:color w:val="00001E"/>
          <w:sz w:val="24"/>
          <w:szCs w:val="24"/>
          <w:lang w:val="en-US"/>
        </w:rPr>
        <w:t xml:space="preserve"> </w:t>
      </w:r>
      <w:r w:rsidR="003739F2" w:rsidRPr="008004ED">
        <w:rPr>
          <w:rFonts w:ascii="Arial" w:eastAsia="Times New Roman" w:hAnsi="Arial" w:cs="Arial"/>
          <w:color w:val="00001E"/>
          <w:sz w:val="24"/>
          <w:szCs w:val="24"/>
          <w:lang w:val="en-US"/>
        </w:rPr>
        <w:t>of</w:t>
      </w:r>
      <w:r w:rsidR="001E6382">
        <w:rPr>
          <w:rFonts w:ascii="Arial" w:eastAsia="Times New Roman" w:hAnsi="Arial" w:cs="Arial"/>
          <w:color w:val="00001E"/>
          <w:sz w:val="24"/>
          <w:szCs w:val="24"/>
          <w:lang w:val="en-US"/>
        </w:rPr>
        <w:t xml:space="preserve"> </w:t>
      </w:r>
      <w:r w:rsidR="003739F2" w:rsidRPr="008004ED">
        <w:rPr>
          <w:rFonts w:ascii="Arial" w:eastAsia="Times New Roman" w:hAnsi="Arial" w:cs="Arial"/>
          <w:color w:val="00001E"/>
          <w:sz w:val="24"/>
          <w:szCs w:val="24"/>
          <w:lang w:val="en-US"/>
        </w:rPr>
        <w:t xml:space="preserve">existing business </w:t>
      </w:r>
      <w:r w:rsidR="00EE19EF" w:rsidRPr="008004ED">
        <w:rPr>
          <w:rFonts w:ascii="Arial" w:eastAsia="Times New Roman" w:hAnsi="Arial" w:cs="Arial"/>
          <w:color w:val="00001E"/>
          <w:sz w:val="24"/>
          <w:szCs w:val="24"/>
          <w:lang w:val="en-US"/>
        </w:rPr>
        <w:t xml:space="preserve">from risks of new </w:t>
      </w:r>
      <w:r w:rsidR="00C95286" w:rsidRPr="008004ED">
        <w:rPr>
          <w:rFonts w:ascii="Arial" w:eastAsia="Times New Roman" w:hAnsi="Arial" w:cs="Arial"/>
          <w:color w:val="00001E"/>
          <w:sz w:val="24"/>
          <w:szCs w:val="24"/>
          <w:lang w:val="en-US"/>
        </w:rPr>
        <w:t>business</w:t>
      </w:r>
      <w:r w:rsidR="00E476C9" w:rsidRPr="008004ED">
        <w:rPr>
          <w:rFonts w:ascii="Arial" w:eastAsia="Times New Roman" w:hAnsi="Arial" w:cs="Arial"/>
          <w:color w:val="00001E"/>
          <w:sz w:val="24"/>
          <w:szCs w:val="24"/>
          <w:lang w:val="en-US"/>
        </w:rPr>
        <w:t xml:space="preserve">, </w:t>
      </w:r>
      <w:r w:rsidR="00FB013D" w:rsidRPr="008004ED">
        <w:rPr>
          <w:rFonts w:ascii="Arial" w:eastAsia="Times New Roman" w:hAnsi="Arial" w:cs="Arial"/>
          <w:color w:val="00001E"/>
          <w:sz w:val="24"/>
          <w:szCs w:val="24"/>
          <w:lang w:val="en-US"/>
        </w:rPr>
        <w:t>invite PE investors</w:t>
      </w:r>
      <w:r w:rsidR="002F40BE" w:rsidRPr="008004ED">
        <w:rPr>
          <w:rFonts w:ascii="Arial" w:eastAsia="Times New Roman" w:hAnsi="Arial" w:cs="Arial"/>
          <w:color w:val="00001E"/>
          <w:sz w:val="24"/>
          <w:szCs w:val="24"/>
          <w:lang w:val="en-US"/>
        </w:rPr>
        <w:t>, ease of divestment, etc.</w:t>
      </w:r>
    </w:p>
    <w:p w:rsidR="00AC1993" w:rsidRPr="008004ED" w:rsidRDefault="00077FED"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In this regard, it may be noted that, while the </w:t>
      </w:r>
      <w:r w:rsidR="007325F5" w:rsidRPr="008004ED">
        <w:rPr>
          <w:rFonts w:ascii="Arial" w:eastAsia="Times New Roman" w:hAnsi="Arial" w:cs="Arial"/>
          <w:color w:val="00001E"/>
          <w:sz w:val="24"/>
          <w:szCs w:val="24"/>
          <w:lang w:val="en-US"/>
        </w:rPr>
        <w:t xml:space="preserve">business/ </w:t>
      </w:r>
      <w:r w:rsidRPr="008004ED">
        <w:rPr>
          <w:rFonts w:ascii="Arial" w:eastAsia="Times New Roman" w:hAnsi="Arial" w:cs="Arial"/>
          <w:color w:val="00001E"/>
          <w:sz w:val="24"/>
          <w:szCs w:val="24"/>
          <w:lang w:val="en-US"/>
        </w:rPr>
        <w:t xml:space="preserve">project may be </w:t>
      </w:r>
      <w:r w:rsidR="007325F5" w:rsidRPr="008004ED">
        <w:rPr>
          <w:rFonts w:ascii="Arial" w:eastAsia="Times New Roman" w:hAnsi="Arial" w:cs="Arial"/>
          <w:color w:val="00001E"/>
          <w:sz w:val="24"/>
          <w:szCs w:val="24"/>
          <w:lang w:val="en-US"/>
        </w:rPr>
        <w:t>housed</w:t>
      </w:r>
      <w:r w:rsidR="004E2172">
        <w:rPr>
          <w:rFonts w:ascii="Arial" w:eastAsia="Times New Roman" w:hAnsi="Arial" w:cs="Arial"/>
          <w:color w:val="00001E"/>
          <w:sz w:val="24"/>
          <w:szCs w:val="24"/>
          <w:lang w:val="en-US"/>
        </w:rPr>
        <w:t xml:space="preserve"> </w:t>
      </w:r>
      <w:r w:rsidR="007325F5" w:rsidRPr="008004ED">
        <w:rPr>
          <w:rFonts w:ascii="Arial" w:eastAsia="Times New Roman" w:hAnsi="Arial" w:cs="Arial"/>
          <w:color w:val="00001E"/>
          <w:sz w:val="24"/>
          <w:szCs w:val="24"/>
          <w:lang w:val="en-US"/>
        </w:rPr>
        <w:t>in</w:t>
      </w:r>
      <w:r w:rsidRPr="008004ED">
        <w:rPr>
          <w:rFonts w:ascii="Arial" w:eastAsia="Times New Roman" w:hAnsi="Arial" w:cs="Arial"/>
          <w:color w:val="00001E"/>
          <w:sz w:val="24"/>
          <w:szCs w:val="24"/>
          <w:lang w:val="en-US"/>
        </w:rPr>
        <w:t xml:space="preserve"> a separate </w:t>
      </w:r>
      <w:r w:rsidR="007325F5" w:rsidRPr="008004ED">
        <w:rPr>
          <w:rFonts w:ascii="Arial" w:eastAsia="Times New Roman" w:hAnsi="Arial" w:cs="Arial"/>
          <w:color w:val="00001E"/>
          <w:sz w:val="24"/>
          <w:szCs w:val="24"/>
          <w:lang w:val="en-US"/>
        </w:rPr>
        <w:t>subsidiary/SPV</w:t>
      </w:r>
      <w:r w:rsidRPr="008004ED">
        <w:rPr>
          <w:rFonts w:ascii="Arial" w:eastAsia="Times New Roman" w:hAnsi="Arial" w:cs="Arial"/>
          <w:color w:val="00001E"/>
          <w:sz w:val="24"/>
          <w:szCs w:val="24"/>
          <w:lang w:val="en-US"/>
        </w:rPr>
        <w:t xml:space="preserve">, the holding company and its management are actively involved in the business of the SPV. </w:t>
      </w:r>
      <w:r w:rsidR="00AC1993" w:rsidRPr="008004ED">
        <w:rPr>
          <w:rFonts w:ascii="Arial" w:eastAsia="Times New Roman" w:hAnsi="Arial" w:cs="Arial"/>
          <w:color w:val="00001E"/>
          <w:sz w:val="24"/>
          <w:szCs w:val="24"/>
          <w:lang w:val="en-US"/>
        </w:rPr>
        <w:t>The holding company raises borrowing for the SPV through its own cred</w:t>
      </w:r>
      <w:r w:rsidR="000D525A" w:rsidRPr="008004ED">
        <w:rPr>
          <w:rFonts w:ascii="Arial" w:eastAsia="Times New Roman" w:hAnsi="Arial" w:cs="Arial"/>
          <w:color w:val="00001E"/>
          <w:sz w:val="24"/>
          <w:szCs w:val="24"/>
          <w:lang w:val="en-US"/>
        </w:rPr>
        <w:t xml:space="preserve">entials. The financial parameters of the holding company and other subsidiaries </w:t>
      </w:r>
      <w:r w:rsidR="00592555" w:rsidRPr="008004ED">
        <w:rPr>
          <w:rFonts w:ascii="Arial" w:eastAsia="Times New Roman" w:hAnsi="Arial" w:cs="Arial"/>
          <w:color w:val="00001E"/>
          <w:sz w:val="24"/>
          <w:szCs w:val="24"/>
          <w:lang w:val="en-US"/>
        </w:rPr>
        <w:t>like turnover, net worth, work experience, past performance, etc</w:t>
      </w:r>
      <w:r w:rsidR="00E60BBA" w:rsidRPr="008004ED">
        <w:rPr>
          <w:rFonts w:ascii="Arial" w:eastAsia="Times New Roman" w:hAnsi="Arial" w:cs="Arial"/>
          <w:color w:val="00001E"/>
          <w:sz w:val="24"/>
          <w:szCs w:val="24"/>
          <w:lang w:val="en-US"/>
        </w:rPr>
        <w:t xml:space="preserve">. </w:t>
      </w:r>
      <w:r w:rsidR="000D525A" w:rsidRPr="008004ED">
        <w:rPr>
          <w:rFonts w:ascii="Arial" w:eastAsia="Times New Roman" w:hAnsi="Arial" w:cs="Arial"/>
          <w:color w:val="00001E"/>
          <w:sz w:val="24"/>
          <w:szCs w:val="24"/>
          <w:lang w:val="en-US"/>
        </w:rPr>
        <w:t>are considered</w:t>
      </w:r>
      <w:r w:rsidR="00A30F3B" w:rsidRPr="008004ED">
        <w:rPr>
          <w:rFonts w:ascii="Arial" w:eastAsia="Times New Roman" w:hAnsi="Arial" w:cs="Arial"/>
          <w:color w:val="00001E"/>
          <w:sz w:val="24"/>
          <w:szCs w:val="24"/>
          <w:lang w:val="en-US"/>
        </w:rPr>
        <w:t xml:space="preserve"> for granting new projects to SPV.</w:t>
      </w:r>
      <w:r w:rsidR="0073579A" w:rsidRPr="008004ED">
        <w:rPr>
          <w:rFonts w:ascii="Arial" w:eastAsia="Times New Roman" w:hAnsi="Arial" w:cs="Arial"/>
          <w:color w:val="00001E"/>
          <w:sz w:val="24"/>
          <w:szCs w:val="24"/>
          <w:lang w:val="en-US"/>
        </w:rPr>
        <w:t xml:space="preserve"> The operating subsidiary is virtually identified as extension of </w:t>
      </w:r>
      <w:r w:rsidR="00590D60" w:rsidRPr="008004ED">
        <w:rPr>
          <w:rFonts w:ascii="Arial" w:eastAsia="Times New Roman" w:hAnsi="Arial" w:cs="Arial"/>
          <w:color w:val="00001E"/>
          <w:sz w:val="24"/>
          <w:szCs w:val="24"/>
          <w:lang w:val="en-US"/>
        </w:rPr>
        <w:t>business group.</w:t>
      </w:r>
    </w:p>
    <w:p w:rsidR="00077FED" w:rsidRPr="008004ED" w:rsidRDefault="00F41AD1"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proofErr w:type="gramStart"/>
      <w:r w:rsidRPr="008004ED">
        <w:rPr>
          <w:rFonts w:ascii="Arial" w:eastAsia="Times New Roman" w:hAnsi="Arial" w:cs="Arial"/>
          <w:color w:val="00001E"/>
          <w:sz w:val="24"/>
          <w:szCs w:val="24"/>
          <w:lang w:val="en-US"/>
        </w:rPr>
        <w:t>S</w:t>
      </w:r>
      <w:r w:rsidR="00DC5233" w:rsidRPr="008004ED">
        <w:rPr>
          <w:rFonts w:ascii="Arial" w:eastAsia="Times New Roman" w:hAnsi="Arial" w:cs="Arial"/>
          <w:color w:val="00001E"/>
          <w:sz w:val="24"/>
          <w:szCs w:val="24"/>
          <w:lang w:val="en-US"/>
        </w:rPr>
        <w:t>.2(</w:t>
      </w:r>
      <w:proofErr w:type="gramEnd"/>
      <w:r w:rsidR="00DC5233" w:rsidRPr="008004ED">
        <w:rPr>
          <w:rFonts w:ascii="Arial" w:eastAsia="Times New Roman" w:hAnsi="Arial" w:cs="Arial"/>
          <w:color w:val="00001E"/>
          <w:sz w:val="24"/>
          <w:szCs w:val="24"/>
          <w:lang w:val="en-US"/>
        </w:rPr>
        <w:t xml:space="preserve">19AA) </w:t>
      </w:r>
      <w:r w:rsidR="002D4B79" w:rsidRPr="008004ED">
        <w:rPr>
          <w:rFonts w:ascii="Arial" w:eastAsia="Times New Roman" w:hAnsi="Arial" w:cs="Arial"/>
          <w:color w:val="00001E"/>
          <w:sz w:val="24"/>
          <w:szCs w:val="24"/>
          <w:lang w:val="en-US"/>
        </w:rPr>
        <w:t>refers to</w:t>
      </w:r>
      <w:r w:rsidR="00DC5233" w:rsidRPr="008004ED">
        <w:rPr>
          <w:rFonts w:ascii="Arial" w:eastAsia="Times New Roman" w:hAnsi="Arial" w:cs="Arial"/>
          <w:color w:val="00001E"/>
          <w:sz w:val="24"/>
          <w:szCs w:val="24"/>
          <w:lang w:val="en-US"/>
        </w:rPr>
        <w:t xml:space="preserve"> transfer of </w:t>
      </w:r>
      <w:r w:rsidR="005731D8" w:rsidRPr="008004ED">
        <w:rPr>
          <w:rFonts w:ascii="Arial" w:eastAsia="Times New Roman" w:hAnsi="Arial" w:cs="Arial"/>
          <w:color w:val="00001E"/>
          <w:sz w:val="24"/>
          <w:szCs w:val="24"/>
          <w:lang w:val="en-US"/>
        </w:rPr>
        <w:t>a</w:t>
      </w:r>
      <w:r w:rsidR="005D4714" w:rsidRPr="008004ED">
        <w:rPr>
          <w:rFonts w:ascii="Arial" w:eastAsia="Times New Roman" w:hAnsi="Arial" w:cs="Arial"/>
          <w:color w:val="00001E"/>
          <w:sz w:val="24"/>
          <w:szCs w:val="24"/>
          <w:lang w:val="en-US"/>
        </w:rPr>
        <w:t xml:space="preserve">n </w:t>
      </w:r>
      <w:r w:rsidR="00590D60" w:rsidRPr="008004ED">
        <w:rPr>
          <w:rFonts w:ascii="Arial" w:eastAsia="Times New Roman" w:hAnsi="Arial" w:cs="Arial"/>
          <w:color w:val="00001E"/>
          <w:sz w:val="24"/>
          <w:szCs w:val="24"/>
          <w:lang w:val="en-US"/>
        </w:rPr>
        <w:t>‘</w:t>
      </w:r>
      <w:r w:rsidR="005D4714" w:rsidRPr="008004ED">
        <w:rPr>
          <w:rFonts w:ascii="Arial" w:eastAsia="Times New Roman" w:hAnsi="Arial" w:cs="Arial"/>
          <w:color w:val="00001E"/>
          <w:sz w:val="24"/>
          <w:szCs w:val="24"/>
          <w:lang w:val="en-US"/>
        </w:rPr>
        <w:t>undertaking</w:t>
      </w:r>
      <w:r w:rsidR="00590D60" w:rsidRPr="008004ED">
        <w:rPr>
          <w:rFonts w:ascii="Arial" w:eastAsia="Times New Roman" w:hAnsi="Arial" w:cs="Arial"/>
          <w:color w:val="00001E"/>
          <w:sz w:val="24"/>
          <w:szCs w:val="24"/>
          <w:lang w:val="en-US"/>
        </w:rPr>
        <w:t>’</w:t>
      </w:r>
      <w:r w:rsidR="005D4714" w:rsidRPr="008004ED">
        <w:rPr>
          <w:rFonts w:ascii="Arial" w:eastAsia="Times New Roman" w:hAnsi="Arial" w:cs="Arial"/>
          <w:color w:val="00001E"/>
          <w:sz w:val="24"/>
          <w:szCs w:val="24"/>
          <w:lang w:val="en-US"/>
        </w:rPr>
        <w:t xml:space="preserve"> from one company to another. </w:t>
      </w:r>
      <w:r w:rsidR="00877660" w:rsidRPr="008004ED">
        <w:rPr>
          <w:rFonts w:ascii="Arial" w:eastAsia="Times New Roman" w:hAnsi="Arial" w:cs="Arial"/>
          <w:color w:val="00001E"/>
          <w:sz w:val="24"/>
          <w:szCs w:val="24"/>
          <w:lang w:val="en-US"/>
        </w:rPr>
        <w:t>There is an ambiguity whether it</w:t>
      </w:r>
      <w:r w:rsidR="001E6382">
        <w:rPr>
          <w:rFonts w:ascii="Arial" w:eastAsia="Times New Roman" w:hAnsi="Arial" w:cs="Arial"/>
          <w:color w:val="00001E"/>
          <w:sz w:val="24"/>
          <w:szCs w:val="24"/>
          <w:lang w:val="en-US"/>
        </w:rPr>
        <w:t xml:space="preserve"> </w:t>
      </w:r>
      <w:r w:rsidR="00AC448D" w:rsidRPr="008004ED">
        <w:rPr>
          <w:rFonts w:ascii="Arial" w:eastAsia="Times New Roman" w:hAnsi="Arial" w:cs="Arial"/>
          <w:color w:val="00001E"/>
          <w:sz w:val="24"/>
          <w:szCs w:val="24"/>
          <w:lang w:val="en-US"/>
        </w:rPr>
        <w:t>encompasses</w:t>
      </w:r>
      <w:r w:rsidR="005D4714" w:rsidRPr="008004ED">
        <w:rPr>
          <w:rFonts w:ascii="Arial" w:eastAsia="Times New Roman" w:hAnsi="Arial" w:cs="Arial"/>
          <w:color w:val="00001E"/>
          <w:sz w:val="24"/>
          <w:szCs w:val="24"/>
          <w:lang w:val="en-US"/>
        </w:rPr>
        <w:t xml:space="preserve"> ownership of business through operating subsidiary and transfer of shares of such operating subsidiary </w:t>
      </w:r>
      <w:r w:rsidR="00867117" w:rsidRPr="008004ED">
        <w:rPr>
          <w:rFonts w:ascii="Arial" w:eastAsia="Times New Roman" w:hAnsi="Arial" w:cs="Arial"/>
          <w:color w:val="00001E"/>
          <w:sz w:val="24"/>
          <w:szCs w:val="24"/>
          <w:lang w:val="en-US"/>
        </w:rPr>
        <w:t xml:space="preserve">as a mode of </w:t>
      </w:r>
      <w:r w:rsidR="00590D60" w:rsidRPr="008004ED">
        <w:rPr>
          <w:rFonts w:ascii="Arial" w:eastAsia="Times New Roman" w:hAnsi="Arial" w:cs="Arial"/>
          <w:color w:val="00001E"/>
          <w:sz w:val="24"/>
          <w:szCs w:val="24"/>
          <w:lang w:val="en-US"/>
        </w:rPr>
        <w:t>transfer</w:t>
      </w:r>
      <w:r w:rsidR="00867117" w:rsidRPr="008004ED">
        <w:rPr>
          <w:rFonts w:ascii="Arial" w:eastAsia="Times New Roman" w:hAnsi="Arial" w:cs="Arial"/>
          <w:color w:val="00001E"/>
          <w:sz w:val="24"/>
          <w:szCs w:val="24"/>
          <w:lang w:val="en-US"/>
        </w:rPr>
        <w:t xml:space="preserve"> of business.</w:t>
      </w:r>
    </w:p>
    <w:p w:rsidR="00DB109B" w:rsidRPr="008004ED" w:rsidRDefault="0055127A"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More particularly, in regulated businesses, it is difficult to transfer </w:t>
      </w:r>
      <w:r w:rsidR="007B303C" w:rsidRPr="008004ED">
        <w:rPr>
          <w:rFonts w:ascii="Arial" w:eastAsia="Times New Roman" w:hAnsi="Arial" w:cs="Arial"/>
          <w:color w:val="00001E"/>
          <w:sz w:val="24"/>
          <w:szCs w:val="24"/>
          <w:lang w:val="en-US"/>
        </w:rPr>
        <w:t xml:space="preserve">the business from one legal entity to another. </w:t>
      </w:r>
      <w:r w:rsidR="007C7BE3" w:rsidRPr="008004ED">
        <w:rPr>
          <w:rFonts w:ascii="Arial" w:eastAsia="Times New Roman" w:hAnsi="Arial" w:cs="Arial"/>
          <w:color w:val="00001E"/>
          <w:sz w:val="24"/>
          <w:szCs w:val="24"/>
          <w:lang w:val="en-US"/>
        </w:rPr>
        <w:t xml:space="preserve">Even the acquiring business group </w:t>
      </w:r>
      <w:r w:rsidR="0091758C" w:rsidRPr="008004ED">
        <w:rPr>
          <w:rFonts w:ascii="Arial" w:eastAsia="Times New Roman" w:hAnsi="Arial" w:cs="Arial"/>
          <w:color w:val="00001E"/>
          <w:sz w:val="24"/>
          <w:szCs w:val="24"/>
          <w:lang w:val="en-US"/>
        </w:rPr>
        <w:t>is required to house the business activity in a separate company. Hence, t</w:t>
      </w:r>
      <w:r w:rsidR="005439C8" w:rsidRPr="008004ED">
        <w:rPr>
          <w:rFonts w:ascii="Arial" w:eastAsia="Times New Roman" w:hAnsi="Arial" w:cs="Arial"/>
          <w:color w:val="00001E"/>
          <w:sz w:val="24"/>
          <w:szCs w:val="24"/>
          <w:lang w:val="en-US"/>
        </w:rPr>
        <w:t xml:space="preserve">he transfer of shares of the operating subsidiary is </w:t>
      </w:r>
      <w:r w:rsidR="00DB109B" w:rsidRPr="008004ED">
        <w:rPr>
          <w:rFonts w:ascii="Arial" w:eastAsia="Times New Roman" w:hAnsi="Arial" w:cs="Arial"/>
          <w:color w:val="00001E"/>
          <w:sz w:val="24"/>
          <w:szCs w:val="24"/>
          <w:lang w:val="en-US"/>
        </w:rPr>
        <w:t xml:space="preserve">a </w:t>
      </w:r>
      <w:r w:rsidR="005439C8" w:rsidRPr="008004ED">
        <w:rPr>
          <w:rFonts w:ascii="Arial" w:eastAsia="Times New Roman" w:hAnsi="Arial" w:cs="Arial"/>
          <w:color w:val="00001E"/>
          <w:sz w:val="24"/>
          <w:szCs w:val="24"/>
          <w:lang w:val="en-US"/>
        </w:rPr>
        <w:t>more efficient</w:t>
      </w:r>
      <w:r w:rsidR="00DB109B" w:rsidRPr="008004ED">
        <w:rPr>
          <w:rFonts w:ascii="Arial" w:eastAsia="Times New Roman" w:hAnsi="Arial" w:cs="Arial"/>
          <w:color w:val="00001E"/>
          <w:sz w:val="24"/>
          <w:szCs w:val="24"/>
          <w:lang w:val="en-US"/>
        </w:rPr>
        <w:t xml:space="preserve"> mode of hive off of business. </w:t>
      </w:r>
    </w:p>
    <w:p w:rsidR="007723D0" w:rsidRPr="008004ED" w:rsidRDefault="00DB109B"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This also resonates with divestment </w:t>
      </w:r>
      <w:proofErr w:type="spellStart"/>
      <w:r w:rsidRPr="008004ED">
        <w:rPr>
          <w:rFonts w:ascii="Arial" w:eastAsia="Times New Roman" w:hAnsi="Arial" w:cs="Arial"/>
          <w:color w:val="00001E"/>
          <w:sz w:val="24"/>
          <w:szCs w:val="24"/>
          <w:lang w:val="en-US"/>
        </w:rPr>
        <w:t>programme</w:t>
      </w:r>
      <w:proofErr w:type="spellEnd"/>
      <w:r w:rsidRPr="008004ED">
        <w:rPr>
          <w:rFonts w:ascii="Arial" w:eastAsia="Times New Roman" w:hAnsi="Arial" w:cs="Arial"/>
          <w:color w:val="00001E"/>
          <w:sz w:val="24"/>
          <w:szCs w:val="24"/>
          <w:lang w:val="en-US"/>
        </w:rPr>
        <w:t xml:space="preserve"> of Government where Government transfers </w:t>
      </w:r>
      <w:r w:rsidR="005518CF" w:rsidRPr="008004ED">
        <w:rPr>
          <w:rFonts w:ascii="Arial" w:eastAsia="Times New Roman" w:hAnsi="Arial" w:cs="Arial"/>
          <w:color w:val="00001E"/>
          <w:sz w:val="24"/>
          <w:szCs w:val="24"/>
          <w:lang w:val="en-US"/>
        </w:rPr>
        <w:t xml:space="preserve">shares representing controlling interest in an operating company (like Air India) to </w:t>
      </w:r>
      <w:r w:rsidR="000F00A2" w:rsidRPr="008004ED">
        <w:rPr>
          <w:rFonts w:ascii="Arial" w:eastAsia="Times New Roman" w:hAnsi="Arial" w:cs="Arial"/>
          <w:color w:val="00001E"/>
          <w:sz w:val="24"/>
          <w:szCs w:val="24"/>
          <w:lang w:val="en-US"/>
        </w:rPr>
        <w:t xml:space="preserve">successful bidder from private sector instead of transferring the business </w:t>
      </w:r>
      <w:r w:rsidR="007723D0" w:rsidRPr="008004ED">
        <w:rPr>
          <w:rFonts w:ascii="Arial" w:eastAsia="Times New Roman" w:hAnsi="Arial" w:cs="Arial"/>
          <w:color w:val="00001E"/>
          <w:sz w:val="24"/>
          <w:szCs w:val="24"/>
          <w:lang w:val="en-US"/>
        </w:rPr>
        <w:t>from the legal entity.</w:t>
      </w:r>
    </w:p>
    <w:p w:rsidR="00F727C2" w:rsidRPr="008004ED" w:rsidRDefault="00F727C2"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S. 2(19AA) already has protective conditions in respect of </w:t>
      </w:r>
      <w:r w:rsidR="00A643DE" w:rsidRPr="008004ED">
        <w:rPr>
          <w:rFonts w:ascii="Arial" w:eastAsia="Times New Roman" w:hAnsi="Arial" w:cs="Arial"/>
          <w:color w:val="00001E"/>
          <w:sz w:val="24"/>
          <w:szCs w:val="24"/>
          <w:lang w:val="en-US"/>
        </w:rPr>
        <w:t xml:space="preserve">court approved scheme, </w:t>
      </w:r>
      <w:r w:rsidRPr="008004ED">
        <w:rPr>
          <w:rFonts w:ascii="Arial" w:eastAsia="Times New Roman" w:hAnsi="Arial" w:cs="Arial"/>
          <w:color w:val="00001E"/>
          <w:sz w:val="24"/>
          <w:szCs w:val="24"/>
          <w:lang w:val="en-US"/>
        </w:rPr>
        <w:t xml:space="preserve">continuity of business in the form </w:t>
      </w:r>
      <w:r w:rsidR="00C10762" w:rsidRPr="008004ED">
        <w:rPr>
          <w:rFonts w:ascii="Arial" w:eastAsia="Times New Roman" w:hAnsi="Arial" w:cs="Arial"/>
          <w:color w:val="00001E"/>
          <w:sz w:val="24"/>
          <w:szCs w:val="24"/>
          <w:lang w:val="en-US"/>
        </w:rPr>
        <w:t xml:space="preserve">of transfer of all </w:t>
      </w:r>
      <w:r w:rsidRPr="008004ED">
        <w:rPr>
          <w:rFonts w:ascii="Arial" w:eastAsia="Times New Roman" w:hAnsi="Arial" w:cs="Arial"/>
          <w:color w:val="00001E"/>
          <w:sz w:val="24"/>
          <w:szCs w:val="24"/>
          <w:lang w:val="en-US"/>
        </w:rPr>
        <w:t xml:space="preserve">assets and liabilities, going concern requirement, </w:t>
      </w:r>
      <w:r w:rsidR="0015246C" w:rsidRPr="008004ED">
        <w:rPr>
          <w:rFonts w:ascii="Arial" w:eastAsia="Times New Roman" w:hAnsi="Arial" w:cs="Arial"/>
          <w:color w:val="00001E"/>
          <w:sz w:val="24"/>
          <w:szCs w:val="24"/>
          <w:lang w:val="en-US"/>
        </w:rPr>
        <w:t>75% of</w:t>
      </w:r>
      <w:r w:rsidRPr="008004ED">
        <w:rPr>
          <w:rFonts w:ascii="Arial" w:eastAsia="Times New Roman" w:hAnsi="Arial" w:cs="Arial"/>
          <w:color w:val="00001E"/>
          <w:sz w:val="24"/>
          <w:szCs w:val="24"/>
          <w:lang w:val="en-US"/>
        </w:rPr>
        <w:t xml:space="preserve"> shareholders</w:t>
      </w:r>
      <w:r w:rsidR="0015246C" w:rsidRPr="008004ED">
        <w:rPr>
          <w:rFonts w:ascii="Arial" w:eastAsia="Times New Roman" w:hAnsi="Arial" w:cs="Arial"/>
          <w:color w:val="00001E"/>
          <w:sz w:val="24"/>
          <w:szCs w:val="24"/>
          <w:lang w:val="en-US"/>
        </w:rPr>
        <w:t xml:space="preserve"> of demerged company becoming shareholders in resulting company</w:t>
      </w:r>
      <w:r w:rsidRPr="008004ED">
        <w:rPr>
          <w:rFonts w:ascii="Arial" w:eastAsia="Times New Roman" w:hAnsi="Arial" w:cs="Arial"/>
          <w:color w:val="00001E"/>
          <w:sz w:val="24"/>
          <w:szCs w:val="24"/>
          <w:lang w:val="en-US"/>
        </w:rPr>
        <w:t>, etc.</w:t>
      </w:r>
      <w:r w:rsidR="0015246C" w:rsidRPr="008004ED">
        <w:rPr>
          <w:rFonts w:ascii="Arial" w:eastAsia="Times New Roman" w:hAnsi="Arial" w:cs="Arial"/>
          <w:color w:val="00001E"/>
          <w:sz w:val="24"/>
          <w:szCs w:val="24"/>
          <w:lang w:val="en-US"/>
        </w:rPr>
        <w:t xml:space="preserve"> Further, it requires consideration for transfer to be paid in the form of issue of shares of resulting company to shareholders of demerged company. </w:t>
      </w:r>
    </w:p>
    <w:p w:rsidR="0037260D" w:rsidRPr="008004ED" w:rsidRDefault="00260BBD"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If</w:t>
      </w:r>
      <w:r w:rsidR="00F239CD" w:rsidRPr="008004ED">
        <w:rPr>
          <w:rFonts w:ascii="Arial" w:eastAsia="Times New Roman" w:hAnsi="Arial" w:cs="Arial"/>
          <w:color w:val="00001E"/>
          <w:sz w:val="24"/>
          <w:szCs w:val="24"/>
          <w:lang w:val="en-US"/>
        </w:rPr>
        <w:t xml:space="preserve"> the definition of ‘undertaking’ </w:t>
      </w:r>
      <w:r w:rsidRPr="008004ED">
        <w:rPr>
          <w:rFonts w:ascii="Arial" w:eastAsia="Times New Roman" w:hAnsi="Arial" w:cs="Arial"/>
          <w:color w:val="00001E"/>
          <w:sz w:val="24"/>
          <w:szCs w:val="24"/>
          <w:lang w:val="en-US"/>
        </w:rPr>
        <w:t xml:space="preserve">is </w:t>
      </w:r>
      <w:r w:rsidR="007F7069" w:rsidRPr="008004ED">
        <w:rPr>
          <w:rFonts w:ascii="Arial" w:eastAsia="Times New Roman" w:hAnsi="Arial" w:cs="Arial"/>
          <w:color w:val="00001E"/>
          <w:sz w:val="24"/>
          <w:szCs w:val="24"/>
          <w:lang w:val="en-US"/>
        </w:rPr>
        <w:t xml:space="preserve">expressly </w:t>
      </w:r>
      <w:r w:rsidRPr="008004ED">
        <w:rPr>
          <w:rFonts w:ascii="Arial" w:eastAsia="Times New Roman" w:hAnsi="Arial" w:cs="Arial"/>
          <w:color w:val="00001E"/>
          <w:sz w:val="24"/>
          <w:szCs w:val="24"/>
          <w:lang w:val="en-US"/>
        </w:rPr>
        <w:t>clarified to include</w:t>
      </w:r>
      <w:r w:rsidR="001E6382">
        <w:rPr>
          <w:rFonts w:ascii="Arial" w:eastAsia="Times New Roman" w:hAnsi="Arial" w:cs="Arial"/>
          <w:color w:val="00001E"/>
          <w:sz w:val="24"/>
          <w:szCs w:val="24"/>
          <w:lang w:val="en-US"/>
        </w:rPr>
        <w:t xml:space="preserve"> </w:t>
      </w:r>
      <w:r w:rsidR="00B02615" w:rsidRPr="008004ED">
        <w:rPr>
          <w:rFonts w:ascii="Arial" w:eastAsia="Times New Roman" w:hAnsi="Arial" w:cs="Arial"/>
          <w:color w:val="00001E"/>
          <w:sz w:val="24"/>
          <w:szCs w:val="24"/>
          <w:lang w:val="en-US"/>
        </w:rPr>
        <w:t>shares representing controlling interest in operating subsidiary</w:t>
      </w:r>
      <w:r w:rsidRPr="008004ED">
        <w:rPr>
          <w:rFonts w:ascii="Arial" w:eastAsia="Times New Roman" w:hAnsi="Arial" w:cs="Arial"/>
          <w:color w:val="00001E"/>
          <w:sz w:val="24"/>
          <w:szCs w:val="24"/>
          <w:lang w:val="en-US"/>
        </w:rPr>
        <w:t xml:space="preserve">, it will clear the ambiguity in the </w:t>
      </w:r>
      <w:r w:rsidR="007F7069" w:rsidRPr="008004ED">
        <w:rPr>
          <w:rFonts w:ascii="Arial" w:eastAsia="Times New Roman" w:hAnsi="Arial" w:cs="Arial"/>
          <w:color w:val="00001E"/>
          <w:sz w:val="24"/>
          <w:szCs w:val="24"/>
          <w:lang w:val="en-US"/>
        </w:rPr>
        <w:t>matter and</w:t>
      </w:r>
      <w:r w:rsidR="00B02615" w:rsidRPr="008004ED">
        <w:rPr>
          <w:rFonts w:ascii="Arial" w:eastAsia="Times New Roman" w:hAnsi="Arial" w:cs="Arial"/>
          <w:color w:val="00001E"/>
          <w:sz w:val="24"/>
          <w:szCs w:val="24"/>
          <w:lang w:val="en-US"/>
        </w:rPr>
        <w:t xml:space="preserve"> enable business groups to undertake demerger of operating subsidiary in a tax efficient manner.</w:t>
      </w:r>
      <w:r w:rsidR="00FC7825" w:rsidRPr="008004ED">
        <w:rPr>
          <w:rFonts w:ascii="Arial" w:eastAsia="Times New Roman" w:hAnsi="Arial" w:cs="Arial"/>
          <w:color w:val="00001E"/>
          <w:sz w:val="24"/>
          <w:szCs w:val="24"/>
          <w:lang w:val="en-US"/>
        </w:rPr>
        <w:t xml:space="preserve"> There is no revenue loss to the Government since the resulting company </w:t>
      </w:r>
      <w:r w:rsidR="00A266B8" w:rsidRPr="008004ED">
        <w:rPr>
          <w:rFonts w:ascii="Arial" w:eastAsia="Times New Roman" w:hAnsi="Arial" w:cs="Arial"/>
          <w:color w:val="00001E"/>
          <w:sz w:val="24"/>
          <w:szCs w:val="24"/>
          <w:lang w:val="en-US"/>
        </w:rPr>
        <w:t>and shareholders of demerged company inherit the same tax cost as demerged company</w:t>
      </w:r>
      <w:r w:rsidR="004301C1" w:rsidRPr="008004ED">
        <w:rPr>
          <w:rFonts w:ascii="Arial" w:eastAsia="Times New Roman" w:hAnsi="Arial" w:cs="Arial"/>
          <w:color w:val="00001E"/>
          <w:sz w:val="24"/>
          <w:szCs w:val="24"/>
          <w:lang w:val="en-US"/>
        </w:rPr>
        <w:t xml:space="preserve">. The </w:t>
      </w:r>
      <w:r w:rsidR="00A275A1" w:rsidRPr="008004ED">
        <w:rPr>
          <w:rFonts w:ascii="Arial" w:eastAsia="Times New Roman" w:hAnsi="Arial" w:cs="Arial"/>
          <w:color w:val="00001E"/>
          <w:sz w:val="24"/>
          <w:szCs w:val="24"/>
          <w:lang w:val="en-US"/>
        </w:rPr>
        <w:t xml:space="preserve">tax </w:t>
      </w:r>
      <w:r w:rsidR="004301C1" w:rsidRPr="008004ED">
        <w:rPr>
          <w:rFonts w:ascii="Arial" w:eastAsia="Times New Roman" w:hAnsi="Arial" w:cs="Arial"/>
          <w:color w:val="00001E"/>
          <w:sz w:val="24"/>
          <w:szCs w:val="24"/>
          <w:lang w:val="en-US"/>
        </w:rPr>
        <w:t xml:space="preserve">cost of </w:t>
      </w:r>
      <w:r w:rsidR="007C7BE3" w:rsidRPr="008004ED">
        <w:rPr>
          <w:rFonts w:ascii="Arial" w:eastAsia="Times New Roman" w:hAnsi="Arial" w:cs="Arial"/>
          <w:color w:val="00001E"/>
          <w:sz w:val="24"/>
          <w:szCs w:val="24"/>
          <w:lang w:val="en-US"/>
        </w:rPr>
        <w:t xml:space="preserve">shares of operating subsidiary in the hands of the </w:t>
      </w:r>
      <w:r w:rsidR="002C6BF0" w:rsidRPr="008004ED">
        <w:rPr>
          <w:rFonts w:ascii="Arial" w:eastAsia="Times New Roman" w:hAnsi="Arial" w:cs="Arial"/>
          <w:color w:val="00001E"/>
          <w:sz w:val="24"/>
          <w:szCs w:val="24"/>
          <w:lang w:val="en-US"/>
        </w:rPr>
        <w:t xml:space="preserve">demerged company will become </w:t>
      </w:r>
      <w:r w:rsidR="00A275A1" w:rsidRPr="008004ED">
        <w:rPr>
          <w:rFonts w:ascii="Arial" w:eastAsia="Times New Roman" w:hAnsi="Arial" w:cs="Arial"/>
          <w:color w:val="00001E"/>
          <w:sz w:val="24"/>
          <w:szCs w:val="24"/>
          <w:lang w:val="en-US"/>
        </w:rPr>
        <w:t>tax cost in hands of resulting company</w:t>
      </w:r>
      <w:r w:rsidR="00FA12AD" w:rsidRPr="008004ED">
        <w:rPr>
          <w:rFonts w:ascii="Arial" w:eastAsia="Times New Roman" w:hAnsi="Arial" w:cs="Arial"/>
          <w:color w:val="00001E"/>
          <w:sz w:val="24"/>
          <w:szCs w:val="24"/>
          <w:lang w:val="en-US"/>
        </w:rPr>
        <w:t xml:space="preserve"> (Refer, </w:t>
      </w:r>
      <w:proofErr w:type="gramStart"/>
      <w:r w:rsidR="00FA12AD" w:rsidRPr="008004ED">
        <w:rPr>
          <w:rFonts w:ascii="Arial" w:eastAsia="Times New Roman" w:hAnsi="Arial" w:cs="Arial"/>
          <w:color w:val="00001E"/>
          <w:sz w:val="24"/>
          <w:szCs w:val="24"/>
          <w:lang w:val="en-US"/>
        </w:rPr>
        <w:t>s.49</w:t>
      </w:r>
      <w:r w:rsidR="002D3804" w:rsidRPr="008004ED">
        <w:rPr>
          <w:rFonts w:ascii="Arial" w:eastAsia="Times New Roman" w:hAnsi="Arial" w:cs="Arial"/>
          <w:color w:val="00001E"/>
          <w:sz w:val="24"/>
          <w:szCs w:val="24"/>
          <w:lang w:val="en-US"/>
        </w:rPr>
        <w:t>(</w:t>
      </w:r>
      <w:proofErr w:type="gramEnd"/>
      <w:r w:rsidR="002D3804" w:rsidRPr="008004ED">
        <w:rPr>
          <w:rFonts w:ascii="Arial" w:eastAsia="Times New Roman" w:hAnsi="Arial" w:cs="Arial"/>
          <w:color w:val="00001E"/>
          <w:sz w:val="24"/>
          <w:szCs w:val="24"/>
          <w:lang w:val="en-US"/>
        </w:rPr>
        <w:t>1)(iii)</w:t>
      </w:r>
      <w:r w:rsidR="00680038" w:rsidRPr="008004ED">
        <w:rPr>
          <w:rFonts w:ascii="Arial" w:eastAsia="Times New Roman" w:hAnsi="Arial" w:cs="Arial"/>
          <w:color w:val="00001E"/>
          <w:sz w:val="24"/>
          <w:szCs w:val="24"/>
          <w:lang w:val="en-US"/>
        </w:rPr>
        <w:t>(e))</w:t>
      </w:r>
      <w:r w:rsidR="00A1281D" w:rsidRPr="008004ED">
        <w:rPr>
          <w:rFonts w:ascii="Arial" w:eastAsia="Times New Roman" w:hAnsi="Arial" w:cs="Arial"/>
          <w:color w:val="00001E"/>
          <w:sz w:val="24"/>
          <w:szCs w:val="24"/>
          <w:lang w:val="en-US"/>
        </w:rPr>
        <w:t xml:space="preserve">. </w:t>
      </w:r>
      <w:r w:rsidR="00E20794" w:rsidRPr="008004ED">
        <w:rPr>
          <w:rFonts w:ascii="Arial" w:eastAsia="Times New Roman" w:hAnsi="Arial" w:cs="Arial"/>
          <w:color w:val="00001E"/>
          <w:sz w:val="24"/>
          <w:szCs w:val="24"/>
          <w:lang w:val="en-US"/>
        </w:rPr>
        <w:t>In the hands of shareholders of demerged company, the tax cost of demerged company shares is pro-</w:t>
      </w:r>
      <w:r w:rsidR="00E20794" w:rsidRPr="008004ED">
        <w:rPr>
          <w:rFonts w:ascii="Arial" w:eastAsia="Times New Roman" w:hAnsi="Arial" w:cs="Arial"/>
          <w:color w:val="00001E"/>
          <w:sz w:val="24"/>
          <w:szCs w:val="24"/>
          <w:lang w:val="en-US"/>
        </w:rPr>
        <w:lastRenderedPageBreak/>
        <w:t>rated</w:t>
      </w:r>
      <w:r w:rsidR="001E6382">
        <w:rPr>
          <w:rFonts w:ascii="Arial" w:eastAsia="Times New Roman" w:hAnsi="Arial" w:cs="Arial"/>
          <w:color w:val="00001E"/>
          <w:sz w:val="24"/>
          <w:szCs w:val="24"/>
          <w:lang w:val="en-US"/>
        </w:rPr>
        <w:t xml:space="preserve"> </w:t>
      </w:r>
      <w:r w:rsidR="00FB35F9" w:rsidRPr="008004ED">
        <w:rPr>
          <w:rFonts w:ascii="Arial" w:eastAsia="Times New Roman" w:hAnsi="Arial" w:cs="Arial"/>
          <w:color w:val="00001E"/>
          <w:sz w:val="24"/>
          <w:szCs w:val="24"/>
          <w:lang w:val="en-US"/>
        </w:rPr>
        <w:t xml:space="preserve">on the basis of net book value of assets and </w:t>
      </w:r>
      <w:r w:rsidR="0051408B" w:rsidRPr="008004ED">
        <w:rPr>
          <w:rFonts w:ascii="Arial" w:eastAsia="Times New Roman" w:hAnsi="Arial" w:cs="Arial"/>
          <w:color w:val="00001E"/>
          <w:sz w:val="24"/>
          <w:szCs w:val="24"/>
          <w:lang w:val="en-US"/>
        </w:rPr>
        <w:t>split between shares of demerged company and shares of resulting company</w:t>
      </w:r>
      <w:r w:rsidR="00680038" w:rsidRPr="008004ED">
        <w:rPr>
          <w:rFonts w:ascii="Arial" w:eastAsia="Times New Roman" w:hAnsi="Arial" w:cs="Arial"/>
          <w:color w:val="00001E"/>
          <w:sz w:val="24"/>
          <w:szCs w:val="24"/>
          <w:lang w:val="en-US"/>
        </w:rPr>
        <w:t xml:space="preserve"> (Refer, </w:t>
      </w:r>
      <w:proofErr w:type="gramStart"/>
      <w:r w:rsidR="00680038" w:rsidRPr="008004ED">
        <w:rPr>
          <w:rFonts w:ascii="Arial" w:eastAsia="Times New Roman" w:hAnsi="Arial" w:cs="Arial"/>
          <w:color w:val="00001E"/>
          <w:sz w:val="24"/>
          <w:szCs w:val="24"/>
          <w:lang w:val="en-US"/>
        </w:rPr>
        <w:t>s.49(</w:t>
      </w:r>
      <w:proofErr w:type="gramEnd"/>
      <w:r w:rsidR="00680038" w:rsidRPr="008004ED">
        <w:rPr>
          <w:rFonts w:ascii="Arial" w:eastAsia="Times New Roman" w:hAnsi="Arial" w:cs="Arial"/>
          <w:color w:val="00001E"/>
          <w:sz w:val="24"/>
          <w:szCs w:val="24"/>
          <w:lang w:val="en-US"/>
        </w:rPr>
        <w:t>2C)/(2D))</w:t>
      </w:r>
      <w:r w:rsidR="0051408B" w:rsidRPr="008004ED">
        <w:rPr>
          <w:rFonts w:ascii="Arial" w:eastAsia="Times New Roman" w:hAnsi="Arial" w:cs="Arial"/>
          <w:color w:val="00001E"/>
          <w:sz w:val="24"/>
          <w:szCs w:val="24"/>
          <w:lang w:val="en-US"/>
        </w:rPr>
        <w:t>.</w:t>
      </w:r>
    </w:p>
    <w:p w:rsidR="00F239CD" w:rsidRPr="008004ED" w:rsidRDefault="00CC1B61"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For transfer of business undertaking in demerger, </w:t>
      </w:r>
      <w:proofErr w:type="gramStart"/>
      <w:r w:rsidRPr="008004ED">
        <w:rPr>
          <w:rFonts w:ascii="Arial" w:eastAsia="Times New Roman" w:hAnsi="Arial" w:cs="Arial"/>
          <w:color w:val="00001E"/>
          <w:sz w:val="24"/>
          <w:szCs w:val="24"/>
          <w:lang w:val="en-US"/>
        </w:rPr>
        <w:t>s.72A</w:t>
      </w:r>
      <w:r w:rsidR="000A4EA0" w:rsidRPr="008004ED">
        <w:rPr>
          <w:rFonts w:ascii="Arial" w:eastAsia="Times New Roman" w:hAnsi="Arial" w:cs="Arial"/>
          <w:color w:val="00001E"/>
          <w:sz w:val="24"/>
          <w:szCs w:val="24"/>
          <w:lang w:val="en-US"/>
        </w:rPr>
        <w:t>(</w:t>
      </w:r>
      <w:proofErr w:type="gramEnd"/>
      <w:r w:rsidR="000A4EA0" w:rsidRPr="008004ED">
        <w:rPr>
          <w:rFonts w:ascii="Arial" w:eastAsia="Times New Roman" w:hAnsi="Arial" w:cs="Arial"/>
          <w:color w:val="00001E"/>
          <w:sz w:val="24"/>
          <w:szCs w:val="24"/>
          <w:lang w:val="en-US"/>
        </w:rPr>
        <w:t>4)</w:t>
      </w:r>
      <w:r w:rsidRPr="008004ED">
        <w:rPr>
          <w:rFonts w:ascii="Arial" w:eastAsia="Times New Roman" w:hAnsi="Arial" w:cs="Arial"/>
          <w:color w:val="00001E"/>
          <w:sz w:val="24"/>
          <w:szCs w:val="24"/>
          <w:lang w:val="en-US"/>
        </w:rPr>
        <w:t xml:space="preserve"> permits transition of business loss and unabsorbed depreciation relatable to the </w:t>
      </w:r>
      <w:r w:rsidR="009B4E31" w:rsidRPr="008004ED">
        <w:rPr>
          <w:rFonts w:ascii="Arial" w:eastAsia="Times New Roman" w:hAnsi="Arial" w:cs="Arial"/>
          <w:color w:val="00001E"/>
          <w:sz w:val="24"/>
          <w:szCs w:val="24"/>
          <w:lang w:val="en-US"/>
        </w:rPr>
        <w:t xml:space="preserve">demerged </w:t>
      </w:r>
      <w:r w:rsidRPr="008004ED">
        <w:rPr>
          <w:rFonts w:ascii="Arial" w:eastAsia="Times New Roman" w:hAnsi="Arial" w:cs="Arial"/>
          <w:color w:val="00001E"/>
          <w:sz w:val="24"/>
          <w:szCs w:val="24"/>
          <w:lang w:val="en-US"/>
        </w:rPr>
        <w:t>undertaking</w:t>
      </w:r>
      <w:r w:rsidR="009B4E31" w:rsidRPr="008004ED">
        <w:rPr>
          <w:rFonts w:ascii="Arial" w:eastAsia="Times New Roman" w:hAnsi="Arial" w:cs="Arial"/>
          <w:color w:val="00001E"/>
          <w:sz w:val="24"/>
          <w:szCs w:val="24"/>
          <w:lang w:val="en-US"/>
        </w:rPr>
        <w:t xml:space="preserve"> to the resulting company. In case of transfer of shares of operating subsidiary, </w:t>
      </w:r>
      <w:r w:rsidR="00937AF2" w:rsidRPr="008004ED">
        <w:rPr>
          <w:rFonts w:ascii="Arial" w:eastAsia="Times New Roman" w:hAnsi="Arial" w:cs="Arial"/>
          <w:color w:val="00001E"/>
          <w:sz w:val="24"/>
          <w:szCs w:val="24"/>
          <w:lang w:val="en-US"/>
        </w:rPr>
        <w:t xml:space="preserve">there will be no requirement to </w:t>
      </w:r>
      <w:r w:rsidR="002F2BC9" w:rsidRPr="008004ED">
        <w:rPr>
          <w:rFonts w:ascii="Arial" w:eastAsia="Times New Roman" w:hAnsi="Arial" w:cs="Arial"/>
          <w:color w:val="00001E"/>
          <w:sz w:val="24"/>
          <w:szCs w:val="24"/>
          <w:lang w:val="en-US"/>
        </w:rPr>
        <w:t xml:space="preserve">transition such loss or unabsorbed depreciation since the losses/unabsorbed depreciation remain within the fold of subsidiary company. However, a consequential amendment </w:t>
      </w:r>
      <w:r w:rsidR="00946E4E" w:rsidRPr="008004ED">
        <w:rPr>
          <w:rFonts w:ascii="Arial" w:eastAsia="Times New Roman" w:hAnsi="Arial" w:cs="Arial"/>
          <w:color w:val="00001E"/>
          <w:sz w:val="24"/>
          <w:szCs w:val="24"/>
          <w:lang w:val="en-US"/>
        </w:rPr>
        <w:t xml:space="preserve">is </w:t>
      </w:r>
      <w:r w:rsidR="002F2BC9" w:rsidRPr="008004ED">
        <w:rPr>
          <w:rFonts w:ascii="Arial" w:eastAsia="Times New Roman" w:hAnsi="Arial" w:cs="Arial"/>
          <w:color w:val="00001E"/>
          <w:sz w:val="24"/>
          <w:szCs w:val="24"/>
          <w:lang w:val="en-US"/>
        </w:rPr>
        <w:t xml:space="preserve">required in s.79 </w:t>
      </w:r>
      <w:r w:rsidR="00BB3499" w:rsidRPr="008004ED">
        <w:rPr>
          <w:rFonts w:ascii="Arial" w:eastAsia="Times New Roman" w:hAnsi="Arial" w:cs="Arial"/>
          <w:color w:val="00001E"/>
          <w:sz w:val="24"/>
          <w:szCs w:val="24"/>
          <w:lang w:val="en-US"/>
        </w:rPr>
        <w:t>to protect the carry forward of business loss in the hands of the operating subsidiary</w:t>
      </w:r>
      <w:r w:rsidR="00B54B98" w:rsidRPr="008004ED">
        <w:rPr>
          <w:rFonts w:ascii="Arial" w:eastAsia="Times New Roman" w:hAnsi="Arial" w:cs="Arial"/>
          <w:color w:val="00001E"/>
          <w:sz w:val="24"/>
          <w:szCs w:val="24"/>
          <w:lang w:val="en-US"/>
        </w:rPr>
        <w:t>, being a closely held company,</w:t>
      </w:r>
      <w:r w:rsidR="00BB3499" w:rsidRPr="008004ED">
        <w:rPr>
          <w:rFonts w:ascii="Arial" w:eastAsia="Times New Roman" w:hAnsi="Arial" w:cs="Arial"/>
          <w:color w:val="00001E"/>
          <w:sz w:val="24"/>
          <w:szCs w:val="24"/>
          <w:lang w:val="en-US"/>
        </w:rPr>
        <w:t xml:space="preserve"> in view of change in shareholding </w:t>
      </w:r>
      <w:r w:rsidR="00B54B98" w:rsidRPr="008004ED">
        <w:rPr>
          <w:rFonts w:ascii="Arial" w:eastAsia="Times New Roman" w:hAnsi="Arial" w:cs="Arial"/>
          <w:color w:val="00001E"/>
          <w:sz w:val="24"/>
          <w:szCs w:val="24"/>
          <w:lang w:val="en-US"/>
        </w:rPr>
        <w:t xml:space="preserve">beyond 49%. </w:t>
      </w:r>
    </w:p>
    <w:p w:rsidR="00077FED" w:rsidRPr="008004ED" w:rsidRDefault="00077FED" w:rsidP="00D30D0A">
      <w:pPr>
        <w:pStyle w:val="ListParagraph"/>
        <w:spacing w:after="240" w:line="276" w:lineRule="auto"/>
        <w:ind w:left="567"/>
        <w:contextualSpacing w:val="0"/>
        <w:jc w:val="both"/>
        <w:rPr>
          <w:rFonts w:ascii="Arial" w:eastAsia="Times New Roman" w:hAnsi="Arial" w:cs="Arial"/>
          <w:b/>
          <w:color w:val="00001E"/>
          <w:sz w:val="24"/>
          <w:szCs w:val="24"/>
          <w:u w:val="single"/>
          <w:lang w:val="en-US"/>
        </w:rPr>
      </w:pPr>
      <w:r w:rsidRPr="008004ED">
        <w:rPr>
          <w:rFonts w:ascii="Arial" w:eastAsia="Times New Roman" w:hAnsi="Arial" w:cs="Arial"/>
          <w:b/>
          <w:color w:val="00001E"/>
          <w:sz w:val="24"/>
          <w:szCs w:val="24"/>
          <w:u w:val="single"/>
          <w:lang w:val="en-US"/>
        </w:rPr>
        <w:t>Recommendations</w:t>
      </w:r>
    </w:p>
    <w:p w:rsidR="00077FED" w:rsidRPr="008004ED" w:rsidRDefault="00ED17E2" w:rsidP="00D30D0A">
      <w:pPr>
        <w:pStyle w:val="ListParagraph"/>
        <w:numPr>
          <w:ilvl w:val="0"/>
          <w:numId w:val="1"/>
        </w:numPr>
        <w:spacing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It is recommended that S. 2(19AA) be amended to </w:t>
      </w:r>
      <w:r w:rsidR="00714847" w:rsidRPr="008004ED">
        <w:rPr>
          <w:rFonts w:ascii="Arial" w:eastAsia="Times New Roman" w:hAnsi="Arial" w:cs="Arial"/>
          <w:color w:val="00001E"/>
          <w:sz w:val="24"/>
          <w:szCs w:val="24"/>
          <w:lang w:val="en-US"/>
        </w:rPr>
        <w:t xml:space="preserve">expressly </w:t>
      </w:r>
      <w:r w:rsidRPr="008004ED">
        <w:rPr>
          <w:rFonts w:ascii="Arial" w:eastAsia="Times New Roman" w:hAnsi="Arial" w:cs="Arial"/>
          <w:color w:val="00001E"/>
          <w:sz w:val="24"/>
          <w:szCs w:val="24"/>
          <w:lang w:val="en-US"/>
        </w:rPr>
        <w:t xml:space="preserve">clarify that shares of </w:t>
      </w:r>
      <w:r w:rsidR="00AE0062" w:rsidRPr="008004ED">
        <w:rPr>
          <w:rFonts w:ascii="Arial" w:eastAsia="Times New Roman" w:hAnsi="Arial" w:cs="Arial"/>
          <w:color w:val="00001E"/>
          <w:sz w:val="24"/>
          <w:szCs w:val="24"/>
          <w:lang w:val="en-US"/>
        </w:rPr>
        <w:t xml:space="preserve">operating </w:t>
      </w:r>
      <w:r w:rsidRPr="008004ED">
        <w:rPr>
          <w:rFonts w:ascii="Arial" w:eastAsia="Times New Roman" w:hAnsi="Arial" w:cs="Arial"/>
          <w:color w:val="00001E"/>
          <w:sz w:val="24"/>
          <w:szCs w:val="24"/>
          <w:lang w:val="en-US"/>
        </w:rPr>
        <w:t xml:space="preserve">subsidiaries </w:t>
      </w:r>
      <w:r w:rsidR="00A643DE" w:rsidRPr="008004ED">
        <w:rPr>
          <w:rFonts w:ascii="Arial" w:eastAsia="Times New Roman" w:hAnsi="Arial" w:cs="Arial"/>
          <w:color w:val="00001E"/>
          <w:sz w:val="24"/>
          <w:szCs w:val="24"/>
          <w:lang w:val="en-US"/>
        </w:rPr>
        <w:t>qualify as</w:t>
      </w:r>
      <w:r w:rsidRPr="008004ED">
        <w:rPr>
          <w:rFonts w:ascii="Arial" w:eastAsia="Times New Roman" w:hAnsi="Arial" w:cs="Arial"/>
          <w:color w:val="00001E"/>
          <w:sz w:val="24"/>
          <w:szCs w:val="24"/>
          <w:lang w:val="en-US"/>
        </w:rPr>
        <w:t xml:space="preserve"> eligible undertaking capable of being </w:t>
      </w:r>
      <w:r w:rsidR="00E22364" w:rsidRPr="008004ED">
        <w:rPr>
          <w:rFonts w:ascii="Arial" w:eastAsia="Times New Roman" w:hAnsi="Arial" w:cs="Arial"/>
          <w:color w:val="00001E"/>
          <w:sz w:val="24"/>
          <w:szCs w:val="24"/>
          <w:lang w:val="en-US"/>
        </w:rPr>
        <w:t xml:space="preserve">demerged in a </w:t>
      </w:r>
      <w:r w:rsidRPr="008004ED">
        <w:rPr>
          <w:rFonts w:ascii="Arial" w:eastAsia="Times New Roman" w:hAnsi="Arial" w:cs="Arial"/>
          <w:color w:val="00001E"/>
          <w:sz w:val="24"/>
          <w:szCs w:val="24"/>
          <w:lang w:val="en-US"/>
        </w:rPr>
        <w:t xml:space="preserve">tax-neutral </w:t>
      </w:r>
      <w:r w:rsidR="00E22364" w:rsidRPr="008004ED">
        <w:rPr>
          <w:rFonts w:ascii="Arial" w:eastAsia="Times New Roman" w:hAnsi="Arial" w:cs="Arial"/>
          <w:color w:val="00001E"/>
          <w:sz w:val="24"/>
          <w:szCs w:val="24"/>
          <w:lang w:val="en-US"/>
        </w:rPr>
        <w:t xml:space="preserve">manner </w:t>
      </w:r>
      <w:r w:rsidRPr="008004ED">
        <w:rPr>
          <w:rFonts w:ascii="Arial" w:eastAsia="Times New Roman" w:hAnsi="Arial" w:cs="Arial"/>
          <w:color w:val="00001E"/>
          <w:sz w:val="24"/>
          <w:szCs w:val="24"/>
          <w:lang w:val="en-US"/>
        </w:rPr>
        <w:t>under a court-approved scheme</w:t>
      </w:r>
      <w:r w:rsidR="00F727C2" w:rsidRPr="008004ED">
        <w:rPr>
          <w:rFonts w:ascii="Arial" w:eastAsia="Times New Roman" w:hAnsi="Arial" w:cs="Arial"/>
          <w:color w:val="00001E"/>
          <w:sz w:val="24"/>
          <w:szCs w:val="24"/>
          <w:lang w:val="en-US"/>
        </w:rPr>
        <w:t>.</w:t>
      </w:r>
    </w:p>
    <w:p w:rsidR="001B038A" w:rsidRPr="000F0C46" w:rsidRDefault="00A8574C" w:rsidP="00D30D0A">
      <w:pPr>
        <w:pStyle w:val="ListParagraph"/>
        <w:numPr>
          <w:ilvl w:val="0"/>
          <w:numId w:val="1"/>
        </w:numPr>
        <w:spacing w:after="240" w:line="276" w:lineRule="auto"/>
        <w:ind w:left="1134" w:hanging="567"/>
        <w:contextualSpacing w:val="0"/>
        <w:jc w:val="both"/>
        <w:rPr>
          <w:rFonts w:ascii="Arial" w:eastAsiaTheme="majorEastAsia" w:hAnsi="Arial" w:cs="Arial"/>
          <w:b/>
          <w:bCs/>
          <w:color w:val="00001E"/>
          <w:sz w:val="24"/>
          <w:szCs w:val="24"/>
        </w:rPr>
      </w:pPr>
      <w:r w:rsidRPr="000F0C46">
        <w:rPr>
          <w:rFonts w:ascii="Arial" w:eastAsia="Times New Roman" w:hAnsi="Arial" w:cs="Arial"/>
          <w:color w:val="00001E"/>
          <w:sz w:val="24"/>
          <w:szCs w:val="24"/>
          <w:lang w:val="en-US"/>
        </w:rPr>
        <w:t>Furthermore, a consequential amendment be also made to s.79 to protect the carry forward of business loss in the hands of the operating subsidiary, being a closely held company, in view of change in shareholding beyond 49%</w:t>
      </w:r>
      <w:r w:rsidR="00AE7016" w:rsidRPr="000F0C46">
        <w:rPr>
          <w:rFonts w:ascii="Arial" w:eastAsia="Times New Roman" w:hAnsi="Arial" w:cs="Arial"/>
          <w:color w:val="00001E"/>
          <w:sz w:val="24"/>
          <w:szCs w:val="24"/>
          <w:lang w:val="en-US"/>
        </w:rPr>
        <w:t xml:space="preserve"> by such court approved demerger.</w:t>
      </w:r>
    </w:p>
    <w:p w:rsidR="00F03D9C" w:rsidRPr="00237838" w:rsidRDefault="00E20E6F" w:rsidP="00D30D0A">
      <w:pPr>
        <w:pStyle w:val="Heading2"/>
        <w:spacing w:before="0" w:after="240" w:line="276" w:lineRule="auto"/>
        <w:rPr>
          <w:rFonts w:ascii="Arial" w:hAnsi="Arial" w:cs="Arial"/>
          <w:b/>
          <w:bCs/>
          <w:color w:val="auto"/>
          <w:sz w:val="24"/>
          <w:szCs w:val="24"/>
          <w:u w:val="single"/>
        </w:rPr>
      </w:pPr>
      <w:r>
        <w:rPr>
          <w:rFonts w:ascii="Arial" w:hAnsi="Arial" w:cs="Arial"/>
          <w:b/>
          <w:bCs/>
          <w:color w:val="auto"/>
          <w:sz w:val="24"/>
          <w:szCs w:val="24"/>
          <w:u w:val="single"/>
        </w:rPr>
        <w:t xml:space="preserve">Illustration to demonstrate </w:t>
      </w:r>
      <w:r w:rsidR="00727A8B">
        <w:rPr>
          <w:rFonts w:ascii="Arial" w:hAnsi="Arial" w:cs="Arial"/>
          <w:b/>
          <w:bCs/>
          <w:color w:val="auto"/>
          <w:sz w:val="24"/>
          <w:szCs w:val="24"/>
          <w:u w:val="single"/>
        </w:rPr>
        <w:t xml:space="preserve">ability of existing tax framework to ensure that ‘tax neutrality’ granted to </w:t>
      </w:r>
      <w:r w:rsidR="00F03D9C" w:rsidRPr="00237838">
        <w:rPr>
          <w:rFonts w:ascii="Arial" w:hAnsi="Arial" w:cs="Arial"/>
          <w:b/>
          <w:bCs/>
          <w:color w:val="auto"/>
          <w:sz w:val="24"/>
          <w:szCs w:val="24"/>
          <w:u w:val="single"/>
        </w:rPr>
        <w:t>hive</w:t>
      </w:r>
      <w:r w:rsidR="00F03D9C" w:rsidRPr="00237838">
        <w:rPr>
          <w:rFonts w:ascii="Arial" w:hAnsi="Arial" w:cs="Arial"/>
          <w:b/>
          <w:bCs/>
          <w:color w:val="auto"/>
          <w:sz w:val="24"/>
          <w:szCs w:val="24"/>
          <w:u w:val="single"/>
        </w:rPr>
        <w:noBreakHyphen/>
        <w:t>off of business through divestment of shares of operating subsidiary</w:t>
      </w:r>
      <w:r w:rsidR="00727A8B">
        <w:rPr>
          <w:rFonts w:ascii="Arial" w:hAnsi="Arial" w:cs="Arial"/>
          <w:b/>
          <w:bCs/>
          <w:color w:val="auto"/>
          <w:sz w:val="24"/>
          <w:szCs w:val="24"/>
          <w:u w:val="single"/>
        </w:rPr>
        <w:t xml:space="preserve"> </w:t>
      </w:r>
      <w:r w:rsidR="005C5144">
        <w:rPr>
          <w:rFonts w:ascii="Arial" w:hAnsi="Arial" w:cs="Arial"/>
          <w:b/>
          <w:bCs/>
          <w:color w:val="auto"/>
          <w:sz w:val="24"/>
          <w:szCs w:val="24"/>
          <w:u w:val="single"/>
        </w:rPr>
        <w:t>does not result in tax leakage</w:t>
      </w:r>
    </w:p>
    <w:p w:rsidR="00F03D9C" w:rsidRPr="00B013C3" w:rsidRDefault="005C5144" w:rsidP="00D30D0A">
      <w:pPr>
        <w:spacing w:after="0" w:line="240" w:lineRule="auto"/>
        <w:jc w:val="both"/>
        <w:rPr>
          <w:rFonts w:ascii="Arial" w:hAnsi="Arial" w:cs="Arial"/>
          <w:sz w:val="24"/>
          <w:szCs w:val="24"/>
        </w:rPr>
      </w:pPr>
      <w:r>
        <w:rPr>
          <w:rFonts w:ascii="Arial" w:hAnsi="Arial" w:cs="Arial"/>
          <w:sz w:val="24"/>
          <w:szCs w:val="24"/>
        </w:rPr>
        <w:t xml:space="preserve">Below is </w:t>
      </w:r>
      <w:r w:rsidR="00F03D9C" w:rsidRPr="00B013C3">
        <w:rPr>
          <w:rFonts w:ascii="Arial" w:hAnsi="Arial" w:cs="Arial"/>
          <w:sz w:val="24"/>
          <w:szCs w:val="24"/>
        </w:rPr>
        <w:t xml:space="preserve">a simple illustration which </w:t>
      </w:r>
      <w:r w:rsidR="00F03D9C">
        <w:rPr>
          <w:rFonts w:ascii="Arial" w:hAnsi="Arial" w:cs="Arial"/>
          <w:sz w:val="24"/>
          <w:szCs w:val="24"/>
        </w:rPr>
        <w:t>shows</w:t>
      </w:r>
      <w:r w:rsidR="00F03D9C" w:rsidRPr="00B013C3">
        <w:rPr>
          <w:rFonts w:ascii="Arial" w:hAnsi="Arial" w:cs="Arial"/>
          <w:sz w:val="24"/>
          <w:szCs w:val="24"/>
        </w:rPr>
        <w:t xml:space="preserve"> that once such amendment is made, the existing framework of demerger related provisions in the Act ensure that the transaction is tax neutral for demerged company, its shareholders and resulting company. </w:t>
      </w:r>
    </w:p>
    <w:p w:rsidR="00F03D9C" w:rsidRDefault="00F03D9C" w:rsidP="00D30D0A">
      <w:pPr>
        <w:spacing w:after="0"/>
        <w:jc w:val="both"/>
        <w:rPr>
          <w:rFonts w:ascii="Arial" w:hAnsi="Arial" w:cs="Arial"/>
          <w:sz w:val="24"/>
          <w:szCs w:val="24"/>
        </w:rPr>
      </w:pPr>
    </w:p>
    <w:p w:rsidR="00F03D9C" w:rsidRDefault="00F37D0D" w:rsidP="00D30D0A">
      <w:pPr>
        <w:jc w:val="both"/>
        <w:rPr>
          <w:rFonts w:ascii="Arial" w:hAnsi="Arial" w:cs="Arial"/>
          <w:sz w:val="24"/>
          <w:szCs w:val="24"/>
        </w:rPr>
      </w:pPr>
      <w:r w:rsidRPr="00F37D0D">
        <w:rPr>
          <w:noProof/>
          <w:szCs w:val="20"/>
        </w:rPr>
        <w:pict>
          <v:group id="Group 25" o:spid="_x0000_s1026" style="position:absolute;left:0;text-align:left;margin-left:19.5pt;margin-top:.55pt;width:264pt;height:135pt;z-index:251658240;mso-width-relative:margin;mso-height-relative:margin" coordorigin="914" coordsize="39840,2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">
            <v:shapetype id="_x0000_t202" coordsize="21600,21600" o:spt="202" path="m,l,21600r21600,l21600,xe">
              <v:stroke joinstyle="miter"/>
              <v:path gradientshapeok="t" o:connecttype="rect"/>
            </v:shapetype>
            <v:shape id="Text Box 18" o:spid="_x0000_s1027" type="#_x0000_t202" style="position:absolute;left:34324;top:14767;width:5160;height:3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style="mso-next-textbox:#Text Box 18">
                <w:txbxContent>
                  <w:p w:rsidR="00F03D9C" w:rsidRPr="00F018B9" w:rsidRDefault="00F03D9C" w:rsidP="00F03D9C">
                    <w:pPr>
                      <w:spacing w:after="0" w:line="240" w:lineRule="auto"/>
                      <w:jc w:val="center"/>
                      <w:rPr>
                        <w:sz w:val="16"/>
                        <w:szCs w:val="14"/>
                      </w:rPr>
                    </w:pPr>
                    <w:r>
                      <w:rPr>
                        <w:sz w:val="12"/>
                        <w:szCs w:val="12"/>
                      </w:rPr>
                      <w:t>&gt; 51</w:t>
                    </w:r>
                    <w:r w:rsidRPr="00F018B9">
                      <w:rPr>
                        <w:sz w:val="16"/>
                        <w:szCs w:val="14"/>
                      </w:rPr>
                      <w:t>%</w:t>
                    </w:r>
                  </w:p>
                </w:txbxContent>
              </v:textbox>
            </v:shape>
            <v:group id="Group 24" o:spid="_x0000_s1028" style="position:absolute;left:914;width:39841;height:25776" coordorigin="914" coordsize="39840,2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3" o:spid="_x0000_s1029" type="#_x0000_t202" style="position:absolute;left:914;top:6960;width:11992;height:61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" fillcolor="#ffc000" strokecolor="black [3213]" strokeweight="1pt">
                <v:textbox style="mso-next-textbox:#Text Box 3">
                  <w:txbxContent>
                    <w:p w:rsidR="00F03D9C" w:rsidRPr="00F018B9" w:rsidRDefault="00F03D9C" w:rsidP="00F03D9C">
                      <w:pPr>
                        <w:spacing w:after="0" w:line="240" w:lineRule="auto"/>
                        <w:jc w:val="center"/>
                        <w:rPr>
                          <w:sz w:val="20"/>
                          <w:szCs w:val="18"/>
                        </w:rPr>
                      </w:pPr>
                      <w:r w:rsidRPr="00F018B9">
                        <w:rPr>
                          <w:sz w:val="20"/>
                          <w:szCs w:val="18"/>
                        </w:rPr>
                        <w:t>Hold Co</w:t>
                      </w:r>
                    </w:p>
                    <w:p w:rsidR="00F03D9C" w:rsidRPr="00F018B9" w:rsidRDefault="00F03D9C" w:rsidP="00F03D9C">
                      <w:pPr>
                        <w:spacing w:after="0" w:line="240" w:lineRule="auto"/>
                        <w:jc w:val="center"/>
                        <w:rPr>
                          <w:sz w:val="20"/>
                          <w:szCs w:val="18"/>
                        </w:rPr>
                      </w:pPr>
                      <w:r w:rsidRPr="00F018B9">
                        <w:rPr>
                          <w:sz w:val="20"/>
                          <w:szCs w:val="18"/>
                        </w:rPr>
                        <w:t>(Demerged Co)</w:t>
                      </w:r>
                    </w:p>
                  </w:txbxContent>
                </v:textbox>
              </v:shape>
              <v:shapetype id="_x0000_t32" coordsize="21600,21600" o:spt="32" o:oned="t" path="m,l21600,21600e" filled="f">
                <v:path arrowok="t" fillok="f" o:connecttype="none"/>
                <o:lock v:ext="edit" shapetype="t"/>
              </v:shapetype>
              <v:shape id="Straight Arrow Connector 16" o:spid="_x0000_s1030" type="#_x0000_t32" style="position:absolute;left:6037;top:13012;width:53;height:651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" strokecolor="black [3213]" strokeweight="1pt">
                <v:stroke endarrow="block" joinstyle="miter"/>
              </v:shape>
              <v:group id="Group 23" o:spid="_x0000_s1031" style="position:absolute;left:914;width:39841;height:25776" coordorigin="914" coordsize="39840,2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8" o:spid="_x0000_s1032" style="position:absolute;left:3004;width:6775;height:3346" coordsize="329840,19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1" o:spid="_x0000_s1033" style="position:absolute;left:5411;width:86360;height:97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" fillcolor="white [3212]" strokecolor="black [3213]"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34" type="#_x0000_t5" style="position:absolute;top:102802;width:91440;height:97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" fillcolor="white [3212]" strokecolor="black [3213]" strokeweight="1pt"/>
                  <v:oval id="Oval 4" o:spid="_x0000_s1035" style="position:absolute;left:124445;width:86360;height:97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" fillcolor="white [3212]" strokecolor="black [3213]" strokeweight="1pt">
                    <v:stroke joinstyle="miter"/>
                  </v:oval>
                  <v:shape id="Isosceles Triangle 5" o:spid="_x0000_s1036" type="#_x0000_t5" style="position:absolute;left:119035;top:102802;width:91440;height:97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" fillcolor="white [3212]" strokecolor="black [3213]" strokeweight="1pt"/>
                  <v:oval id="Oval 6" o:spid="_x0000_s1037" style="position:absolute;left:243480;width:86360;height:97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" fillcolor="white [3212]" strokecolor="black [3213]" strokeweight="1pt">
                    <v:stroke joinstyle="miter"/>
                  </v:oval>
                  <v:shape id="Isosceles Triangle 7" o:spid="_x0000_s1038" type="#_x0000_t5" style="position:absolute;left:238069;top:102802;width:91440;height:97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" fillcolor="white [3212]" strokecolor="black [3213]" strokeweight="1pt"/>
                </v:group>
                <v:shape id="Text Box 9" o:spid="_x0000_s1039" type="#_x0000_t202" style="position:absolute;left:27994;top:6891;width:12208;height:61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" fillcolor="#ffc000" strokecolor="black [3213]" strokeweight="1pt">
                  <v:textbox style="mso-next-textbox:#Text Box 9">
                    <w:txbxContent>
                      <w:p w:rsidR="00F03D9C" w:rsidRPr="00F018B9" w:rsidRDefault="00F03D9C" w:rsidP="00F03D9C">
                        <w:pPr>
                          <w:spacing w:after="0" w:line="240" w:lineRule="auto"/>
                          <w:jc w:val="center"/>
                          <w:rPr>
                            <w:sz w:val="20"/>
                            <w:szCs w:val="18"/>
                          </w:rPr>
                        </w:pPr>
                        <w:r w:rsidRPr="00F018B9">
                          <w:rPr>
                            <w:sz w:val="20"/>
                            <w:szCs w:val="18"/>
                          </w:rPr>
                          <w:t>RCo</w:t>
                        </w:r>
                      </w:p>
                      <w:p w:rsidR="00F03D9C" w:rsidRPr="00F018B9" w:rsidRDefault="00F03D9C" w:rsidP="00F03D9C">
                        <w:pPr>
                          <w:spacing w:after="0" w:line="240" w:lineRule="auto"/>
                          <w:jc w:val="center"/>
                          <w:rPr>
                            <w:sz w:val="20"/>
                            <w:szCs w:val="18"/>
                          </w:rPr>
                        </w:pPr>
                        <w:r w:rsidRPr="00F018B9">
                          <w:rPr>
                            <w:sz w:val="20"/>
                            <w:szCs w:val="18"/>
                          </w:rPr>
                          <w:t>(Resulting Co)</w:t>
                        </w:r>
                      </w:p>
                    </w:txbxContent>
                  </v:textbox>
                </v:shape>
                <v:shape id="Text Box 10" o:spid="_x0000_s1040" type="#_x0000_t202" style="position:absolute;left:914;top:19619;width:12349;height:61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" fillcolor="#ffc000" strokecolor="black [3213]" strokeweight="1pt">
                  <v:textbox style="mso-next-textbox:#Text Box 10">
                    <w:txbxContent>
                      <w:p w:rsidR="00F03D9C" w:rsidRPr="0068116C" w:rsidRDefault="00F03D9C" w:rsidP="00F03D9C">
                        <w:pPr>
                          <w:spacing w:after="0" w:line="240" w:lineRule="auto"/>
                          <w:jc w:val="center"/>
                        </w:pPr>
                        <w:r w:rsidRPr="0068116C">
                          <w:t>OpCo</w:t>
                        </w:r>
                      </w:p>
                    </w:txbxContent>
                  </v:textbox>
                </v:shape>
                <v:shape id="Text Box 11" o:spid="_x0000_s1041" type="#_x0000_t202" style="position:absolute;left:27994;top:19552;width:12278;height:61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" fillcolor="#ffc000" strokecolor="black [3213]" strokeweight="1pt">
                  <v:textbox style="mso-next-textbox:#Text Box 11">
                    <w:txbxContent>
                      <w:p w:rsidR="00F03D9C" w:rsidRPr="0068116C" w:rsidRDefault="00F03D9C" w:rsidP="00F03D9C">
                        <w:pPr>
                          <w:spacing w:after="0" w:line="240" w:lineRule="auto"/>
                          <w:jc w:val="center"/>
                        </w:pPr>
                        <w:r w:rsidRPr="0068116C">
                          <w:t>OpCo</w:t>
                        </w:r>
                      </w:p>
                    </w:txbxContent>
                  </v:textbox>
                </v:shape>
                <v:shape id="Freeform: Shape 12" o:spid="_x0000_s1042" style="position:absolute;left:10087;top:1254;width:23449;height:5749;visibility:visible;mso-wrap-style:square;v-text-anchor:middle" coordsize="2344848,57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" path="m,l2344848,r,574895e" filled="f" strokecolor="black [3213]" strokeweight="1pt">
                  <v:stroke dashstyle="3 1" startarrow="block" joinstyle="miter"/>
                  <v:path arrowok="t" o:connecttype="custom" o:connectlocs="0,0;2344848,0;2344848,574895" o:connectangles="0,0,0"/>
                </v:shape>
                <v:shape id="Text Box 13" o:spid="_x0000_s1043" type="#_x0000_t202" style="position:absolute;left:5837;top:3586;width:15676;height:3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style="mso-next-textbox:#Text Box 13">
                    <w:txbxContent>
                      <w:p w:rsidR="00F03D9C" w:rsidRPr="0068116C" w:rsidRDefault="00F03D9C" w:rsidP="00F03D9C">
                        <w:pPr>
                          <w:spacing w:after="0" w:line="240" w:lineRule="auto"/>
                          <w:jc w:val="center"/>
                          <w:rPr>
                            <w:sz w:val="18"/>
                            <w:szCs w:val="18"/>
                          </w:rPr>
                        </w:pPr>
                        <w:r w:rsidRPr="0068116C">
                          <w:rPr>
                            <w:sz w:val="18"/>
                            <w:szCs w:val="18"/>
                          </w:rPr>
                          <w:t>Shareholders of HoldCo</w:t>
                        </w:r>
                      </w:p>
                    </w:txbxContent>
                  </v:textbox>
                </v:shape>
                <v:shape id="Straight Arrow Connector 14" o:spid="_x0000_s1044" type="#_x0000_t32" style="position:absolute;left:6178;top:3305;width:0;height:362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" strokecolor="black [3213]" strokeweight="1pt">
                  <v:stroke endarrow="block" joinstyle="miter"/>
                </v:shape>
                <v:shape id="Text Box 15" o:spid="_x0000_s1045" type="#_x0000_t202" style="position:absolute;left:32426;top:1969;width:8329;height:3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style="mso-next-textbox:#Text Box 15">
                    <w:txbxContent>
                      <w:p w:rsidR="00F03D9C" w:rsidRPr="00F018B9" w:rsidRDefault="00F03D9C" w:rsidP="00F03D9C">
                        <w:pPr>
                          <w:spacing w:after="0" w:line="240" w:lineRule="auto"/>
                          <w:jc w:val="center"/>
                          <w:rPr>
                            <w:sz w:val="12"/>
                            <w:szCs w:val="12"/>
                          </w:rPr>
                        </w:pPr>
                        <w:r w:rsidRPr="00F018B9">
                          <w:rPr>
                            <w:sz w:val="12"/>
                            <w:szCs w:val="12"/>
                          </w:rPr>
                          <w:t>Issue of shares</w:t>
                        </w:r>
                      </w:p>
                    </w:txbxContent>
                  </v:textbox>
                </v:shape>
                <v:shape id="Straight Arrow Connector 17" o:spid="_x0000_s1046" type="#_x0000_t32" style="position:absolute;left:33328;top:13012;width:53;height:651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" strokecolor="black [3213]" strokeweight="1pt">
                  <v:stroke endarrow="block" joinstyle="miter"/>
                </v:shape>
                <v:shape id="Text Box 19" o:spid="_x0000_s1047" type="#_x0000_t202" style="position:absolute;left:5556;top:14982;width:5161;height:3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style="mso-next-textbox:#Text Box 19">
                    <w:txbxContent>
                      <w:p w:rsidR="00F03D9C" w:rsidRPr="00F018B9" w:rsidRDefault="00F03D9C" w:rsidP="00F03D9C">
                        <w:pPr>
                          <w:spacing w:after="0" w:line="240" w:lineRule="auto"/>
                          <w:jc w:val="center"/>
                          <w:rPr>
                            <w:sz w:val="12"/>
                            <w:szCs w:val="12"/>
                          </w:rPr>
                        </w:pPr>
                        <w:r>
                          <w:rPr>
                            <w:sz w:val="12"/>
                            <w:szCs w:val="12"/>
                          </w:rPr>
                          <w:t>&gt;51</w:t>
                        </w:r>
                        <w:r w:rsidRPr="00F018B9">
                          <w:rPr>
                            <w:sz w:val="12"/>
                            <w:szCs w:val="12"/>
                          </w:rPr>
                          <w:t>%</w:t>
                        </w:r>
                      </w:p>
                    </w:txbxContent>
                  </v:textbox>
                </v:shape>
                <v:shape id="Freeform: Shape 21" o:spid="_x0000_s1048" style="position:absolute;left:6119;top:13091;width:26617;height:2671;visibility:visible;mso-wrap-style:square;v-text-anchor:middle" coordsize="2661719,2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" path="m,4526c432303,136178,864606,267831,1308226,267077,1751846,266323,2661719,,2661719,r,e" filled="f" strokecolor="black [3213]" strokeweight="1pt">
                  <v:stroke dashstyle="3 1" endarrow="block" joinstyle="miter"/>
                  <v:path arrowok="t" o:connecttype="custom" o:connectlocs="0,4526;1308226,267077;2661719,0;2661719,0" o:connectangles="0,0,0,0"/>
                </v:shape>
                <v:shape id="Text Box 22" o:spid="_x0000_s1049" type="#_x0000_t202" style="position:absolute;left:14840;top:15744;width:12802;height:55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style="mso-next-textbox:#Text Box 22">
                    <w:txbxContent>
                      <w:p w:rsidR="00F03D9C" w:rsidRPr="00F7607F" w:rsidRDefault="00F03D9C" w:rsidP="00F03D9C">
                        <w:pPr>
                          <w:spacing w:after="0" w:line="240" w:lineRule="auto"/>
                          <w:jc w:val="center"/>
                          <w:rPr>
                            <w:sz w:val="18"/>
                            <w:szCs w:val="18"/>
                          </w:rPr>
                        </w:pPr>
                        <w:r w:rsidRPr="00F7607F">
                          <w:rPr>
                            <w:sz w:val="18"/>
                            <w:szCs w:val="18"/>
                          </w:rPr>
                          <w:t>Transfer under demerger scheme</w:t>
                        </w:r>
                      </w:p>
                    </w:txbxContent>
                  </v:textbox>
                </v:shape>
              </v:group>
            </v:group>
          </v:group>
        </w:pict>
      </w:r>
    </w:p>
    <w:p w:rsidR="00F03D9C" w:rsidRDefault="00F03D9C" w:rsidP="00D30D0A">
      <w:pPr>
        <w:jc w:val="both"/>
        <w:rPr>
          <w:rFonts w:ascii="Arial" w:hAnsi="Arial" w:cs="Arial"/>
          <w:sz w:val="24"/>
          <w:szCs w:val="24"/>
        </w:rPr>
      </w:pPr>
    </w:p>
    <w:p w:rsidR="00F03D9C" w:rsidRDefault="00F03D9C" w:rsidP="00D30D0A">
      <w:pPr>
        <w:jc w:val="both"/>
        <w:rPr>
          <w:rFonts w:ascii="Arial" w:hAnsi="Arial" w:cs="Arial"/>
          <w:sz w:val="24"/>
          <w:szCs w:val="24"/>
        </w:rPr>
      </w:pPr>
    </w:p>
    <w:p w:rsidR="00F03D9C" w:rsidRDefault="00F03D9C" w:rsidP="00D30D0A">
      <w:pPr>
        <w:jc w:val="both"/>
        <w:rPr>
          <w:rFonts w:ascii="Arial" w:hAnsi="Arial" w:cs="Arial"/>
          <w:sz w:val="24"/>
          <w:szCs w:val="24"/>
        </w:rPr>
      </w:pPr>
    </w:p>
    <w:p w:rsidR="00F03D9C" w:rsidRDefault="00F03D9C" w:rsidP="00D30D0A">
      <w:pPr>
        <w:jc w:val="both"/>
        <w:rPr>
          <w:rFonts w:ascii="Arial" w:hAnsi="Arial" w:cs="Arial"/>
          <w:sz w:val="24"/>
          <w:szCs w:val="24"/>
        </w:rPr>
      </w:pPr>
    </w:p>
    <w:p w:rsidR="00F03D9C" w:rsidRDefault="00F03D9C" w:rsidP="00D30D0A">
      <w:pPr>
        <w:jc w:val="both"/>
        <w:rPr>
          <w:rFonts w:ascii="Arial" w:hAnsi="Arial" w:cs="Arial"/>
          <w:sz w:val="24"/>
          <w:szCs w:val="24"/>
        </w:rPr>
      </w:pPr>
    </w:p>
    <w:p w:rsidR="00F03D9C" w:rsidRDefault="00F03D9C" w:rsidP="00D30D0A">
      <w:pPr>
        <w:jc w:val="both"/>
        <w:rPr>
          <w:rFonts w:ascii="Arial" w:hAnsi="Arial" w:cs="Arial"/>
          <w:sz w:val="24"/>
          <w:szCs w:val="24"/>
        </w:rPr>
      </w:pPr>
    </w:p>
    <w:p w:rsidR="00F03D9C" w:rsidRPr="00B013C3" w:rsidRDefault="00F03D9C" w:rsidP="00D30D0A">
      <w:pPr>
        <w:spacing w:after="240" w:line="240" w:lineRule="auto"/>
        <w:jc w:val="both"/>
        <w:rPr>
          <w:rFonts w:ascii="Arial" w:hAnsi="Arial" w:cs="Arial"/>
          <w:sz w:val="24"/>
          <w:szCs w:val="24"/>
        </w:rPr>
      </w:pPr>
      <w:r w:rsidRPr="00B013C3">
        <w:rPr>
          <w:rFonts w:ascii="Arial" w:hAnsi="Arial" w:cs="Arial"/>
          <w:sz w:val="24"/>
          <w:szCs w:val="24"/>
        </w:rPr>
        <w:t>Assume that Hold Co (Demerged company</w:t>
      </w:r>
      <w:r>
        <w:rPr>
          <w:rFonts w:ascii="Arial" w:hAnsi="Arial" w:cs="Arial"/>
          <w:sz w:val="24"/>
          <w:szCs w:val="24"/>
        </w:rPr>
        <w:t>/</w:t>
      </w:r>
      <w:proofErr w:type="spellStart"/>
      <w:r>
        <w:rPr>
          <w:rFonts w:ascii="Arial" w:hAnsi="Arial" w:cs="Arial"/>
          <w:sz w:val="24"/>
          <w:szCs w:val="24"/>
        </w:rPr>
        <w:t>DCo</w:t>
      </w:r>
      <w:proofErr w:type="spellEnd"/>
      <w:r w:rsidRPr="00B013C3">
        <w:rPr>
          <w:rFonts w:ascii="Arial" w:hAnsi="Arial" w:cs="Arial"/>
          <w:sz w:val="24"/>
          <w:szCs w:val="24"/>
        </w:rPr>
        <w:t xml:space="preserve">) holds </w:t>
      </w:r>
      <w:r>
        <w:rPr>
          <w:rFonts w:ascii="Arial" w:hAnsi="Arial" w:cs="Arial"/>
          <w:sz w:val="24"/>
          <w:szCs w:val="24"/>
        </w:rPr>
        <w:t>more than 51</w:t>
      </w:r>
      <w:r w:rsidRPr="00B013C3">
        <w:rPr>
          <w:rFonts w:ascii="Arial" w:hAnsi="Arial" w:cs="Arial"/>
          <w:sz w:val="24"/>
          <w:szCs w:val="24"/>
        </w:rPr>
        <w:t xml:space="preserve">% shares in </w:t>
      </w:r>
      <w:proofErr w:type="spellStart"/>
      <w:r w:rsidRPr="00B013C3">
        <w:rPr>
          <w:rFonts w:ascii="Arial" w:hAnsi="Arial" w:cs="Arial"/>
          <w:sz w:val="24"/>
          <w:szCs w:val="24"/>
        </w:rPr>
        <w:t>OpCo</w:t>
      </w:r>
      <w:proofErr w:type="spellEnd"/>
      <w:r w:rsidRPr="00B013C3">
        <w:rPr>
          <w:rFonts w:ascii="Arial" w:hAnsi="Arial" w:cs="Arial"/>
          <w:sz w:val="24"/>
          <w:szCs w:val="24"/>
        </w:rPr>
        <w:t xml:space="preserve"> which is an operating subsidiary in a regulated business. The transaction of </w:t>
      </w:r>
      <w:r w:rsidRPr="00B013C3">
        <w:rPr>
          <w:rFonts w:ascii="Arial" w:hAnsi="Arial" w:cs="Arial"/>
          <w:sz w:val="24"/>
          <w:szCs w:val="24"/>
        </w:rPr>
        <w:lastRenderedPageBreak/>
        <w:t xml:space="preserve">demerger involves transfer of shares in </w:t>
      </w:r>
      <w:proofErr w:type="spellStart"/>
      <w:r w:rsidRPr="00B013C3">
        <w:rPr>
          <w:rFonts w:ascii="Arial" w:hAnsi="Arial" w:cs="Arial"/>
          <w:sz w:val="24"/>
          <w:szCs w:val="24"/>
        </w:rPr>
        <w:t>OpCo</w:t>
      </w:r>
      <w:proofErr w:type="spellEnd"/>
      <w:r w:rsidRPr="00B013C3">
        <w:rPr>
          <w:rFonts w:ascii="Arial" w:hAnsi="Arial" w:cs="Arial"/>
          <w:sz w:val="24"/>
          <w:szCs w:val="24"/>
        </w:rPr>
        <w:t xml:space="preserve"> to </w:t>
      </w:r>
      <w:proofErr w:type="spellStart"/>
      <w:r w:rsidRPr="00B013C3">
        <w:rPr>
          <w:rFonts w:ascii="Arial" w:hAnsi="Arial" w:cs="Arial"/>
          <w:sz w:val="24"/>
          <w:szCs w:val="24"/>
        </w:rPr>
        <w:t>RCo</w:t>
      </w:r>
      <w:proofErr w:type="spellEnd"/>
      <w:r w:rsidRPr="00B013C3">
        <w:rPr>
          <w:rFonts w:ascii="Arial" w:hAnsi="Arial" w:cs="Arial"/>
          <w:sz w:val="24"/>
          <w:szCs w:val="24"/>
        </w:rPr>
        <w:t xml:space="preserve"> (Resulting </w:t>
      </w:r>
      <w:proofErr w:type="gramStart"/>
      <w:r w:rsidRPr="00B013C3">
        <w:rPr>
          <w:rFonts w:ascii="Arial" w:hAnsi="Arial" w:cs="Arial"/>
          <w:sz w:val="24"/>
          <w:szCs w:val="24"/>
        </w:rPr>
        <w:t>company</w:t>
      </w:r>
      <w:proofErr w:type="gramEnd"/>
      <w:r w:rsidRPr="00B013C3">
        <w:rPr>
          <w:rFonts w:ascii="Arial" w:hAnsi="Arial" w:cs="Arial"/>
          <w:sz w:val="24"/>
          <w:szCs w:val="24"/>
        </w:rPr>
        <w:t xml:space="preserve">) under NCLT approved demerger scheme in consideration of which </w:t>
      </w:r>
      <w:proofErr w:type="spellStart"/>
      <w:r w:rsidRPr="00B013C3">
        <w:rPr>
          <w:rFonts w:ascii="Arial" w:hAnsi="Arial" w:cs="Arial"/>
          <w:sz w:val="24"/>
          <w:szCs w:val="24"/>
        </w:rPr>
        <w:t>RCo</w:t>
      </w:r>
      <w:proofErr w:type="spellEnd"/>
      <w:r w:rsidRPr="00B013C3">
        <w:rPr>
          <w:rFonts w:ascii="Arial" w:hAnsi="Arial" w:cs="Arial"/>
          <w:sz w:val="24"/>
          <w:szCs w:val="24"/>
        </w:rPr>
        <w:t xml:space="preserve"> issues its own shares to shareholders of </w:t>
      </w:r>
      <w:proofErr w:type="spellStart"/>
      <w:r>
        <w:rPr>
          <w:rFonts w:ascii="Arial" w:hAnsi="Arial" w:cs="Arial"/>
          <w:sz w:val="24"/>
          <w:szCs w:val="24"/>
        </w:rPr>
        <w:t>D</w:t>
      </w:r>
      <w:r w:rsidRPr="00B013C3">
        <w:rPr>
          <w:rFonts w:ascii="Arial" w:hAnsi="Arial" w:cs="Arial"/>
          <w:sz w:val="24"/>
          <w:szCs w:val="24"/>
        </w:rPr>
        <w:t>Co</w:t>
      </w:r>
      <w:proofErr w:type="spellEnd"/>
      <w:r w:rsidRPr="00B013C3">
        <w:rPr>
          <w:rFonts w:ascii="Arial" w:hAnsi="Arial" w:cs="Arial"/>
          <w:sz w:val="24"/>
          <w:szCs w:val="24"/>
        </w:rPr>
        <w:t>.</w:t>
      </w:r>
      <w:r>
        <w:rPr>
          <w:rFonts w:ascii="Arial" w:hAnsi="Arial" w:cs="Arial"/>
          <w:sz w:val="24"/>
          <w:szCs w:val="24"/>
        </w:rPr>
        <w:t xml:space="preserve"> All three companies </w:t>
      </w:r>
      <w:proofErr w:type="spellStart"/>
      <w:r>
        <w:rPr>
          <w:rFonts w:ascii="Arial" w:hAnsi="Arial" w:cs="Arial"/>
          <w:sz w:val="24"/>
          <w:szCs w:val="24"/>
        </w:rPr>
        <w:t>DCo</w:t>
      </w:r>
      <w:proofErr w:type="spellEnd"/>
      <w:r>
        <w:rPr>
          <w:rFonts w:ascii="Arial" w:hAnsi="Arial" w:cs="Arial"/>
          <w:sz w:val="24"/>
          <w:szCs w:val="24"/>
        </w:rPr>
        <w:t xml:space="preserve">, </w:t>
      </w:r>
      <w:proofErr w:type="spellStart"/>
      <w:r>
        <w:rPr>
          <w:rFonts w:ascii="Arial" w:hAnsi="Arial" w:cs="Arial"/>
          <w:sz w:val="24"/>
          <w:szCs w:val="24"/>
        </w:rPr>
        <w:t>OpCo</w:t>
      </w:r>
      <w:proofErr w:type="spellEnd"/>
      <w:r>
        <w:rPr>
          <w:rFonts w:ascii="Arial" w:hAnsi="Arial" w:cs="Arial"/>
          <w:sz w:val="24"/>
          <w:szCs w:val="24"/>
        </w:rPr>
        <w:t xml:space="preserve"> and </w:t>
      </w:r>
      <w:proofErr w:type="spellStart"/>
      <w:r>
        <w:rPr>
          <w:rFonts w:ascii="Arial" w:hAnsi="Arial" w:cs="Arial"/>
          <w:sz w:val="24"/>
          <w:szCs w:val="24"/>
        </w:rPr>
        <w:t>RCo</w:t>
      </w:r>
      <w:proofErr w:type="spellEnd"/>
      <w:r>
        <w:rPr>
          <w:rFonts w:ascii="Arial" w:hAnsi="Arial" w:cs="Arial"/>
          <w:sz w:val="24"/>
          <w:szCs w:val="24"/>
        </w:rPr>
        <w:t xml:space="preserve"> are Indian companies.</w:t>
      </w:r>
    </w:p>
    <w:p w:rsidR="00F03D9C" w:rsidRPr="00B013C3" w:rsidRDefault="00F03D9C" w:rsidP="00D30D0A">
      <w:pPr>
        <w:spacing w:after="240" w:line="240" w:lineRule="auto"/>
        <w:jc w:val="both"/>
        <w:rPr>
          <w:rFonts w:ascii="Arial" w:hAnsi="Arial" w:cs="Arial"/>
          <w:sz w:val="24"/>
          <w:szCs w:val="24"/>
        </w:rPr>
      </w:pPr>
      <w:r w:rsidRPr="00B013C3">
        <w:rPr>
          <w:rFonts w:ascii="Arial" w:hAnsi="Arial" w:cs="Arial"/>
          <w:sz w:val="24"/>
          <w:szCs w:val="24"/>
        </w:rPr>
        <w:t xml:space="preserve">All other conditions of ‘demerger’ u/s. 2(19AA) are fulfilled as </w:t>
      </w:r>
      <w:proofErr w:type="gramStart"/>
      <w:r w:rsidRPr="00B013C3">
        <w:rPr>
          <w:rFonts w:ascii="Arial" w:hAnsi="Arial" w:cs="Arial"/>
          <w:sz w:val="24"/>
          <w:szCs w:val="24"/>
        </w:rPr>
        <w:t>follows :</w:t>
      </w:r>
      <w:proofErr w:type="gramEnd"/>
      <w:r w:rsidRPr="00B013C3">
        <w:rPr>
          <w:rFonts w:ascii="Arial" w:hAnsi="Arial" w:cs="Arial"/>
          <w:sz w:val="24"/>
          <w:szCs w:val="24"/>
        </w:rPr>
        <w:t>-</w:t>
      </w:r>
    </w:p>
    <w:p w:rsidR="00F03D9C" w:rsidRPr="00B013C3" w:rsidRDefault="00F03D9C" w:rsidP="00D30D0A">
      <w:pPr>
        <w:pStyle w:val="ListParagraph"/>
        <w:numPr>
          <w:ilvl w:val="0"/>
          <w:numId w:val="4"/>
        </w:numPr>
        <w:spacing w:after="240" w:line="240" w:lineRule="auto"/>
        <w:contextualSpacing w:val="0"/>
        <w:jc w:val="both"/>
        <w:rPr>
          <w:rFonts w:ascii="Arial" w:hAnsi="Arial" w:cs="Arial"/>
          <w:sz w:val="24"/>
          <w:szCs w:val="24"/>
        </w:rPr>
      </w:pPr>
      <w:r w:rsidRPr="00B013C3">
        <w:rPr>
          <w:rFonts w:ascii="Arial" w:hAnsi="Arial" w:cs="Arial"/>
          <w:sz w:val="24"/>
          <w:szCs w:val="24"/>
        </w:rPr>
        <w:t xml:space="preserve">Entire shareholding in Opco is transferred by </w:t>
      </w:r>
      <w:proofErr w:type="spellStart"/>
      <w:r w:rsidRPr="00B013C3">
        <w:rPr>
          <w:rFonts w:ascii="Arial" w:hAnsi="Arial" w:cs="Arial"/>
          <w:sz w:val="24"/>
          <w:szCs w:val="24"/>
        </w:rPr>
        <w:t>DCo</w:t>
      </w:r>
      <w:proofErr w:type="spellEnd"/>
      <w:r w:rsidRPr="00B013C3">
        <w:rPr>
          <w:rFonts w:ascii="Arial" w:hAnsi="Arial" w:cs="Arial"/>
          <w:sz w:val="24"/>
          <w:szCs w:val="24"/>
        </w:rPr>
        <w:t xml:space="preserve"> to </w:t>
      </w:r>
      <w:proofErr w:type="spellStart"/>
      <w:r w:rsidRPr="00B013C3">
        <w:rPr>
          <w:rFonts w:ascii="Arial" w:hAnsi="Arial" w:cs="Arial"/>
          <w:sz w:val="24"/>
          <w:szCs w:val="24"/>
        </w:rPr>
        <w:t>RCo</w:t>
      </w:r>
      <w:proofErr w:type="spellEnd"/>
      <w:r w:rsidRPr="00B013C3">
        <w:rPr>
          <w:rFonts w:ascii="Arial" w:hAnsi="Arial" w:cs="Arial"/>
          <w:sz w:val="24"/>
          <w:szCs w:val="24"/>
        </w:rPr>
        <w:t xml:space="preserve"> which results in transfer of all the assets and liabilities of regulated business carried on by </w:t>
      </w:r>
      <w:proofErr w:type="spellStart"/>
      <w:r w:rsidRPr="00B013C3">
        <w:rPr>
          <w:rFonts w:ascii="Arial" w:hAnsi="Arial" w:cs="Arial"/>
          <w:sz w:val="24"/>
          <w:szCs w:val="24"/>
        </w:rPr>
        <w:t>OpCo</w:t>
      </w:r>
      <w:proofErr w:type="spellEnd"/>
      <w:r w:rsidRPr="00B013C3">
        <w:rPr>
          <w:rFonts w:ascii="Arial" w:hAnsi="Arial" w:cs="Arial"/>
          <w:sz w:val="24"/>
          <w:szCs w:val="24"/>
        </w:rPr>
        <w:t xml:space="preserve"> getting transferred to </w:t>
      </w:r>
      <w:proofErr w:type="spellStart"/>
      <w:r w:rsidRPr="00B013C3">
        <w:rPr>
          <w:rFonts w:ascii="Arial" w:hAnsi="Arial" w:cs="Arial"/>
          <w:sz w:val="24"/>
          <w:szCs w:val="24"/>
        </w:rPr>
        <w:t>RCo</w:t>
      </w:r>
      <w:proofErr w:type="spellEnd"/>
      <w:r w:rsidRPr="00B013C3">
        <w:rPr>
          <w:rFonts w:ascii="Arial" w:hAnsi="Arial" w:cs="Arial"/>
          <w:sz w:val="24"/>
          <w:szCs w:val="24"/>
        </w:rPr>
        <w:t xml:space="preserve"> by virtue of demerger</w:t>
      </w:r>
    </w:p>
    <w:p w:rsidR="00F03D9C" w:rsidRPr="00B013C3" w:rsidRDefault="00F03D9C" w:rsidP="00D30D0A">
      <w:pPr>
        <w:pStyle w:val="ListParagraph"/>
        <w:numPr>
          <w:ilvl w:val="0"/>
          <w:numId w:val="4"/>
        </w:numPr>
        <w:spacing w:after="240" w:line="240" w:lineRule="auto"/>
        <w:contextualSpacing w:val="0"/>
        <w:jc w:val="both"/>
        <w:rPr>
          <w:rFonts w:ascii="Arial" w:hAnsi="Arial" w:cs="Arial"/>
          <w:sz w:val="24"/>
          <w:szCs w:val="24"/>
        </w:rPr>
      </w:pPr>
      <w:r w:rsidRPr="00B013C3">
        <w:rPr>
          <w:rFonts w:ascii="Arial" w:hAnsi="Arial" w:cs="Arial"/>
          <w:sz w:val="24"/>
          <w:szCs w:val="24"/>
        </w:rPr>
        <w:t xml:space="preserve">The transfer of shares of </w:t>
      </w:r>
      <w:proofErr w:type="spellStart"/>
      <w:r w:rsidRPr="00B013C3">
        <w:rPr>
          <w:rFonts w:ascii="Arial" w:hAnsi="Arial" w:cs="Arial"/>
          <w:sz w:val="24"/>
          <w:szCs w:val="24"/>
        </w:rPr>
        <w:t>OpCo</w:t>
      </w:r>
      <w:proofErr w:type="spellEnd"/>
      <w:r>
        <w:rPr>
          <w:rFonts w:ascii="Arial" w:hAnsi="Arial" w:cs="Arial"/>
          <w:sz w:val="24"/>
          <w:szCs w:val="24"/>
        </w:rPr>
        <w:t xml:space="preserve"> is at value incompliance with clause (iii) of s.2(19AA)</w:t>
      </w:r>
    </w:p>
    <w:p w:rsidR="00F03D9C" w:rsidRPr="00B013C3" w:rsidRDefault="00F03D9C" w:rsidP="00D30D0A">
      <w:pPr>
        <w:pStyle w:val="ListParagraph"/>
        <w:numPr>
          <w:ilvl w:val="0"/>
          <w:numId w:val="4"/>
        </w:numPr>
        <w:spacing w:after="240" w:line="240" w:lineRule="auto"/>
        <w:contextualSpacing w:val="0"/>
        <w:jc w:val="both"/>
        <w:rPr>
          <w:rFonts w:ascii="Arial" w:hAnsi="Arial" w:cs="Arial"/>
          <w:sz w:val="24"/>
          <w:szCs w:val="24"/>
        </w:rPr>
      </w:pPr>
      <w:r w:rsidRPr="00B013C3">
        <w:rPr>
          <w:rFonts w:ascii="Arial" w:hAnsi="Arial" w:cs="Arial"/>
          <w:sz w:val="24"/>
          <w:szCs w:val="24"/>
        </w:rPr>
        <w:t xml:space="preserve">In consideration of demerger, </w:t>
      </w:r>
      <w:proofErr w:type="spellStart"/>
      <w:r w:rsidRPr="00B013C3">
        <w:rPr>
          <w:rFonts w:ascii="Arial" w:hAnsi="Arial" w:cs="Arial"/>
          <w:sz w:val="24"/>
          <w:szCs w:val="24"/>
        </w:rPr>
        <w:t>RCo</w:t>
      </w:r>
      <w:proofErr w:type="spellEnd"/>
      <w:r w:rsidRPr="00B013C3">
        <w:rPr>
          <w:rFonts w:ascii="Arial" w:hAnsi="Arial" w:cs="Arial"/>
          <w:sz w:val="24"/>
          <w:szCs w:val="24"/>
        </w:rPr>
        <w:t xml:space="preserve"> issues its own shares to shareholders of </w:t>
      </w:r>
      <w:proofErr w:type="spellStart"/>
      <w:r>
        <w:rPr>
          <w:rFonts w:ascii="Arial" w:hAnsi="Arial" w:cs="Arial"/>
          <w:sz w:val="24"/>
          <w:szCs w:val="24"/>
        </w:rPr>
        <w:t>D</w:t>
      </w:r>
      <w:r w:rsidRPr="00B013C3">
        <w:rPr>
          <w:rFonts w:ascii="Arial" w:hAnsi="Arial" w:cs="Arial"/>
          <w:sz w:val="24"/>
          <w:szCs w:val="24"/>
        </w:rPr>
        <w:t>Co</w:t>
      </w:r>
      <w:proofErr w:type="spellEnd"/>
      <w:r w:rsidRPr="00B013C3">
        <w:rPr>
          <w:rFonts w:ascii="Arial" w:hAnsi="Arial" w:cs="Arial"/>
          <w:sz w:val="24"/>
          <w:szCs w:val="24"/>
        </w:rPr>
        <w:t xml:space="preserve"> on a proportionate basis</w:t>
      </w:r>
    </w:p>
    <w:p w:rsidR="00F03D9C" w:rsidRPr="00B013C3" w:rsidRDefault="00F03D9C" w:rsidP="00D30D0A">
      <w:pPr>
        <w:pStyle w:val="ListParagraph"/>
        <w:numPr>
          <w:ilvl w:val="0"/>
          <w:numId w:val="4"/>
        </w:numPr>
        <w:spacing w:after="240" w:line="240" w:lineRule="auto"/>
        <w:contextualSpacing w:val="0"/>
        <w:jc w:val="both"/>
        <w:rPr>
          <w:rFonts w:ascii="Arial" w:hAnsi="Arial" w:cs="Arial"/>
          <w:sz w:val="24"/>
          <w:szCs w:val="24"/>
        </w:rPr>
      </w:pPr>
      <w:r w:rsidRPr="00B013C3">
        <w:rPr>
          <w:rFonts w:ascii="Arial" w:hAnsi="Arial" w:cs="Arial"/>
          <w:sz w:val="24"/>
          <w:szCs w:val="24"/>
        </w:rPr>
        <w:t xml:space="preserve">Shareholders holding not less than 75% of value of shares in </w:t>
      </w:r>
      <w:proofErr w:type="spellStart"/>
      <w:r w:rsidRPr="00B013C3">
        <w:rPr>
          <w:rFonts w:ascii="Arial" w:hAnsi="Arial" w:cs="Arial"/>
          <w:sz w:val="24"/>
          <w:szCs w:val="24"/>
        </w:rPr>
        <w:t>DCo</w:t>
      </w:r>
      <w:proofErr w:type="spellEnd"/>
      <w:r>
        <w:rPr>
          <w:rFonts w:ascii="Arial" w:hAnsi="Arial" w:cs="Arial"/>
          <w:sz w:val="24"/>
          <w:szCs w:val="24"/>
        </w:rPr>
        <w:t xml:space="preserve"> </w:t>
      </w:r>
      <w:r w:rsidRPr="00B013C3">
        <w:rPr>
          <w:rFonts w:ascii="Arial" w:hAnsi="Arial" w:cs="Arial"/>
          <w:sz w:val="24"/>
          <w:szCs w:val="24"/>
        </w:rPr>
        <w:t xml:space="preserve">become shareholders in </w:t>
      </w:r>
      <w:proofErr w:type="spellStart"/>
      <w:r w:rsidRPr="00B013C3">
        <w:rPr>
          <w:rFonts w:ascii="Arial" w:hAnsi="Arial" w:cs="Arial"/>
          <w:sz w:val="24"/>
          <w:szCs w:val="24"/>
        </w:rPr>
        <w:t>RCo</w:t>
      </w:r>
      <w:proofErr w:type="spellEnd"/>
      <w:r w:rsidRPr="00B013C3">
        <w:rPr>
          <w:rFonts w:ascii="Arial" w:hAnsi="Arial" w:cs="Arial"/>
          <w:sz w:val="24"/>
          <w:szCs w:val="24"/>
        </w:rPr>
        <w:t xml:space="preserve"> by virtue of demerger</w:t>
      </w:r>
    </w:p>
    <w:p w:rsidR="00F03D9C" w:rsidRPr="00B013C3" w:rsidRDefault="00F03D9C" w:rsidP="00D30D0A">
      <w:pPr>
        <w:pStyle w:val="ListParagraph"/>
        <w:numPr>
          <w:ilvl w:val="0"/>
          <w:numId w:val="4"/>
        </w:numPr>
        <w:spacing w:after="240" w:line="240" w:lineRule="auto"/>
        <w:contextualSpacing w:val="0"/>
        <w:jc w:val="both"/>
        <w:rPr>
          <w:rFonts w:ascii="Arial" w:hAnsi="Arial" w:cs="Arial"/>
          <w:sz w:val="24"/>
          <w:szCs w:val="24"/>
        </w:rPr>
      </w:pPr>
      <w:r w:rsidRPr="00B013C3">
        <w:rPr>
          <w:rFonts w:ascii="Arial" w:hAnsi="Arial" w:cs="Arial"/>
          <w:sz w:val="24"/>
          <w:szCs w:val="24"/>
        </w:rPr>
        <w:t xml:space="preserve">The </w:t>
      </w:r>
      <w:r>
        <w:rPr>
          <w:rFonts w:ascii="Arial" w:hAnsi="Arial" w:cs="Arial"/>
          <w:sz w:val="24"/>
          <w:szCs w:val="24"/>
        </w:rPr>
        <w:t xml:space="preserve">control over </w:t>
      </w:r>
      <w:r w:rsidRPr="00B013C3">
        <w:rPr>
          <w:rFonts w:ascii="Arial" w:hAnsi="Arial" w:cs="Arial"/>
          <w:sz w:val="24"/>
          <w:szCs w:val="24"/>
        </w:rPr>
        <w:t xml:space="preserve">regulated business carried on by </w:t>
      </w:r>
      <w:proofErr w:type="spellStart"/>
      <w:r w:rsidRPr="00B013C3">
        <w:rPr>
          <w:rFonts w:ascii="Arial" w:hAnsi="Arial" w:cs="Arial"/>
          <w:sz w:val="24"/>
          <w:szCs w:val="24"/>
        </w:rPr>
        <w:t>OpCo</w:t>
      </w:r>
      <w:proofErr w:type="spellEnd"/>
      <w:r w:rsidRPr="00B013C3">
        <w:rPr>
          <w:rFonts w:ascii="Arial" w:hAnsi="Arial" w:cs="Arial"/>
          <w:sz w:val="24"/>
          <w:szCs w:val="24"/>
        </w:rPr>
        <w:t xml:space="preserve"> is transferred on a going concern basis through the medium of transfer of shares</w:t>
      </w:r>
    </w:p>
    <w:p w:rsidR="00F03D9C" w:rsidRDefault="00F03D9C" w:rsidP="00D30D0A">
      <w:pPr>
        <w:spacing w:after="240" w:line="240" w:lineRule="auto"/>
        <w:jc w:val="both"/>
        <w:rPr>
          <w:rFonts w:ascii="Arial" w:hAnsi="Arial" w:cs="Arial"/>
          <w:sz w:val="24"/>
          <w:szCs w:val="24"/>
        </w:rPr>
      </w:pPr>
      <w:r>
        <w:rPr>
          <w:rFonts w:ascii="Arial" w:hAnsi="Arial" w:cs="Arial"/>
          <w:sz w:val="24"/>
          <w:szCs w:val="24"/>
        </w:rPr>
        <w:t xml:space="preserve">The Balance Sheet of </w:t>
      </w:r>
      <w:proofErr w:type="spellStart"/>
      <w:r>
        <w:rPr>
          <w:rFonts w:ascii="Arial" w:hAnsi="Arial" w:cs="Arial"/>
          <w:sz w:val="24"/>
          <w:szCs w:val="24"/>
        </w:rPr>
        <w:t>DCo</w:t>
      </w:r>
      <w:proofErr w:type="spellEnd"/>
      <w:r>
        <w:rPr>
          <w:rFonts w:ascii="Arial" w:hAnsi="Arial" w:cs="Arial"/>
          <w:sz w:val="24"/>
          <w:szCs w:val="24"/>
        </w:rPr>
        <w:t xml:space="preserve"> prior to demerger is as </w:t>
      </w:r>
      <w:proofErr w:type="gramStart"/>
      <w:r>
        <w:rPr>
          <w:rFonts w:ascii="Arial" w:hAnsi="Arial" w:cs="Arial"/>
          <w:sz w:val="24"/>
          <w:szCs w:val="24"/>
        </w:rPr>
        <w:t>follows :</w:t>
      </w:r>
      <w:proofErr w:type="gramEnd"/>
      <w:r>
        <w:rPr>
          <w:rFonts w:ascii="Arial" w:hAnsi="Arial" w:cs="Arial"/>
          <w:sz w:val="24"/>
          <w:szCs w:val="24"/>
        </w:rPr>
        <w:t>-</w:t>
      </w:r>
    </w:p>
    <w:tbl>
      <w:tblPr>
        <w:tblStyle w:val="TableGrid"/>
        <w:tblW w:w="0" w:type="auto"/>
        <w:tblLook w:val="04A0"/>
      </w:tblPr>
      <w:tblGrid>
        <w:gridCol w:w="3256"/>
        <w:gridCol w:w="750"/>
        <w:gridCol w:w="1092"/>
        <w:gridCol w:w="2835"/>
        <w:gridCol w:w="1150"/>
      </w:tblGrid>
      <w:tr w:rsidR="00F03D9C" w:rsidTr="00307251">
        <w:tc>
          <w:tcPr>
            <w:tcW w:w="4006" w:type="dxa"/>
            <w:gridSpan w:val="2"/>
          </w:tcPr>
          <w:p w:rsidR="00F03D9C" w:rsidRDefault="00F03D9C" w:rsidP="00D30D0A">
            <w:pPr>
              <w:jc w:val="both"/>
              <w:rPr>
                <w:rFonts w:ascii="Arial" w:hAnsi="Arial" w:cs="Arial"/>
                <w:sz w:val="24"/>
                <w:szCs w:val="24"/>
              </w:rPr>
            </w:pPr>
            <w:r>
              <w:rPr>
                <w:rFonts w:ascii="Arial" w:hAnsi="Arial" w:cs="Arial"/>
                <w:sz w:val="24"/>
                <w:szCs w:val="24"/>
              </w:rPr>
              <w:t>Liabilities</w:t>
            </w:r>
          </w:p>
        </w:tc>
        <w:tc>
          <w:tcPr>
            <w:tcW w:w="1092" w:type="dxa"/>
          </w:tcPr>
          <w:p w:rsidR="00F03D9C" w:rsidRDefault="00F03D9C" w:rsidP="00D30D0A">
            <w:pPr>
              <w:jc w:val="both"/>
              <w:rPr>
                <w:rFonts w:ascii="Arial" w:hAnsi="Arial" w:cs="Arial"/>
                <w:sz w:val="24"/>
                <w:szCs w:val="24"/>
              </w:rPr>
            </w:pPr>
            <w:r>
              <w:rPr>
                <w:rFonts w:ascii="Arial" w:hAnsi="Arial" w:cs="Arial"/>
                <w:sz w:val="24"/>
                <w:szCs w:val="24"/>
              </w:rPr>
              <w:t>Rs. in Cr</w:t>
            </w:r>
          </w:p>
        </w:tc>
        <w:tc>
          <w:tcPr>
            <w:tcW w:w="2835" w:type="dxa"/>
          </w:tcPr>
          <w:p w:rsidR="00F03D9C" w:rsidRDefault="00F03D9C" w:rsidP="00D30D0A">
            <w:pPr>
              <w:jc w:val="both"/>
              <w:rPr>
                <w:rFonts w:ascii="Arial" w:hAnsi="Arial" w:cs="Arial"/>
                <w:sz w:val="24"/>
                <w:szCs w:val="24"/>
              </w:rPr>
            </w:pPr>
            <w:r>
              <w:rPr>
                <w:rFonts w:ascii="Arial" w:hAnsi="Arial" w:cs="Arial"/>
                <w:sz w:val="24"/>
                <w:szCs w:val="24"/>
              </w:rPr>
              <w:t>Assets</w:t>
            </w:r>
          </w:p>
        </w:tc>
        <w:tc>
          <w:tcPr>
            <w:tcW w:w="0" w:type="auto"/>
          </w:tcPr>
          <w:p w:rsidR="00F03D9C" w:rsidRDefault="00F03D9C" w:rsidP="00D30D0A">
            <w:pPr>
              <w:jc w:val="both"/>
              <w:rPr>
                <w:rFonts w:ascii="Arial" w:hAnsi="Arial" w:cs="Arial"/>
                <w:sz w:val="24"/>
                <w:szCs w:val="24"/>
              </w:rPr>
            </w:pPr>
            <w:r>
              <w:rPr>
                <w:rFonts w:ascii="Arial" w:hAnsi="Arial" w:cs="Arial"/>
                <w:sz w:val="24"/>
                <w:szCs w:val="24"/>
              </w:rPr>
              <w:t>Rs. in Cr</w:t>
            </w:r>
          </w:p>
        </w:tc>
      </w:tr>
      <w:tr w:rsidR="00F03D9C" w:rsidTr="00307251">
        <w:tc>
          <w:tcPr>
            <w:tcW w:w="3256" w:type="dxa"/>
          </w:tcPr>
          <w:p w:rsidR="00F03D9C" w:rsidRDefault="00F03D9C" w:rsidP="00D30D0A">
            <w:pPr>
              <w:jc w:val="both"/>
              <w:rPr>
                <w:rFonts w:ascii="Arial" w:hAnsi="Arial" w:cs="Arial"/>
                <w:sz w:val="24"/>
                <w:szCs w:val="24"/>
              </w:rPr>
            </w:pPr>
            <w:r>
              <w:rPr>
                <w:rFonts w:ascii="Arial" w:hAnsi="Arial" w:cs="Arial"/>
                <w:sz w:val="24"/>
                <w:szCs w:val="24"/>
              </w:rPr>
              <w:t>Share Capital (A)</w:t>
            </w:r>
          </w:p>
        </w:tc>
        <w:tc>
          <w:tcPr>
            <w:tcW w:w="750" w:type="dxa"/>
          </w:tcPr>
          <w:p w:rsidR="00F03D9C" w:rsidRDefault="00F03D9C" w:rsidP="00D30D0A">
            <w:pPr>
              <w:jc w:val="center"/>
              <w:rPr>
                <w:rFonts w:ascii="Arial" w:hAnsi="Arial" w:cs="Arial"/>
                <w:sz w:val="24"/>
                <w:szCs w:val="24"/>
              </w:rPr>
            </w:pPr>
            <w:r>
              <w:rPr>
                <w:rFonts w:ascii="Arial" w:hAnsi="Arial" w:cs="Arial"/>
                <w:sz w:val="24"/>
                <w:szCs w:val="24"/>
              </w:rPr>
              <w:t>500</w:t>
            </w:r>
          </w:p>
        </w:tc>
        <w:tc>
          <w:tcPr>
            <w:tcW w:w="1092" w:type="dxa"/>
          </w:tcPr>
          <w:p w:rsidR="00F03D9C" w:rsidRDefault="00F03D9C" w:rsidP="00D30D0A">
            <w:pPr>
              <w:jc w:val="center"/>
              <w:rPr>
                <w:rFonts w:ascii="Arial" w:hAnsi="Arial" w:cs="Arial"/>
                <w:sz w:val="24"/>
                <w:szCs w:val="24"/>
              </w:rPr>
            </w:pPr>
          </w:p>
        </w:tc>
        <w:tc>
          <w:tcPr>
            <w:tcW w:w="2835" w:type="dxa"/>
          </w:tcPr>
          <w:p w:rsidR="00F03D9C" w:rsidRDefault="00F03D9C" w:rsidP="00D30D0A">
            <w:pPr>
              <w:jc w:val="both"/>
              <w:rPr>
                <w:rFonts w:ascii="Arial" w:hAnsi="Arial" w:cs="Arial"/>
                <w:sz w:val="24"/>
                <w:szCs w:val="24"/>
              </w:rPr>
            </w:pPr>
            <w:r>
              <w:rPr>
                <w:rFonts w:ascii="Arial" w:hAnsi="Arial" w:cs="Arial"/>
                <w:sz w:val="24"/>
                <w:szCs w:val="24"/>
              </w:rPr>
              <w:t xml:space="preserve">Shares of </w:t>
            </w:r>
            <w:proofErr w:type="spellStart"/>
            <w:r>
              <w:rPr>
                <w:rFonts w:ascii="Arial" w:hAnsi="Arial" w:cs="Arial"/>
                <w:sz w:val="24"/>
                <w:szCs w:val="24"/>
              </w:rPr>
              <w:t>OpCo</w:t>
            </w:r>
            <w:proofErr w:type="spellEnd"/>
          </w:p>
        </w:tc>
        <w:tc>
          <w:tcPr>
            <w:tcW w:w="0" w:type="auto"/>
          </w:tcPr>
          <w:p w:rsidR="00F03D9C" w:rsidRDefault="00F03D9C" w:rsidP="00D30D0A">
            <w:pPr>
              <w:jc w:val="center"/>
              <w:rPr>
                <w:rFonts w:ascii="Arial" w:hAnsi="Arial" w:cs="Arial"/>
                <w:sz w:val="24"/>
                <w:szCs w:val="24"/>
              </w:rPr>
            </w:pPr>
            <w:r>
              <w:rPr>
                <w:rFonts w:ascii="Arial" w:hAnsi="Arial" w:cs="Arial"/>
                <w:sz w:val="24"/>
                <w:szCs w:val="24"/>
              </w:rPr>
              <w:t>1000</w:t>
            </w:r>
          </w:p>
        </w:tc>
      </w:tr>
      <w:tr w:rsidR="00F03D9C" w:rsidTr="00307251">
        <w:tc>
          <w:tcPr>
            <w:tcW w:w="3256" w:type="dxa"/>
          </w:tcPr>
          <w:p w:rsidR="00F03D9C" w:rsidRDefault="00F03D9C" w:rsidP="00D30D0A">
            <w:pPr>
              <w:jc w:val="both"/>
              <w:rPr>
                <w:rFonts w:ascii="Arial" w:hAnsi="Arial" w:cs="Arial"/>
                <w:sz w:val="24"/>
                <w:szCs w:val="24"/>
              </w:rPr>
            </w:pPr>
            <w:r>
              <w:rPr>
                <w:rFonts w:ascii="Arial" w:hAnsi="Arial" w:cs="Arial"/>
                <w:sz w:val="24"/>
                <w:szCs w:val="24"/>
              </w:rPr>
              <w:t>General Reserves (B)</w:t>
            </w:r>
          </w:p>
        </w:tc>
        <w:tc>
          <w:tcPr>
            <w:tcW w:w="750" w:type="dxa"/>
          </w:tcPr>
          <w:p w:rsidR="00F03D9C" w:rsidRDefault="00F03D9C" w:rsidP="00D30D0A">
            <w:pPr>
              <w:jc w:val="center"/>
              <w:rPr>
                <w:rFonts w:ascii="Arial" w:hAnsi="Arial" w:cs="Arial"/>
                <w:sz w:val="24"/>
                <w:szCs w:val="24"/>
              </w:rPr>
            </w:pPr>
            <w:r>
              <w:rPr>
                <w:rFonts w:ascii="Arial" w:hAnsi="Arial" w:cs="Arial"/>
                <w:sz w:val="24"/>
                <w:szCs w:val="24"/>
              </w:rPr>
              <w:t>1500</w:t>
            </w:r>
          </w:p>
        </w:tc>
        <w:tc>
          <w:tcPr>
            <w:tcW w:w="1092" w:type="dxa"/>
          </w:tcPr>
          <w:p w:rsidR="00F03D9C" w:rsidRDefault="00F03D9C" w:rsidP="00D30D0A">
            <w:pPr>
              <w:jc w:val="center"/>
              <w:rPr>
                <w:rFonts w:ascii="Arial" w:hAnsi="Arial" w:cs="Arial"/>
                <w:sz w:val="24"/>
                <w:szCs w:val="24"/>
              </w:rPr>
            </w:pPr>
          </w:p>
        </w:tc>
        <w:tc>
          <w:tcPr>
            <w:tcW w:w="2835" w:type="dxa"/>
          </w:tcPr>
          <w:p w:rsidR="00F03D9C" w:rsidRDefault="00F03D9C" w:rsidP="00D30D0A">
            <w:pPr>
              <w:jc w:val="both"/>
              <w:rPr>
                <w:rFonts w:ascii="Arial" w:hAnsi="Arial" w:cs="Arial"/>
                <w:sz w:val="24"/>
                <w:szCs w:val="24"/>
              </w:rPr>
            </w:pPr>
            <w:r>
              <w:rPr>
                <w:rFonts w:ascii="Arial" w:hAnsi="Arial" w:cs="Arial"/>
                <w:sz w:val="24"/>
                <w:szCs w:val="24"/>
              </w:rPr>
              <w:t xml:space="preserve">Other Assets </w:t>
            </w:r>
          </w:p>
        </w:tc>
        <w:tc>
          <w:tcPr>
            <w:tcW w:w="0" w:type="auto"/>
          </w:tcPr>
          <w:p w:rsidR="00F03D9C" w:rsidRDefault="00F03D9C" w:rsidP="00D30D0A">
            <w:pPr>
              <w:jc w:val="center"/>
              <w:rPr>
                <w:rFonts w:ascii="Arial" w:hAnsi="Arial" w:cs="Arial"/>
                <w:sz w:val="24"/>
                <w:szCs w:val="24"/>
              </w:rPr>
            </w:pPr>
            <w:r>
              <w:rPr>
                <w:rFonts w:ascii="Arial" w:hAnsi="Arial" w:cs="Arial"/>
                <w:sz w:val="24"/>
                <w:szCs w:val="24"/>
              </w:rPr>
              <w:t>2000</w:t>
            </w:r>
          </w:p>
        </w:tc>
      </w:tr>
      <w:tr w:rsidR="00F03D9C" w:rsidTr="00307251">
        <w:tc>
          <w:tcPr>
            <w:tcW w:w="3256" w:type="dxa"/>
          </w:tcPr>
          <w:p w:rsidR="00F03D9C" w:rsidRDefault="00F03D9C" w:rsidP="00D30D0A">
            <w:pPr>
              <w:jc w:val="both"/>
              <w:rPr>
                <w:rFonts w:ascii="Arial" w:hAnsi="Arial" w:cs="Arial"/>
                <w:sz w:val="24"/>
                <w:szCs w:val="24"/>
              </w:rPr>
            </w:pPr>
            <w:r>
              <w:rPr>
                <w:rFonts w:ascii="Arial" w:hAnsi="Arial" w:cs="Arial"/>
                <w:sz w:val="24"/>
                <w:szCs w:val="24"/>
              </w:rPr>
              <w:t>Net worth (A + B)</w:t>
            </w:r>
          </w:p>
        </w:tc>
        <w:tc>
          <w:tcPr>
            <w:tcW w:w="750" w:type="dxa"/>
          </w:tcPr>
          <w:p w:rsidR="00F03D9C" w:rsidRDefault="00F03D9C" w:rsidP="00D30D0A">
            <w:pPr>
              <w:jc w:val="center"/>
              <w:rPr>
                <w:rFonts w:ascii="Arial" w:hAnsi="Arial" w:cs="Arial"/>
                <w:sz w:val="24"/>
                <w:szCs w:val="24"/>
              </w:rPr>
            </w:pPr>
          </w:p>
        </w:tc>
        <w:tc>
          <w:tcPr>
            <w:tcW w:w="1092" w:type="dxa"/>
          </w:tcPr>
          <w:p w:rsidR="00F03D9C" w:rsidRDefault="00F03D9C" w:rsidP="00D30D0A">
            <w:pPr>
              <w:jc w:val="center"/>
              <w:rPr>
                <w:rFonts w:ascii="Arial" w:hAnsi="Arial" w:cs="Arial"/>
                <w:sz w:val="24"/>
                <w:szCs w:val="24"/>
              </w:rPr>
            </w:pPr>
            <w:r>
              <w:rPr>
                <w:rFonts w:ascii="Arial" w:hAnsi="Arial" w:cs="Arial"/>
                <w:sz w:val="24"/>
                <w:szCs w:val="24"/>
              </w:rPr>
              <w:t>2000</w:t>
            </w:r>
          </w:p>
        </w:tc>
        <w:tc>
          <w:tcPr>
            <w:tcW w:w="2835" w:type="dxa"/>
          </w:tcPr>
          <w:p w:rsidR="00F03D9C" w:rsidRDefault="00F03D9C" w:rsidP="00D30D0A">
            <w:pPr>
              <w:jc w:val="both"/>
              <w:rPr>
                <w:rFonts w:ascii="Arial" w:hAnsi="Arial" w:cs="Arial"/>
                <w:sz w:val="24"/>
                <w:szCs w:val="24"/>
              </w:rPr>
            </w:pPr>
          </w:p>
        </w:tc>
        <w:tc>
          <w:tcPr>
            <w:tcW w:w="0" w:type="auto"/>
          </w:tcPr>
          <w:p w:rsidR="00F03D9C" w:rsidRDefault="00F03D9C" w:rsidP="00D30D0A">
            <w:pPr>
              <w:jc w:val="center"/>
              <w:rPr>
                <w:rFonts w:ascii="Arial" w:hAnsi="Arial" w:cs="Arial"/>
                <w:sz w:val="24"/>
                <w:szCs w:val="24"/>
              </w:rPr>
            </w:pPr>
          </w:p>
        </w:tc>
      </w:tr>
      <w:tr w:rsidR="00F03D9C" w:rsidTr="00307251">
        <w:tc>
          <w:tcPr>
            <w:tcW w:w="3256" w:type="dxa"/>
          </w:tcPr>
          <w:p w:rsidR="00F03D9C" w:rsidRDefault="00F03D9C" w:rsidP="00D30D0A">
            <w:pPr>
              <w:jc w:val="both"/>
              <w:rPr>
                <w:rFonts w:ascii="Arial" w:hAnsi="Arial" w:cs="Arial"/>
                <w:sz w:val="24"/>
                <w:szCs w:val="24"/>
              </w:rPr>
            </w:pPr>
            <w:r>
              <w:rPr>
                <w:rFonts w:ascii="Arial" w:hAnsi="Arial" w:cs="Arial"/>
                <w:sz w:val="24"/>
                <w:szCs w:val="24"/>
              </w:rPr>
              <w:t xml:space="preserve">Liabilities (unrelated to </w:t>
            </w:r>
            <w:proofErr w:type="spellStart"/>
            <w:r>
              <w:rPr>
                <w:rFonts w:ascii="Arial" w:hAnsi="Arial" w:cs="Arial"/>
                <w:sz w:val="24"/>
                <w:szCs w:val="24"/>
              </w:rPr>
              <w:t>OpCo</w:t>
            </w:r>
            <w:proofErr w:type="spellEnd"/>
            <w:r>
              <w:rPr>
                <w:rFonts w:ascii="Arial" w:hAnsi="Arial" w:cs="Arial"/>
                <w:sz w:val="24"/>
                <w:szCs w:val="24"/>
              </w:rPr>
              <w:t xml:space="preserve"> shares)</w:t>
            </w:r>
          </w:p>
        </w:tc>
        <w:tc>
          <w:tcPr>
            <w:tcW w:w="750" w:type="dxa"/>
          </w:tcPr>
          <w:p w:rsidR="00F03D9C" w:rsidRDefault="00F03D9C" w:rsidP="00D30D0A">
            <w:pPr>
              <w:jc w:val="center"/>
              <w:rPr>
                <w:rFonts w:ascii="Arial" w:hAnsi="Arial" w:cs="Arial"/>
                <w:sz w:val="24"/>
                <w:szCs w:val="24"/>
              </w:rPr>
            </w:pPr>
          </w:p>
        </w:tc>
        <w:tc>
          <w:tcPr>
            <w:tcW w:w="1092" w:type="dxa"/>
          </w:tcPr>
          <w:p w:rsidR="00F03D9C" w:rsidRDefault="00F03D9C" w:rsidP="00D30D0A">
            <w:pPr>
              <w:jc w:val="center"/>
              <w:rPr>
                <w:rFonts w:ascii="Arial" w:hAnsi="Arial" w:cs="Arial"/>
                <w:sz w:val="24"/>
                <w:szCs w:val="24"/>
              </w:rPr>
            </w:pPr>
            <w:r>
              <w:rPr>
                <w:rFonts w:ascii="Arial" w:hAnsi="Arial" w:cs="Arial"/>
                <w:sz w:val="24"/>
                <w:szCs w:val="24"/>
              </w:rPr>
              <w:t>1000</w:t>
            </w:r>
          </w:p>
        </w:tc>
        <w:tc>
          <w:tcPr>
            <w:tcW w:w="2835" w:type="dxa"/>
          </w:tcPr>
          <w:p w:rsidR="00F03D9C" w:rsidRDefault="00F03D9C" w:rsidP="00D30D0A">
            <w:pPr>
              <w:jc w:val="both"/>
              <w:rPr>
                <w:rFonts w:ascii="Arial" w:hAnsi="Arial" w:cs="Arial"/>
                <w:sz w:val="24"/>
                <w:szCs w:val="24"/>
              </w:rPr>
            </w:pPr>
          </w:p>
        </w:tc>
        <w:tc>
          <w:tcPr>
            <w:tcW w:w="0" w:type="auto"/>
          </w:tcPr>
          <w:p w:rsidR="00F03D9C" w:rsidRDefault="00F03D9C" w:rsidP="00D30D0A">
            <w:pPr>
              <w:jc w:val="center"/>
              <w:rPr>
                <w:rFonts w:ascii="Arial" w:hAnsi="Arial" w:cs="Arial"/>
                <w:sz w:val="24"/>
                <w:szCs w:val="24"/>
              </w:rPr>
            </w:pPr>
          </w:p>
        </w:tc>
      </w:tr>
      <w:tr w:rsidR="00F03D9C" w:rsidTr="00307251">
        <w:tc>
          <w:tcPr>
            <w:tcW w:w="3256" w:type="dxa"/>
          </w:tcPr>
          <w:p w:rsidR="00F03D9C" w:rsidRDefault="00F03D9C" w:rsidP="00D30D0A">
            <w:pPr>
              <w:jc w:val="both"/>
              <w:rPr>
                <w:rFonts w:ascii="Arial" w:hAnsi="Arial" w:cs="Arial"/>
                <w:sz w:val="24"/>
                <w:szCs w:val="24"/>
              </w:rPr>
            </w:pPr>
            <w:r>
              <w:rPr>
                <w:rFonts w:ascii="Arial" w:hAnsi="Arial" w:cs="Arial"/>
                <w:sz w:val="24"/>
                <w:szCs w:val="24"/>
              </w:rPr>
              <w:t>Total</w:t>
            </w:r>
          </w:p>
        </w:tc>
        <w:tc>
          <w:tcPr>
            <w:tcW w:w="750" w:type="dxa"/>
          </w:tcPr>
          <w:p w:rsidR="00F03D9C" w:rsidRDefault="00F03D9C" w:rsidP="00D30D0A">
            <w:pPr>
              <w:jc w:val="center"/>
              <w:rPr>
                <w:rFonts w:ascii="Arial" w:hAnsi="Arial" w:cs="Arial"/>
                <w:sz w:val="24"/>
                <w:szCs w:val="24"/>
              </w:rPr>
            </w:pPr>
          </w:p>
        </w:tc>
        <w:tc>
          <w:tcPr>
            <w:tcW w:w="1092" w:type="dxa"/>
          </w:tcPr>
          <w:p w:rsidR="00F03D9C" w:rsidRDefault="00F03D9C" w:rsidP="00D30D0A">
            <w:pPr>
              <w:jc w:val="center"/>
              <w:rPr>
                <w:rFonts w:ascii="Arial" w:hAnsi="Arial" w:cs="Arial"/>
                <w:sz w:val="24"/>
                <w:szCs w:val="24"/>
              </w:rPr>
            </w:pPr>
            <w:r>
              <w:rPr>
                <w:rFonts w:ascii="Arial" w:hAnsi="Arial" w:cs="Arial"/>
                <w:sz w:val="24"/>
                <w:szCs w:val="24"/>
              </w:rPr>
              <w:t>3000</w:t>
            </w:r>
          </w:p>
        </w:tc>
        <w:tc>
          <w:tcPr>
            <w:tcW w:w="2835" w:type="dxa"/>
          </w:tcPr>
          <w:p w:rsidR="00F03D9C" w:rsidRDefault="00F03D9C" w:rsidP="00D30D0A">
            <w:pPr>
              <w:jc w:val="both"/>
              <w:rPr>
                <w:rFonts w:ascii="Arial" w:hAnsi="Arial" w:cs="Arial"/>
                <w:sz w:val="24"/>
                <w:szCs w:val="24"/>
              </w:rPr>
            </w:pPr>
            <w:r>
              <w:rPr>
                <w:rFonts w:ascii="Arial" w:hAnsi="Arial" w:cs="Arial"/>
                <w:sz w:val="24"/>
                <w:szCs w:val="24"/>
              </w:rPr>
              <w:t>Total</w:t>
            </w:r>
          </w:p>
        </w:tc>
        <w:tc>
          <w:tcPr>
            <w:tcW w:w="0" w:type="auto"/>
          </w:tcPr>
          <w:p w:rsidR="00F03D9C" w:rsidRDefault="00F03D9C" w:rsidP="00D30D0A">
            <w:pPr>
              <w:jc w:val="center"/>
              <w:rPr>
                <w:rFonts w:ascii="Arial" w:hAnsi="Arial" w:cs="Arial"/>
                <w:sz w:val="24"/>
                <w:szCs w:val="24"/>
              </w:rPr>
            </w:pPr>
            <w:r>
              <w:rPr>
                <w:rFonts w:ascii="Arial" w:hAnsi="Arial" w:cs="Arial"/>
                <w:sz w:val="24"/>
                <w:szCs w:val="24"/>
              </w:rPr>
              <w:t>3000</w:t>
            </w:r>
          </w:p>
        </w:tc>
      </w:tr>
    </w:tbl>
    <w:p w:rsidR="00F03D9C" w:rsidRDefault="00F03D9C" w:rsidP="00D30D0A">
      <w:pPr>
        <w:spacing w:after="0" w:line="240" w:lineRule="auto"/>
        <w:jc w:val="both"/>
        <w:rPr>
          <w:rFonts w:ascii="Arial" w:hAnsi="Arial" w:cs="Arial"/>
          <w:sz w:val="24"/>
          <w:szCs w:val="24"/>
        </w:rPr>
      </w:pPr>
    </w:p>
    <w:p w:rsidR="00F03D9C" w:rsidRDefault="00F03D9C" w:rsidP="00D30D0A">
      <w:pPr>
        <w:spacing w:after="120" w:line="240" w:lineRule="auto"/>
        <w:jc w:val="both"/>
        <w:rPr>
          <w:rFonts w:ascii="Arial" w:hAnsi="Arial" w:cs="Arial"/>
          <w:sz w:val="24"/>
          <w:szCs w:val="24"/>
        </w:rPr>
      </w:pPr>
      <w:proofErr w:type="spellStart"/>
      <w:r>
        <w:rPr>
          <w:rFonts w:ascii="Arial" w:hAnsi="Arial" w:cs="Arial"/>
          <w:sz w:val="24"/>
          <w:szCs w:val="24"/>
        </w:rPr>
        <w:t>RCo</w:t>
      </w:r>
      <w:proofErr w:type="spellEnd"/>
      <w:r>
        <w:rPr>
          <w:rFonts w:ascii="Arial" w:hAnsi="Arial" w:cs="Arial"/>
          <w:sz w:val="24"/>
          <w:szCs w:val="24"/>
        </w:rPr>
        <w:t xml:space="preserve"> will issue its own shares to shareholders of </w:t>
      </w:r>
      <w:proofErr w:type="spellStart"/>
      <w:r>
        <w:rPr>
          <w:rFonts w:ascii="Arial" w:hAnsi="Arial" w:cs="Arial"/>
          <w:sz w:val="24"/>
          <w:szCs w:val="24"/>
        </w:rPr>
        <w:t>DCo</w:t>
      </w:r>
      <w:proofErr w:type="spellEnd"/>
      <w:r>
        <w:rPr>
          <w:rFonts w:ascii="Arial" w:hAnsi="Arial" w:cs="Arial"/>
          <w:sz w:val="24"/>
          <w:szCs w:val="24"/>
        </w:rPr>
        <w:t xml:space="preserve"> on proportionate basis based on fair exchange ratio as determined by registered valuers/merchant bankers and approved by shareholders and creditors of both </w:t>
      </w:r>
      <w:proofErr w:type="spellStart"/>
      <w:r>
        <w:rPr>
          <w:rFonts w:ascii="Arial" w:hAnsi="Arial" w:cs="Arial"/>
          <w:sz w:val="24"/>
          <w:szCs w:val="24"/>
        </w:rPr>
        <w:t>DCo</w:t>
      </w:r>
      <w:proofErr w:type="spellEnd"/>
      <w:r>
        <w:rPr>
          <w:rFonts w:ascii="Arial" w:hAnsi="Arial" w:cs="Arial"/>
          <w:sz w:val="24"/>
          <w:szCs w:val="24"/>
        </w:rPr>
        <w:t xml:space="preserve"> and </w:t>
      </w:r>
      <w:proofErr w:type="spellStart"/>
      <w:r>
        <w:rPr>
          <w:rFonts w:ascii="Arial" w:hAnsi="Arial" w:cs="Arial"/>
          <w:sz w:val="24"/>
          <w:szCs w:val="24"/>
        </w:rPr>
        <w:t>RCo</w:t>
      </w:r>
      <w:proofErr w:type="spellEnd"/>
      <w:r>
        <w:rPr>
          <w:rFonts w:ascii="Arial" w:hAnsi="Arial" w:cs="Arial"/>
          <w:sz w:val="24"/>
          <w:szCs w:val="24"/>
        </w:rPr>
        <w:t>, NCLT and other regulatory authorities like RBI, IRDA, SEBI, etc.</w:t>
      </w:r>
    </w:p>
    <w:p w:rsidR="00F03D9C" w:rsidRDefault="00F03D9C" w:rsidP="00D30D0A">
      <w:pPr>
        <w:spacing w:after="240" w:line="240" w:lineRule="auto"/>
        <w:jc w:val="both"/>
        <w:rPr>
          <w:rFonts w:ascii="Arial" w:hAnsi="Arial" w:cs="Arial"/>
          <w:sz w:val="24"/>
          <w:szCs w:val="24"/>
        </w:rPr>
      </w:pPr>
      <w:r>
        <w:rPr>
          <w:rFonts w:ascii="Arial" w:hAnsi="Arial" w:cs="Arial"/>
          <w:sz w:val="24"/>
          <w:szCs w:val="24"/>
        </w:rPr>
        <w:t xml:space="preserve">One of the shareholders of </w:t>
      </w:r>
      <w:proofErr w:type="spellStart"/>
      <w:r>
        <w:rPr>
          <w:rFonts w:ascii="Arial" w:hAnsi="Arial" w:cs="Arial"/>
          <w:sz w:val="24"/>
          <w:szCs w:val="24"/>
        </w:rPr>
        <w:t>DCo</w:t>
      </w:r>
      <w:proofErr w:type="spellEnd"/>
      <w:r>
        <w:rPr>
          <w:rFonts w:ascii="Arial" w:hAnsi="Arial" w:cs="Arial"/>
          <w:sz w:val="24"/>
          <w:szCs w:val="24"/>
        </w:rPr>
        <w:t xml:space="preserve"> is Mr. X who holds 20% in </w:t>
      </w:r>
      <w:proofErr w:type="spellStart"/>
      <w:r>
        <w:rPr>
          <w:rFonts w:ascii="Arial" w:hAnsi="Arial" w:cs="Arial"/>
          <w:sz w:val="24"/>
          <w:szCs w:val="24"/>
        </w:rPr>
        <w:t>DCo</w:t>
      </w:r>
      <w:proofErr w:type="spellEnd"/>
      <w:r>
        <w:rPr>
          <w:rFonts w:ascii="Arial" w:hAnsi="Arial" w:cs="Arial"/>
          <w:sz w:val="24"/>
          <w:szCs w:val="24"/>
        </w:rPr>
        <w:t xml:space="preserve">. The cost of such shares in his hands is Rs. 100. By virtue of demerger, he gets proportionate shares of </w:t>
      </w:r>
      <w:proofErr w:type="spellStart"/>
      <w:r>
        <w:rPr>
          <w:rFonts w:ascii="Arial" w:hAnsi="Arial" w:cs="Arial"/>
          <w:sz w:val="24"/>
          <w:szCs w:val="24"/>
        </w:rPr>
        <w:t>RCo</w:t>
      </w:r>
      <w:proofErr w:type="spellEnd"/>
      <w:r>
        <w:rPr>
          <w:rFonts w:ascii="Arial" w:hAnsi="Arial" w:cs="Arial"/>
          <w:sz w:val="24"/>
          <w:szCs w:val="24"/>
        </w:rPr>
        <w:t xml:space="preserve">. </w:t>
      </w:r>
    </w:p>
    <w:p w:rsidR="00F03D9C" w:rsidRPr="001B7B74" w:rsidRDefault="00F03D9C" w:rsidP="00D30D0A">
      <w:pPr>
        <w:spacing w:after="240" w:line="240" w:lineRule="auto"/>
        <w:jc w:val="both"/>
        <w:rPr>
          <w:rFonts w:ascii="Arial" w:hAnsi="Arial" w:cs="Arial"/>
          <w:b/>
          <w:bCs/>
          <w:sz w:val="24"/>
          <w:szCs w:val="24"/>
          <w:u w:val="single"/>
        </w:rPr>
      </w:pPr>
      <w:r w:rsidRPr="001B7B74">
        <w:rPr>
          <w:rFonts w:ascii="Arial" w:hAnsi="Arial" w:cs="Arial"/>
          <w:b/>
          <w:bCs/>
          <w:sz w:val="24"/>
          <w:szCs w:val="24"/>
          <w:u w:val="single"/>
        </w:rPr>
        <w:t xml:space="preserve">Tax implications in hands of </w:t>
      </w:r>
      <w:proofErr w:type="spellStart"/>
      <w:r>
        <w:rPr>
          <w:rFonts w:ascii="Arial" w:hAnsi="Arial" w:cs="Arial"/>
          <w:b/>
          <w:bCs/>
          <w:sz w:val="24"/>
          <w:szCs w:val="24"/>
          <w:u w:val="single"/>
        </w:rPr>
        <w:t>D</w:t>
      </w:r>
      <w:r w:rsidRPr="001B7B74">
        <w:rPr>
          <w:rFonts w:ascii="Arial" w:hAnsi="Arial" w:cs="Arial"/>
          <w:b/>
          <w:bCs/>
          <w:sz w:val="24"/>
          <w:szCs w:val="24"/>
          <w:u w:val="single"/>
        </w:rPr>
        <w:t>Co</w:t>
      </w:r>
      <w:proofErr w:type="spellEnd"/>
      <w:r w:rsidRPr="001B7B74">
        <w:rPr>
          <w:rFonts w:ascii="Arial" w:hAnsi="Arial" w:cs="Arial"/>
          <w:b/>
          <w:bCs/>
          <w:sz w:val="24"/>
          <w:szCs w:val="24"/>
          <w:u w:val="single"/>
        </w:rPr>
        <w:t xml:space="preserve"> (Demerge</w:t>
      </w:r>
      <w:r>
        <w:rPr>
          <w:rFonts w:ascii="Arial" w:hAnsi="Arial" w:cs="Arial"/>
          <w:b/>
          <w:bCs/>
          <w:sz w:val="24"/>
          <w:szCs w:val="24"/>
          <w:u w:val="single"/>
        </w:rPr>
        <w:t xml:space="preserve">d </w:t>
      </w:r>
      <w:proofErr w:type="gramStart"/>
      <w:r>
        <w:rPr>
          <w:rFonts w:ascii="Arial" w:hAnsi="Arial" w:cs="Arial"/>
          <w:b/>
          <w:bCs/>
          <w:sz w:val="24"/>
          <w:szCs w:val="24"/>
          <w:u w:val="single"/>
        </w:rPr>
        <w:t>company</w:t>
      </w:r>
      <w:proofErr w:type="gramEnd"/>
      <w:r w:rsidRPr="001B7B74">
        <w:rPr>
          <w:rFonts w:ascii="Arial" w:hAnsi="Arial" w:cs="Arial"/>
          <w:b/>
          <w:bCs/>
          <w:sz w:val="24"/>
          <w:szCs w:val="24"/>
          <w:u w:val="single"/>
        </w:rPr>
        <w:t>)</w:t>
      </w:r>
    </w:p>
    <w:p w:rsidR="00F03D9C" w:rsidRDefault="00F03D9C" w:rsidP="00D30D0A">
      <w:pPr>
        <w:pStyle w:val="ListParagraph"/>
        <w:numPr>
          <w:ilvl w:val="0"/>
          <w:numId w:val="5"/>
        </w:numPr>
        <w:spacing w:after="240" w:line="240" w:lineRule="auto"/>
        <w:contextualSpacing w:val="0"/>
        <w:jc w:val="both"/>
        <w:rPr>
          <w:rFonts w:ascii="Arial" w:hAnsi="Arial" w:cs="Arial"/>
          <w:sz w:val="24"/>
          <w:szCs w:val="24"/>
        </w:rPr>
      </w:pPr>
      <w:r>
        <w:rPr>
          <w:rFonts w:ascii="Arial" w:hAnsi="Arial" w:cs="Arial"/>
          <w:sz w:val="24"/>
          <w:szCs w:val="24"/>
        </w:rPr>
        <w:t xml:space="preserve">The transfer of shares of </w:t>
      </w:r>
      <w:proofErr w:type="spellStart"/>
      <w:r>
        <w:rPr>
          <w:rFonts w:ascii="Arial" w:hAnsi="Arial" w:cs="Arial"/>
          <w:sz w:val="24"/>
          <w:szCs w:val="24"/>
        </w:rPr>
        <w:t>OpCo</w:t>
      </w:r>
      <w:proofErr w:type="spellEnd"/>
      <w:r>
        <w:rPr>
          <w:rFonts w:ascii="Arial" w:hAnsi="Arial" w:cs="Arial"/>
          <w:sz w:val="24"/>
          <w:szCs w:val="24"/>
        </w:rPr>
        <w:t xml:space="preserve"> to </w:t>
      </w:r>
      <w:proofErr w:type="spellStart"/>
      <w:r>
        <w:rPr>
          <w:rFonts w:ascii="Arial" w:hAnsi="Arial" w:cs="Arial"/>
          <w:sz w:val="24"/>
          <w:szCs w:val="24"/>
        </w:rPr>
        <w:t>RCo</w:t>
      </w:r>
      <w:proofErr w:type="spellEnd"/>
      <w:r>
        <w:rPr>
          <w:rFonts w:ascii="Arial" w:hAnsi="Arial" w:cs="Arial"/>
          <w:sz w:val="24"/>
          <w:szCs w:val="24"/>
        </w:rPr>
        <w:t xml:space="preserve"> will be exempt from capital gains u/s. 47(</w:t>
      </w:r>
      <w:proofErr w:type="spellStart"/>
      <w:r>
        <w:rPr>
          <w:rFonts w:ascii="Arial" w:hAnsi="Arial" w:cs="Arial"/>
          <w:sz w:val="24"/>
          <w:szCs w:val="24"/>
        </w:rPr>
        <w:t>vib</w:t>
      </w:r>
      <w:proofErr w:type="spellEnd"/>
      <w:r>
        <w:rPr>
          <w:rFonts w:ascii="Arial" w:hAnsi="Arial" w:cs="Arial"/>
          <w:sz w:val="24"/>
          <w:szCs w:val="24"/>
        </w:rPr>
        <w:t>)</w:t>
      </w:r>
    </w:p>
    <w:p w:rsidR="00F03D9C" w:rsidRDefault="00F03D9C" w:rsidP="00D30D0A">
      <w:pPr>
        <w:pStyle w:val="ListParagraph"/>
        <w:numPr>
          <w:ilvl w:val="0"/>
          <w:numId w:val="5"/>
        </w:numPr>
        <w:spacing w:after="240" w:line="240" w:lineRule="auto"/>
        <w:contextualSpacing w:val="0"/>
        <w:jc w:val="both"/>
        <w:rPr>
          <w:rFonts w:ascii="Arial" w:hAnsi="Arial" w:cs="Arial"/>
          <w:sz w:val="24"/>
          <w:szCs w:val="24"/>
        </w:rPr>
      </w:pPr>
      <w:r>
        <w:rPr>
          <w:rFonts w:ascii="Arial" w:hAnsi="Arial" w:cs="Arial"/>
          <w:sz w:val="24"/>
          <w:szCs w:val="24"/>
        </w:rPr>
        <w:t xml:space="preserve">The transfer of shares of </w:t>
      </w:r>
      <w:proofErr w:type="spellStart"/>
      <w:r>
        <w:rPr>
          <w:rFonts w:ascii="Arial" w:hAnsi="Arial" w:cs="Arial"/>
          <w:sz w:val="24"/>
          <w:szCs w:val="24"/>
        </w:rPr>
        <w:t>OpCo</w:t>
      </w:r>
      <w:proofErr w:type="spellEnd"/>
      <w:r>
        <w:rPr>
          <w:rFonts w:ascii="Arial" w:hAnsi="Arial" w:cs="Arial"/>
          <w:sz w:val="24"/>
          <w:szCs w:val="24"/>
        </w:rPr>
        <w:t xml:space="preserve"> of Rs. 1000 will be reduced from Reserves of </w:t>
      </w:r>
      <w:proofErr w:type="spellStart"/>
      <w:r>
        <w:rPr>
          <w:rFonts w:ascii="Arial" w:hAnsi="Arial" w:cs="Arial"/>
          <w:sz w:val="24"/>
          <w:szCs w:val="24"/>
        </w:rPr>
        <w:t>DCo</w:t>
      </w:r>
      <w:proofErr w:type="spellEnd"/>
      <w:r>
        <w:rPr>
          <w:rFonts w:ascii="Arial" w:hAnsi="Arial" w:cs="Arial"/>
          <w:sz w:val="24"/>
          <w:szCs w:val="24"/>
        </w:rPr>
        <w:t xml:space="preserve">. But it is clarified by </w:t>
      </w:r>
      <w:proofErr w:type="gramStart"/>
      <w:r>
        <w:rPr>
          <w:rFonts w:ascii="Arial" w:hAnsi="Arial" w:cs="Arial"/>
          <w:sz w:val="24"/>
          <w:szCs w:val="24"/>
        </w:rPr>
        <w:t>s.2(</w:t>
      </w:r>
      <w:proofErr w:type="gramEnd"/>
      <w:r>
        <w:rPr>
          <w:rFonts w:ascii="Arial" w:hAnsi="Arial" w:cs="Arial"/>
          <w:sz w:val="24"/>
          <w:szCs w:val="24"/>
        </w:rPr>
        <w:t xml:space="preserve">22)(v) that such reduction does not constitute ‘dividend’ in the hands of shareholders of </w:t>
      </w:r>
      <w:proofErr w:type="spellStart"/>
      <w:r>
        <w:rPr>
          <w:rFonts w:ascii="Arial" w:hAnsi="Arial" w:cs="Arial"/>
          <w:sz w:val="24"/>
          <w:szCs w:val="24"/>
        </w:rPr>
        <w:t>DCo</w:t>
      </w:r>
      <w:proofErr w:type="spellEnd"/>
      <w:r>
        <w:rPr>
          <w:rFonts w:ascii="Arial" w:hAnsi="Arial" w:cs="Arial"/>
          <w:sz w:val="24"/>
          <w:szCs w:val="24"/>
        </w:rPr>
        <w:t>.</w:t>
      </w:r>
    </w:p>
    <w:p w:rsidR="00F03D9C" w:rsidRPr="005A69B1" w:rsidRDefault="00F03D9C" w:rsidP="00D30D0A">
      <w:pPr>
        <w:spacing w:after="240" w:line="240" w:lineRule="auto"/>
        <w:jc w:val="both"/>
        <w:rPr>
          <w:rFonts w:ascii="Arial" w:hAnsi="Arial" w:cs="Arial"/>
          <w:b/>
          <w:bCs/>
          <w:sz w:val="24"/>
          <w:szCs w:val="24"/>
          <w:u w:val="single"/>
        </w:rPr>
      </w:pPr>
      <w:r w:rsidRPr="005A69B1">
        <w:rPr>
          <w:rFonts w:ascii="Arial" w:hAnsi="Arial" w:cs="Arial"/>
          <w:b/>
          <w:bCs/>
          <w:sz w:val="24"/>
          <w:szCs w:val="24"/>
          <w:u w:val="single"/>
        </w:rPr>
        <w:lastRenderedPageBreak/>
        <w:t xml:space="preserve">Tax implications in hands of </w:t>
      </w:r>
      <w:proofErr w:type="spellStart"/>
      <w:r w:rsidRPr="005A69B1">
        <w:rPr>
          <w:rFonts w:ascii="Arial" w:hAnsi="Arial" w:cs="Arial"/>
          <w:b/>
          <w:bCs/>
          <w:sz w:val="24"/>
          <w:szCs w:val="24"/>
          <w:u w:val="single"/>
        </w:rPr>
        <w:t>RCo</w:t>
      </w:r>
      <w:proofErr w:type="spellEnd"/>
      <w:r w:rsidRPr="005A69B1">
        <w:rPr>
          <w:rFonts w:ascii="Arial" w:hAnsi="Arial" w:cs="Arial"/>
          <w:b/>
          <w:bCs/>
          <w:sz w:val="24"/>
          <w:szCs w:val="24"/>
          <w:u w:val="single"/>
        </w:rPr>
        <w:t xml:space="preserve"> (Resulting </w:t>
      </w:r>
      <w:proofErr w:type="gramStart"/>
      <w:r w:rsidRPr="005A69B1">
        <w:rPr>
          <w:rFonts w:ascii="Arial" w:hAnsi="Arial" w:cs="Arial"/>
          <w:b/>
          <w:bCs/>
          <w:sz w:val="24"/>
          <w:szCs w:val="24"/>
          <w:u w:val="single"/>
        </w:rPr>
        <w:t>company</w:t>
      </w:r>
      <w:proofErr w:type="gramEnd"/>
      <w:r w:rsidRPr="005A69B1">
        <w:rPr>
          <w:rFonts w:ascii="Arial" w:hAnsi="Arial" w:cs="Arial"/>
          <w:b/>
          <w:bCs/>
          <w:sz w:val="24"/>
          <w:szCs w:val="24"/>
          <w:u w:val="single"/>
        </w:rPr>
        <w:t>)</w:t>
      </w:r>
    </w:p>
    <w:p w:rsidR="00F03D9C" w:rsidRDefault="00F03D9C" w:rsidP="00D30D0A">
      <w:pPr>
        <w:pStyle w:val="ListParagraph"/>
        <w:numPr>
          <w:ilvl w:val="0"/>
          <w:numId w:val="6"/>
        </w:numPr>
        <w:spacing w:after="240" w:line="240" w:lineRule="auto"/>
        <w:contextualSpacing w:val="0"/>
        <w:jc w:val="both"/>
        <w:rPr>
          <w:rFonts w:ascii="Arial" w:hAnsi="Arial" w:cs="Arial"/>
          <w:sz w:val="24"/>
          <w:szCs w:val="24"/>
        </w:rPr>
      </w:pPr>
      <w:r>
        <w:rPr>
          <w:rFonts w:ascii="Arial" w:hAnsi="Arial" w:cs="Arial"/>
          <w:sz w:val="24"/>
          <w:szCs w:val="24"/>
        </w:rPr>
        <w:t xml:space="preserve">The tax cost of </w:t>
      </w:r>
      <w:proofErr w:type="spellStart"/>
      <w:r>
        <w:rPr>
          <w:rFonts w:ascii="Arial" w:hAnsi="Arial" w:cs="Arial"/>
          <w:sz w:val="24"/>
          <w:szCs w:val="24"/>
        </w:rPr>
        <w:t>OpCo</w:t>
      </w:r>
      <w:proofErr w:type="spellEnd"/>
      <w:r>
        <w:rPr>
          <w:rFonts w:ascii="Arial" w:hAnsi="Arial" w:cs="Arial"/>
          <w:sz w:val="24"/>
          <w:szCs w:val="24"/>
        </w:rPr>
        <w:t xml:space="preserve"> shares in hands of </w:t>
      </w:r>
      <w:proofErr w:type="spellStart"/>
      <w:r>
        <w:rPr>
          <w:rFonts w:ascii="Arial" w:hAnsi="Arial" w:cs="Arial"/>
          <w:sz w:val="24"/>
          <w:szCs w:val="24"/>
        </w:rPr>
        <w:t>RCowill</w:t>
      </w:r>
      <w:proofErr w:type="spellEnd"/>
      <w:r>
        <w:rPr>
          <w:rFonts w:ascii="Arial" w:hAnsi="Arial" w:cs="Arial"/>
          <w:sz w:val="24"/>
          <w:szCs w:val="24"/>
        </w:rPr>
        <w:t xml:space="preserve"> be same as cost of acquisition in the hands of </w:t>
      </w:r>
      <w:proofErr w:type="spellStart"/>
      <w:r>
        <w:rPr>
          <w:rFonts w:ascii="Arial" w:hAnsi="Arial" w:cs="Arial"/>
          <w:sz w:val="24"/>
          <w:szCs w:val="24"/>
        </w:rPr>
        <w:t>DCoi.e</w:t>
      </w:r>
      <w:proofErr w:type="spellEnd"/>
      <w:r>
        <w:rPr>
          <w:rFonts w:ascii="Arial" w:hAnsi="Arial" w:cs="Arial"/>
          <w:sz w:val="24"/>
          <w:szCs w:val="24"/>
        </w:rPr>
        <w:t xml:space="preserve"> Rs. 1000. (Refer, s. 49(1</w:t>
      </w:r>
      <w:proofErr w:type="gramStart"/>
      <w:r>
        <w:rPr>
          <w:rFonts w:ascii="Arial" w:hAnsi="Arial" w:cs="Arial"/>
          <w:sz w:val="24"/>
          <w:szCs w:val="24"/>
        </w:rPr>
        <w:t>)(</w:t>
      </w:r>
      <w:proofErr w:type="gramEnd"/>
      <w:r>
        <w:rPr>
          <w:rFonts w:ascii="Arial" w:hAnsi="Arial" w:cs="Arial"/>
          <w:sz w:val="24"/>
          <w:szCs w:val="24"/>
        </w:rPr>
        <w:t xml:space="preserve">iii)(e) </w:t>
      </w:r>
      <w:proofErr w:type="spellStart"/>
      <w:r>
        <w:rPr>
          <w:rFonts w:ascii="Arial" w:hAnsi="Arial" w:cs="Arial"/>
          <w:sz w:val="24"/>
          <w:szCs w:val="24"/>
        </w:rPr>
        <w:t>r.w.s</w:t>
      </w:r>
      <w:proofErr w:type="spellEnd"/>
      <w:r>
        <w:rPr>
          <w:rFonts w:ascii="Arial" w:hAnsi="Arial" w:cs="Arial"/>
          <w:sz w:val="24"/>
          <w:szCs w:val="24"/>
        </w:rPr>
        <w:t xml:space="preserve"> 47(</w:t>
      </w:r>
      <w:proofErr w:type="spellStart"/>
      <w:r>
        <w:rPr>
          <w:rFonts w:ascii="Arial" w:hAnsi="Arial" w:cs="Arial"/>
          <w:sz w:val="24"/>
          <w:szCs w:val="24"/>
        </w:rPr>
        <w:t>vib</w:t>
      </w:r>
      <w:proofErr w:type="spellEnd"/>
      <w:r>
        <w:rPr>
          <w:rFonts w:ascii="Arial" w:hAnsi="Arial" w:cs="Arial"/>
          <w:sz w:val="24"/>
          <w:szCs w:val="24"/>
        </w:rPr>
        <w:t xml:space="preserve">)). </w:t>
      </w:r>
    </w:p>
    <w:p w:rsidR="00F03D9C" w:rsidRDefault="00F03D9C" w:rsidP="00D30D0A">
      <w:pPr>
        <w:pStyle w:val="ListParagraph"/>
        <w:numPr>
          <w:ilvl w:val="0"/>
          <w:numId w:val="6"/>
        </w:numPr>
        <w:spacing w:after="240" w:line="240" w:lineRule="auto"/>
        <w:contextualSpacing w:val="0"/>
        <w:jc w:val="both"/>
        <w:rPr>
          <w:rFonts w:ascii="Arial" w:hAnsi="Arial" w:cs="Arial"/>
          <w:sz w:val="24"/>
          <w:szCs w:val="24"/>
        </w:rPr>
      </w:pPr>
      <w:r>
        <w:rPr>
          <w:rFonts w:ascii="Arial" w:hAnsi="Arial" w:cs="Arial"/>
          <w:sz w:val="24"/>
          <w:szCs w:val="24"/>
        </w:rPr>
        <w:t xml:space="preserve">Furthermore, the holding period of shares of </w:t>
      </w:r>
      <w:proofErr w:type="spellStart"/>
      <w:r>
        <w:rPr>
          <w:rFonts w:ascii="Arial" w:hAnsi="Arial" w:cs="Arial"/>
          <w:sz w:val="24"/>
          <w:szCs w:val="24"/>
        </w:rPr>
        <w:t>OpCo</w:t>
      </w:r>
      <w:proofErr w:type="spellEnd"/>
      <w:r>
        <w:rPr>
          <w:rFonts w:ascii="Arial" w:hAnsi="Arial" w:cs="Arial"/>
          <w:sz w:val="24"/>
          <w:szCs w:val="24"/>
        </w:rPr>
        <w:t xml:space="preserve"> in hands of </w:t>
      </w:r>
      <w:proofErr w:type="spellStart"/>
      <w:r>
        <w:rPr>
          <w:rFonts w:ascii="Arial" w:hAnsi="Arial" w:cs="Arial"/>
          <w:sz w:val="24"/>
          <w:szCs w:val="24"/>
        </w:rPr>
        <w:t>RCo</w:t>
      </w:r>
      <w:proofErr w:type="spellEnd"/>
      <w:r>
        <w:rPr>
          <w:rFonts w:ascii="Arial" w:hAnsi="Arial" w:cs="Arial"/>
          <w:sz w:val="24"/>
          <w:szCs w:val="24"/>
        </w:rPr>
        <w:t xml:space="preserve"> will include the period for which shares were held by </w:t>
      </w:r>
      <w:proofErr w:type="spellStart"/>
      <w:r>
        <w:rPr>
          <w:rFonts w:ascii="Arial" w:hAnsi="Arial" w:cs="Arial"/>
          <w:sz w:val="24"/>
          <w:szCs w:val="24"/>
        </w:rPr>
        <w:t>DCo</w:t>
      </w:r>
      <w:proofErr w:type="spellEnd"/>
      <w:r>
        <w:rPr>
          <w:rFonts w:ascii="Arial" w:hAnsi="Arial" w:cs="Arial"/>
          <w:sz w:val="24"/>
          <w:szCs w:val="24"/>
        </w:rPr>
        <w:t>. (Refer, Exp 1(b) to s. 2(42A)</w:t>
      </w:r>
      <w:proofErr w:type="spellStart"/>
      <w:r>
        <w:rPr>
          <w:rFonts w:ascii="Arial" w:hAnsi="Arial" w:cs="Arial"/>
          <w:sz w:val="24"/>
          <w:szCs w:val="24"/>
        </w:rPr>
        <w:t>r.w.s</w:t>
      </w:r>
      <w:proofErr w:type="spellEnd"/>
      <w:r>
        <w:rPr>
          <w:rFonts w:ascii="Arial" w:hAnsi="Arial" w:cs="Arial"/>
          <w:sz w:val="24"/>
          <w:szCs w:val="24"/>
        </w:rPr>
        <w:t xml:space="preserve"> 49(1))</w:t>
      </w:r>
    </w:p>
    <w:p w:rsidR="00F03D9C" w:rsidRDefault="00F03D9C" w:rsidP="00D30D0A">
      <w:pPr>
        <w:pStyle w:val="ListParagraph"/>
        <w:numPr>
          <w:ilvl w:val="0"/>
          <w:numId w:val="6"/>
        </w:numPr>
        <w:spacing w:after="120" w:line="240" w:lineRule="auto"/>
        <w:contextualSpacing w:val="0"/>
        <w:jc w:val="both"/>
        <w:rPr>
          <w:rFonts w:ascii="Arial" w:hAnsi="Arial" w:cs="Arial"/>
          <w:sz w:val="24"/>
          <w:szCs w:val="24"/>
        </w:rPr>
      </w:pPr>
      <w:r>
        <w:rPr>
          <w:rFonts w:ascii="Arial" w:hAnsi="Arial" w:cs="Arial"/>
          <w:sz w:val="24"/>
          <w:szCs w:val="24"/>
        </w:rPr>
        <w:t xml:space="preserve">The receipt of shares of </w:t>
      </w:r>
      <w:proofErr w:type="spellStart"/>
      <w:r>
        <w:rPr>
          <w:rFonts w:ascii="Arial" w:hAnsi="Arial" w:cs="Arial"/>
          <w:sz w:val="24"/>
          <w:szCs w:val="24"/>
        </w:rPr>
        <w:t>OpCo</w:t>
      </w:r>
      <w:proofErr w:type="spellEnd"/>
      <w:r>
        <w:rPr>
          <w:rFonts w:ascii="Arial" w:hAnsi="Arial" w:cs="Arial"/>
          <w:sz w:val="24"/>
          <w:szCs w:val="24"/>
        </w:rPr>
        <w:t xml:space="preserve"> does not trigger ‘gift tax’ implications in hands of </w:t>
      </w:r>
      <w:proofErr w:type="spellStart"/>
      <w:r>
        <w:rPr>
          <w:rFonts w:ascii="Arial" w:hAnsi="Arial" w:cs="Arial"/>
          <w:sz w:val="24"/>
          <w:szCs w:val="24"/>
        </w:rPr>
        <w:t>RCo</w:t>
      </w:r>
      <w:proofErr w:type="spellEnd"/>
      <w:r>
        <w:rPr>
          <w:rFonts w:ascii="Arial" w:hAnsi="Arial" w:cs="Arial"/>
          <w:sz w:val="24"/>
          <w:szCs w:val="24"/>
        </w:rPr>
        <w:t xml:space="preserve"> u/s. 56(2)(x) in view of clause (IX) of proviso to s.56(2)(x) in terms of which transaction exempt u/s. 47(</w:t>
      </w:r>
      <w:proofErr w:type="spellStart"/>
      <w:r>
        <w:rPr>
          <w:rFonts w:ascii="Arial" w:hAnsi="Arial" w:cs="Arial"/>
          <w:sz w:val="24"/>
          <w:szCs w:val="24"/>
        </w:rPr>
        <w:t>vib</w:t>
      </w:r>
      <w:proofErr w:type="spellEnd"/>
      <w:r>
        <w:rPr>
          <w:rFonts w:ascii="Arial" w:hAnsi="Arial" w:cs="Arial"/>
          <w:sz w:val="24"/>
          <w:szCs w:val="24"/>
        </w:rPr>
        <w:t>) is excluded from the applicability of s.56(2)(x)</w:t>
      </w:r>
    </w:p>
    <w:p w:rsidR="00F03D9C" w:rsidRPr="0028115F" w:rsidRDefault="00F03D9C" w:rsidP="00D30D0A">
      <w:pPr>
        <w:spacing w:after="120" w:line="240" w:lineRule="auto"/>
        <w:jc w:val="both"/>
        <w:rPr>
          <w:rFonts w:ascii="Arial" w:hAnsi="Arial" w:cs="Arial"/>
          <w:b/>
          <w:bCs/>
          <w:sz w:val="24"/>
          <w:szCs w:val="24"/>
          <w:u w:val="single"/>
        </w:rPr>
      </w:pPr>
      <w:r w:rsidRPr="0028115F">
        <w:rPr>
          <w:rFonts w:ascii="Arial" w:hAnsi="Arial" w:cs="Arial"/>
          <w:b/>
          <w:bCs/>
          <w:sz w:val="24"/>
          <w:szCs w:val="24"/>
          <w:u w:val="single"/>
        </w:rPr>
        <w:t xml:space="preserve">Tax implications in hands of </w:t>
      </w:r>
      <w:proofErr w:type="spellStart"/>
      <w:r w:rsidRPr="0028115F">
        <w:rPr>
          <w:rFonts w:ascii="Arial" w:hAnsi="Arial" w:cs="Arial"/>
          <w:b/>
          <w:bCs/>
          <w:sz w:val="24"/>
          <w:szCs w:val="24"/>
          <w:u w:val="single"/>
        </w:rPr>
        <w:t>OpCo</w:t>
      </w:r>
      <w:proofErr w:type="spellEnd"/>
    </w:p>
    <w:p w:rsidR="00F03D9C" w:rsidRDefault="00F03D9C" w:rsidP="00D30D0A">
      <w:pPr>
        <w:pStyle w:val="ListParagraph"/>
        <w:numPr>
          <w:ilvl w:val="0"/>
          <w:numId w:val="7"/>
        </w:numPr>
        <w:spacing w:after="240" w:line="240" w:lineRule="auto"/>
        <w:contextualSpacing w:val="0"/>
        <w:jc w:val="both"/>
        <w:rPr>
          <w:rFonts w:ascii="Arial" w:hAnsi="Arial" w:cs="Arial"/>
          <w:sz w:val="24"/>
          <w:szCs w:val="24"/>
        </w:rPr>
      </w:pPr>
      <w:r>
        <w:rPr>
          <w:rFonts w:ascii="Arial" w:hAnsi="Arial" w:cs="Arial"/>
          <w:sz w:val="24"/>
          <w:szCs w:val="24"/>
        </w:rPr>
        <w:t xml:space="preserve">There is no tax implication in hands of </w:t>
      </w:r>
      <w:proofErr w:type="spellStart"/>
      <w:r>
        <w:rPr>
          <w:rFonts w:ascii="Arial" w:hAnsi="Arial" w:cs="Arial"/>
          <w:sz w:val="24"/>
          <w:szCs w:val="24"/>
        </w:rPr>
        <w:t>OpCosince</w:t>
      </w:r>
      <w:proofErr w:type="spellEnd"/>
      <w:r>
        <w:rPr>
          <w:rFonts w:ascii="Arial" w:hAnsi="Arial" w:cs="Arial"/>
          <w:sz w:val="24"/>
          <w:szCs w:val="24"/>
        </w:rPr>
        <w:t xml:space="preserve"> there is mere change in its shareholding. However, if </w:t>
      </w:r>
      <w:proofErr w:type="spellStart"/>
      <w:r>
        <w:rPr>
          <w:rFonts w:ascii="Arial" w:hAnsi="Arial" w:cs="Arial"/>
          <w:sz w:val="24"/>
          <w:szCs w:val="24"/>
        </w:rPr>
        <w:t>OpCohas</w:t>
      </w:r>
      <w:proofErr w:type="spellEnd"/>
      <w:r>
        <w:rPr>
          <w:rFonts w:ascii="Arial" w:hAnsi="Arial" w:cs="Arial"/>
          <w:sz w:val="24"/>
          <w:szCs w:val="24"/>
        </w:rPr>
        <w:t xml:space="preserve"> brought forward losses, it may lapse due to change in shareholding beyond 49% for which it is represented that consequential amendment may be made in s.79 to protect carry forward and set off of such losses.</w:t>
      </w:r>
    </w:p>
    <w:p w:rsidR="00F03D9C" w:rsidRPr="00740839" w:rsidRDefault="00F03D9C" w:rsidP="00D30D0A">
      <w:pPr>
        <w:spacing w:after="240" w:line="240" w:lineRule="auto"/>
        <w:jc w:val="both"/>
        <w:rPr>
          <w:rFonts w:ascii="Arial" w:hAnsi="Arial" w:cs="Arial"/>
          <w:b/>
          <w:bCs/>
          <w:sz w:val="24"/>
          <w:szCs w:val="24"/>
          <w:u w:val="single"/>
        </w:rPr>
      </w:pPr>
      <w:r w:rsidRPr="00740839">
        <w:rPr>
          <w:rFonts w:ascii="Arial" w:hAnsi="Arial" w:cs="Arial"/>
          <w:b/>
          <w:bCs/>
          <w:sz w:val="24"/>
          <w:szCs w:val="24"/>
          <w:u w:val="single"/>
        </w:rPr>
        <w:t xml:space="preserve">Tax implications in hands of Mr. </w:t>
      </w:r>
      <w:r>
        <w:rPr>
          <w:rFonts w:ascii="Arial" w:hAnsi="Arial" w:cs="Arial"/>
          <w:b/>
          <w:bCs/>
          <w:sz w:val="24"/>
          <w:szCs w:val="24"/>
          <w:u w:val="single"/>
        </w:rPr>
        <w:t>X</w:t>
      </w:r>
      <w:r w:rsidRPr="00740839">
        <w:rPr>
          <w:rFonts w:ascii="Arial" w:hAnsi="Arial" w:cs="Arial"/>
          <w:b/>
          <w:bCs/>
          <w:sz w:val="24"/>
          <w:szCs w:val="24"/>
          <w:u w:val="single"/>
        </w:rPr>
        <w:t xml:space="preserve"> – shareholder of </w:t>
      </w:r>
      <w:proofErr w:type="spellStart"/>
      <w:r>
        <w:rPr>
          <w:rFonts w:ascii="Arial" w:hAnsi="Arial" w:cs="Arial"/>
          <w:b/>
          <w:bCs/>
          <w:sz w:val="24"/>
          <w:szCs w:val="24"/>
          <w:u w:val="single"/>
        </w:rPr>
        <w:t>D</w:t>
      </w:r>
      <w:r w:rsidRPr="00740839">
        <w:rPr>
          <w:rFonts w:ascii="Arial" w:hAnsi="Arial" w:cs="Arial"/>
          <w:b/>
          <w:bCs/>
          <w:sz w:val="24"/>
          <w:szCs w:val="24"/>
          <w:u w:val="single"/>
        </w:rPr>
        <w:t>Co</w:t>
      </w:r>
      <w:proofErr w:type="spellEnd"/>
    </w:p>
    <w:p w:rsidR="00F03D9C" w:rsidRDefault="00F03D9C" w:rsidP="00D30D0A">
      <w:pPr>
        <w:pStyle w:val="ListParagraph"/>
        <w:numPr>
          <w:ilvl w:val="0"/>
          <w:numId w:val="8"/>
        </w:numPr>
        <w:spacing w:after="240" w:line="240" w:lineRule="auto"/>
        <w:contextualSpacing w:val="0"/>
        <w:jc w:val="both"/>
        <w:rPr>
          <w:rFonts w:ascii="Arial" w:hAnsi="Arial" w:cs="Arial"/>
          <w:sz w:val="24"/>
          <w:szCs w:val="24"/>
        </w:rPr>
      </w:pPr>
      <w:r>
        <w:rPr>
          <w:rFonts w:ascii="Arial" w:hAnsi="Arial" w:cs="Arial"/>
          <w:sz w:val="24"/>
          <w:szCs w:val="24"/>
        </w:rPr>
        <w:t xml:space="preserve">Mr. X gets shares of </w:t>
      </w:r>
      <w:proofErr w:type="spellStart"/>
      <w:r>
        <w:rPr>
          <w:rFonts w:ascii="Arial" w:hAnsi="Arial" w:cs="Arial"/>
          <w:sz w:val="24"/>
          <w:szCs w:val="24"/>
        </w:rPr>
        <w:t>RCoin</w:t>
      </w:r>
      <w:proofErr w:type="spellEnd"/>
      <w:r>
        <w:rPr>
          <w:rFonts w:ascii="Arial" w:hAnsi="Arial" w:cs="Arial"/>
          <w:sz w:val="24"/>
          <w:szCs w:val="24"/>
        </w:rPr>
        <w:t xml:space="preserve"> addition to holding in </w:t>
      </w:r>
      <w:proofErr w:type="spellStart"/>
      <w:r>
        <w:rPr>
          <w:rFonts w:ascii="Arial" w:hAnsi="Arial" w:cs="Arial"/>
          <w:sz w:val="24"/>
          <w:szCs w:val="24"/>
        </w:rPr>
        <w:t>DCo</w:t>
      </w:r>
      <w:proofErr w:type="spellEnd"/>
      <w:r>
        <w:rPr>
          <w:rFonts w:ascii="Arial" w:hAnsi="Arial" w:cs="Arial"/>
          <w:sz w:val="24"/>
          <w:szCs w:val="24"/>
        </w:rPr>
        <w:t>. It is clarified by s.2(22)(v) that such receipt does not constitute ‘dividend’ in hands of Mr. X</w:t>
      </w:r>
    </w:p>
    <w:p w:rsidR="00F03D9C" w:rsidRDefault="00F03D9C" w:rsidP="009D5F42">
      <w:pPr>
        <w:pStyle w:val="ListParagraph"/>
        <w:numPr>
          <w:ilvl w:val="0"/>
          <w:numId w:val="8"/>
        </w:numPr>
        <w:spacing w:after="120" w:line="240" w:lineRule="auto"/>
        <w:contextualSpacing w:val="0"/>
        <w:jc w:val="both"/>
        <w:rPr>
          <w:rFonts w:ascii="Arial" w:hAnsi="Arial" w:cs="Arial"/>
          <w:sz w:val="24"/>
          <w:szCs w:val="24"/>
        </w:rPr>
      </w:pPr>
      <w:r>
        <w:rPr>
          <w:rFonts w:ascii="Arial" w:hAnsi="Arial" w:cs="Arial"/>
          <w:sz w:val="24"/>
          <w:szCs w:val="24"/>
        </w:rPr>
        <w:t xml:space="preserve">The transaction of receipt of shares of </w:t>
      </w:r>
      <w:proofErr w:type="spellStart"/>
      <w:r>
        <w:rPr>
          <w:rFonts w:ascii="Arial" w:hAnsi="Arial" w:cs="Arial"/>
          <w:sz w:val="24"/>
          <w:szCs w:val="24"/>
        </w:rPr>
        <w:t>RCois</w:t>
      </w:r>
      <w:proofErr w:type="spellEnd"/>
      <w:r>
        <w:rPr>
          <w:rFonts w:ascii="Arial" w:hAnsi="Arial" w:cs="Arial"/>
          <w:sz w:val="24"/>
          <w:szCs w:val="24"/>
        </w:rPr>
        <w:t xml:space="preserve"> not regarded as ‘transfer’ u/s. 47(vid)</w:t>
      </w:r>
    </w:p>
    <w:p w:rsidR="00F03D9C" w:rsidRDefault="00F03D9C" w:rsidP="00D30D0A">
      <w:pPr>
        <w:pStyle w:val="ListParagraph"/>
        <w:numPr>
          <w:ilvl w:val="0"/>
          <w:numId w:val="8"/>
        </w:numPr>
        <w:spacing w:after="240" w:line="240" w:lineRule="auto"/>
        <w:contextualSpacing w:val="0"/>
        <w:jc w:val="both"/>
        <w:rPr>
          <w:rFonts w:ascii="Arial" w:hAnsi="Arial" w:cs="Arial"/>
          <w:sz w:val="24"/>
          <w:szCs w:val="24"/>
        </w:rPr>
      </w:pPr>
      <w:r>
        <w:rPr>
          <w:rFonts w:ascii="Arial" w:hAnsi="Arial" w:cs="Arial"/>
          <w:sz w:val="24"/>
          <w:szCs w:val="24"/>
        </w:rPr>
        <w:t xml:space="preserve">The receipt of shares of </w:t>
      </w:r>
      <w:proofErr w:type="spellStart"/>
      <w:r>
        <w:rPr>
          <w:rFonts w:ascii="Arial" w:hAnsi="Arial" w:cs="Arial"/>
          <w:sz w:val="24"/>
          <w:szCs w:val="24"/>
        </w:rPr>
        <w:t>RCo</w:t>
      </w:r>
      <w:proofErr w:type="spellEnd"/>
      <w:r>
        <w:rPr>
          <w:rFonts w:ascii="Arial" w:hAnsi="Arial" w:cs="Arial"/>
          <w:sz w:val="24"/>
          <w:szCs w:val="24"/>
        </w:rPr>
        <w:t xml:space="preserve"> is protected from ‘gift tax’ implications u/s. 56(2)(x) in view of clause (IX) of proviso to s.56(2)(x) in terms of which transaction exempt u/s. 47(</w:t>
      </w:r>
      <w:proofErr w:type="spellStart"/>
      <w:r>
        <w:rPr>
          <w:rFonts w:ascii="Arial" w:hAnsi="Arial" w:cs="Arial"/>
          <w:sz w:val="24"/>
          <w:szCs w:val="24"/>
        </w:rPr>
        <w:t>vib</w:t>
      </w:r>
      <w:proofErr w:type="spellEnd"/>
      <w:r>
        <w:rPr>
          <w:rFonts w:ascii="Arial" w:hAnsi="Arial" w:cs="Arial"/>
          <w:sz w:val="24"/>
          <w:szCs w:val="24"/>
        </w:rPr>
        <w:t>)/(</w:t>
      </w:r>
      <w:proofErr w:type="spellStart"/>
      <w:r>
        <w:rPr>
          <w:rFonts w:ascii="Arial" w:hAnsi="Arial" w:cs="Arial"/>
          <w:sz w:val="24"/>
          <w:szCs w:val="24"/>
        </w:rPr>
        <w:t>vid</w:t>
      </w:r>
      <w:proofErr w:type="spellEnd"/>
      <w:r>
        <w:rPr>
          <w:rFonts w:ascii="Arial" w:hAnsi="Arial" w:cs="Arial"/>
          <w:sz w:val="24"/>
          <w:szCs w:val="24"/>
        </w:rPr>
        <w:t>) is excluded from the applicability of s.56(2)(x)</w:t>
      </w:r>
    </w:p>
    <w:p w:rsidR="00F03D9C" w:rsidRDefault="00F03D9C" w:rsidP="009D5F42">
      <w:pPr>
        <w:pStyle w:val="ListParagraph"/>
        <w:numPr>
          <w:ilvl w:val="0"/>
          <w:numId w:val="8"/>
        </w:numPr>
        <w:spacing w:after="120" w:line="240" w:lineRule="auto"/>
        <w:contextualSpacing w:val="0"/>
        <w:jc w:val="both"/>
        <w:rPr>
          <w:rFonts w:ascii="Arial" w:hAnsi="Arial" w:cs="Arial"/>
          <w:sz w:val="24"/>
          <w:szCs w:val="24"/>
        </w:rPr>
      </w:pPr>
      <w:r>
        <w:rPr>
          <w:rFonts w:ascii="Arial" w:hAnsi="Arial" w:cs="Arial"/>
          <w:sz w:val="24"/>
          <w:szCs w:val="24"/>
        </w:rPr>
        <w:t xml:space="preserve">The cost of acquisition of shares of </w:t>
      </w:r>
      <w:proofErr w:type="spellStart"/>
      <w:r>
        <w:rPr>
          <w:rFonts w:ascii="Arial" w:hAnsi="Arial" w:cs="Arial"/>
          <w:sz w:val="24"/>
          <w:szCs w:val="24"/>
        </w:rPr>
        <w:t>DCo</w:t>
      </w:r>
      <w:proofErr w:type="spellEnd"/>
      <w:r>
        <w:rPr>
          <w:rFonts w:ascii="Arial" w:hAnsi="Arial" w:cs="Arial"/>
          <w:sz w:val="24"/>
          <w:szCs w:val="24"/>
        </w:rPr>
        <w:t xml:space="preserve"> of Rs. 100 will be split between shares of </w:t>
      </w:r>
      <w:proofErr w:type="spellStart"/>
      <w:r>
        <w:rPr>
          <w:rFonts w:ascii="Arial" w:hAnsi="Arial" w:cs="Arial"/>
          <w:sz w:val="24"/>
          <w:szCs w:val="24"/>
        </w:rPr>
        <w:t>DCo</w:t>
      </w:r>
      <w:proofErr w:type="spellEnd"/>
      <w:r>
        <w:rPr>
          <w:rFonts w:ascii="Arial" w:hAnsi="Arial" w:cs="Arial"/>
          <w:sz w:val="24"/>
          <w:szCs w:val="24"/>
        </w:rPr>
        <w:t xml:space="preserve"> and </w:t>
      </w:r>
      <w:proofErr w:type="spellStart"/>
      <w:r>
        <w:rPr>
          <w:rFonts w:ascii="Arial" w:hAnsi="Arial" w:cs="Arial"/>
          <w:sz w:val="24"/>
          <w:szCs w:val="24"/>
        </w:rPr>
        <w:t>RCo</w:t>
      </w:r>
      <w:proofErr w:type="spellEnd"/>
      <w:r>
        <w:rPr>
          <w:rFonts w:ascii="Arial" w:hAnsi="Arial" w:cs="Arial"/>
          <w:sz w:val="24"/>
          <w:szCs w:val="24"/>
        </w:rPr>
        <w:t xml:space="preserve"> in the proportion of net book value of assets of </w:t>
      </w:r>
      <w:proofErr w:type="spellStart"/>
      <w:r>
        <w:rPr>
          <w:rFonts w:ascii="Arial" w:hAnsi="Arial" w:cs="Arial"/>
          <w:sz w:val="24"/>
          <w:szCs w:val="24"/>
        </w:rPr>
        <w:t>DCo</w:t>
      </w:r>
      <w:proofErr w:type="spellEnd"/>
      <w:r>
        <w:rPr>
          <w:rFonts w:ascii="Arial" w:hAnsi="Arial" w:cs="Arial"/>
          <w:sz w:val="24"/>
          <w:szCs w:val="24"/>
        </w:rPr>
        <w:t xml:space="preserve"> to ‘net worth’ (</w:t>
      </w:r>
      <w:proofErr w:type="spellStart"/>
      <w:r>
        <w:rPr>
          <w:rFonts w:ascii="Arial" w:hAnsi="Arial" w:cs="Arial"/>
          <w:sz w:val="24"/>
          <w:szCs w:val="24"/>
        </w:rPr>
        <w:t>i.e</w:t>
      </w:r>
      <w:proofErr w:type="spellEnd"/>
      <w:r>
        <w:rPr>
          <w:rFonts w:ascii="Arial" w:hAnsi="Arial" w:cs="Arial"/>
          <w:sz w:val="24"/>
          <w:szCs w:val="24"/>
        </w:rPr>
        <w:t xml:space="preserve"> share capital + general reserves) of </w:t>
      </w:r>
      <w:proofErr w:type="spellStart"/>
      <w:r>
        <w:rPr>
          <w:rFonts w:ascii="Arial" w:hAnsi="Arial" w:cs="Arial"/>
          <w:sz w:val="24"/>
          <w:szCs w:val="24"/>
        </w:rPr>
        <w:t>DCo</w:t>
      </w:r>
      <w:proofErr w:type="spellEnd"/>
      <w:r>
        <w:rPr>
          <w:rFonts w:ascii="Arial" w:hAnsi="Arial" w:cs="Arial"/>
          <w:sz w:val="24"/>
          <w:szCs w:val="24"/>
        </w:rPr>
        <w:t>. The split will be as follows :-</w:t>
      </w:r>
    </w:p>
    <w:tbl>
      <w:tblPr>
        <w:tblStyle w:val="TableGrid"/>
        <w:tblW w:w="0" w:type="auto"/>
        <w:tblInd w:w="720" w:type="dxa"/>
        <w:tblLook w:val="04A0"/>
      </w:tblPr>
      <w:tblGrid>
        <w:gridCol w:w="1950"/>
        <w:gridCol w:w="1655"/>
        <w:gridCol w:w="2389"/>
        <w:gridCol w:w="1511"/>
        <w:gridCol w:w="1017"/>
      </w:tblGrid>
      <w:tr w:rsidR="00F03D9C" w:rsidTr="00307251">
        <w:tc>
          <w:tcPr>
            <w:tcW w:w="0" w:type="auto"/>
          </w:tcPr>
          <w:p w:rsidR="00F03D9C" w:rsidRDefault="00F03D9C" w:rsidP="00D30D0A">
            <w:pPr>
              <w:pStyle w:val="ListParagraph"/>
              <w:ind w:left="0"/>
              <w:jc w:val="both"/>
              <w:rPr>
                <w:rFonts w:ascii="Arial" w:hAnsi="Arial" w:cs="Arial"/>
                <w:sz w:val="24"/>
                <w:szCs w:val="24"/>
              </w:rPr>
            </w:pPr>
            <w:r>
              <w:rPr>
                <w:rFonts w:ascii="Arial" w:hAnsi="Arial" w:cs="Arial"/>
                <w:sz w:val="24"/>
                <w:szCs w:val="24"/>
              </w:rPr>
              <w:t>Particulars</w:t>
            </w:r>
          </w:p>
        </w:tc>
        <w:tc>
          <w:tcPr>
            <w:tcW w:w="0" w:type="auto"/>
          </w:tcPr>
          <w:p w:rsidR="00F03D9C" w:rsidRDefault="00F03D9C" w:rsidP="00D30D0A">
            <w:pPr>
              <w:pStyle w:val="ListParagraph"/>
              <w:ind w:left="0"/>
              <w:jc w:val="both"/>
              <w:rPr>
                <w:rFonts w:ascii="Arial" w:hAnsi="Arial" w:cs="Arial"/>
                <w:sz w:val="24"/>
                <w:szCs w:val="24"/>
              </w:rPr>
            </w:pPr>
            <w:r>
              <w:rPr>
                <w:rFonts w:ascii="Arial" w:hAnsi="Arial" w:cs="Arial"/>
                <w:sz w:val="24"/>
                <w:szCs w:val="24"/>
              </w:rPr>
              <w:t>Prior to demerger</w:t>
            </w:r>
          </w:p>
        </w:tc>
        <w:tc>
          <w:tcPr>
            <w:tcW w:w="0" w:type="auto"/>
          </w:tcPr>
          <w:p w:rsidR="00F03D9C" w:rsidRDefault="00F03D9C" w:rsidP="00D30D0A">
            <w:pPr>
              <w:pStyle w:val="ListParagraph"/>
              <w:ind w:left="0"/>
              <w:jc w:val="both"/>
              <w:rPr>
                <w:rFonts w:ascii="Arial" w:hAnsi="Arial" w:cs="Arial"/>
                <w:sz w:val="24"/>
                <w:szCs w:val="24"/>
              </w:rPr>
            </w:pPr>
            <w:r>
              <w:rPr>
                <w:rFonts w:ascii="Arial" w:hAnsi="Arial" w:cs="Arial"/>
                <w:sz w:val="24"/>
                <w:szCs w:val="24"/>
              </w:rPr>
              <w:t>Ratio of net book value to net worth</w:t>
            </w:r>
          </w:p>
        </w:tc>
        <w:tc>
          <w:tcPr>
            <w:tcW w:w="0" w:type="auto"/>
          </w:tcPr>
          <w:p w:rsidR="00F03D9C" w:rsidRDefault="00F03D9C" w:rsidP="00D30D0A">
            <w:pPr>
              <w:pStyle w:val="ListParagraph"/>
              <w:ind w:left="0"/>
              <w:jc w:val="both"/>
              <w:rPr>
                <w:rFonts w:ascii="Arial" w:hAnsi="Arial" w:cs="Arial"/>
                <w:sz w:val="24"/>
                <w:szCs w:val="24"/>
              </w:rPr>
            </w:pPr>
            <w:r>
              <w:rPr>
                <w:rFonts w:ascii="Arial" w:hAnsi="Arial" w:cs="Arial"/>
                <w:sz w:val="24"/>
                <w:szCs w:val="24"/>
              </w:rPr>
              <w:t>Post demerger</w:t>
            </w:r>
          </w:p>
        </w:tc>
        <w:tc>
          <w:tcPr>
            <w:tcW w:w="0" w:type="auto"/>
          </w:tcPr>
          <w:p w:rsidR="00F03D9C" w:rsidRDefault="00F03D9C" w:rsidP="00D30D0A">
            <w:pPr>
              <w:pStyle w:val="ListParagraph"/>
              <w:ind w:left="0"/>
              <w:jc w:val="both"/>
              <w:rPr>
                <w:rFonts w:ascii="Arial" w:hAnsi="Arial" w:cs="Arial"/>
                <w:sz w:val="24"/>
                <w:szCs w:val="24"/>
              </w:rPr>
            </w:pPr>
            <w:r>
              <w:rPr>
                <w:rFonts w:ascii="Arial" w:hAnsi="Arial" w:cs="Arial"/>
                <w:sz w:val="24"/>
                <w:szCs w:val="24"/>
              </w:rPr>
              <w:t>Section</w:t>
            </w:r>
          </w:p>
        </w:tc>
      </w:tr>
      <w:tr w:rsidR="00F03D9C" w:rsidTr="00307251">
        <w:tc>
          <w:tcPr>
            <w:tcW w:w="0" w:type="auto"/>
          </w:tcPr>
          <w:p w:rsidR="00F03D9C" w:rsidRDefault="00F03D9C" w:rsidP="00D30D0A">
            <w:pPr>
              <w:pStyle w:val="ListParagraph"/>
              <w:ind w:left="0"/>
              <w:jc w:val="both"/>
              <w:rPr>
                <w:rFonts w:ascii="Arial" w:hAnsi="Arial" w:cs="Arial"/>
                <w:sz w:val="24"/>
                <w:szCs w:val="24"/>
              </w:rPr>
            </w:pPr>
            <w:r>
              <w:rPr>
                <w:rFonts w:ascii="Arial" w:hAnsi="Arial" w:cs="Arial"/>
                <w:sz w:val="24"/>
                <w:szCs w:val="24"/>
              </w:rPr>
              <w:t xml:space="preserve">Cost of shares of </w:t>
            </w:r>
            <w:proofErr w:type="spellStart"/>
            <w:r>
              <w:rPr>
                <w:rFonts w:ascii="Arial" w:hAnsi="Arial" w:cs="Arial"/>
                <w:sz w:val="24"/>
                <w:szCs w:val="24"/>
              </w:rPr>
              <w:t>RCo</w:t>
            </w:r>
            <w:proofErr w:type="spellEnd"/>
          </w:p>
        </w:tc>
        <w:tc>
          <w:tcPr>
            <w:tcW w:w="0" w:type="auto"/>
          </w:tcPr>
          <w:p w:rsidR="00F03D9C" w:rsidRDefault="00F03D9C" w:rsidP="00D30D0A">
            <w:pPr>
              <w:pStyle w:val="ListParagraph"/>
              <w:ind w:left="0"/>
              <w:jc w:val="center"/>
              <w:rPr>
                <w:rFonts w:ascii="Arial" w:hAnsi="Arial" w:cs="Arial"/>
                <w:sz w:val="24"/>
                <w:szCs w:val="24"/>
              </w:rPr>
            </w:pPr>
            <w:r>
              <w:rPr>
                <w:rFonts w:ascii="Arial" w:hAnsi="Arial" w:cs="Arial"/>
                <w:sz w:val="24"/>
                <w:szCs w:val="24"/>
              </w:rPr>
              <w:t>-</w:t>
            </w:r>
          </w:p>
        </w:tc>
        <w:tc>
          <w:tcPr>
            <w:tcW w:w="0" w:type="auto"/>
          </w:tcPr>
          <w:p w:rsidR="00F03D9C" w:rsidRDefault="00F03D9C" w:rsidP="00D30D0A">
            <w:pPr>
              <w:pStyle w:val="ListParagraph"/>
              <w:ind w:left="0"/>
              <w:jc w:val="center"/>
              <w:rPr>
                <w:rFonts w:ascii="Arial" w:hAnsi="Arial" w:cs="Arial"/>
                <w:sz w:val="24"/>
                <w:szCs w:val="24"/>
              </w:rPr>
            </w:pPr>
            <w:r>
              <w:rPr>
                <w:rFonts w:ascii="Arial" w:hAnsi="Arial" w:cs="Arial"/>
                <w:sz w:val="24"/>
                <w:szCs w:val="24"/>
              </w:rPr>
              <w:t>1000 (50%)</w:t>
            </w:r>
          </w:p>
        </w:tc>
        <w:tc>
          <w:tcPr>
            <w:tcW w:w="0" w:type="auto"/>
          </w:tcPr>
          <w:p w:rsidR="00F03D9C" w:rsidRDefault="00F03D9C" w:rsidP="00D30D0A">
            <w:pPr>
              <w:pStyle w:val="ListParagraph"/>
              <w:ind w:left="0"/>
              <w:jc w:val="center"/>
              <w:rPr>
                <w:rFonts w:ascii="Arial" w:hAnsi="Arial" w:cs="Arial"/>
                <w:sz w:val="24"/>
                <w:szCs w:val="24"/>
              </w:rPr>
            </w:pPr>
            <w:r>
              <w:rPr>
                <w:rFonts w:ascii="Arial" w:hAnsi="Arial" w:cs="Arial"/>
                <w:sz w:val="24"/>
                <w:szCs w:val="24"/>
              </w:rPr>
              <w:t>50</w:t>
            </w:r>
          </w:p>
        </w:tc>
        <w:tc>
          <w:tcPr>
            <w:tcW w:w="0" w:type="auto"/>
          </w:tcPr>
          <w:p w:rsidR="00F03D9C" w:rsidRDefault="00F03D9C" w:rsidP="00D30D0A">
            <w:pPr>
              <w:pStyle w:val="ListParagraph"/>
              <w:ind w:left="0"/>
              <w:jc w:val="both"/>
              <w:rPr>
                <w:rFonts w:ascii="Arial" w:hAnsi="Arial" w:cs="Arial"/>
                <w:sz w:val="24"/>
                <w:szCs w:val="24"/>
              </w:rPr>
            </w:pPr>
            <w:r>
              <w:rPr>
                <w:rFonts w:ascii="Arial" w:hAnsi="Arial" w:cs="Arial"/>
                <w:sz w:val="24"/>
                <w:szCs w:val="24"/>
              </w:rPr>
              <w:t>49(2C)</w:t>
            </w:r>
          </w:p>
        </w:tc>
      </w:tr>
      <w:tr w:rsidR="00F03D9C" w:rsidTr="00307251">
        <w:tc>
          <w:tcPr>
            <w:tcW w:w="0" w:type="auto"/>
          </w:tcPr>
          <w:p w:rsidR="00F03D9C" w:rsidRDefault="00F03D9C" w:rsidP="00D30D0A">
            <w:pPr>
              <w:pStyle w:val="ListParagraph"/>
              <w:ind w:left="0"/>
              <w:jc w:val="both"/>
              <w:rPr>
                <w:rFonts w:ascii="Arial" w:hAnsi="Arial" w:cs="Arial"/>
                <w:sz w:val="24"/>
                <w:szCs w:val="24"/>
              </w:rPr>
            </w:pPr>
            <w:r>
              <w:rPr>
                <w:rFonts w:ascii="Arial" w:hAnsi="Arial" w:cs="Arial"/>
                <w:sz w:val="24"/>
                <w:szCs w:val="24"/>
              </w:rPr>
              <w:t xml:space="preserve">Cost of shares of </w:t>
            </w:r>
            <w:proofErr w:type="spellStart"/>
            <w:r>
              <w:rPr>
                <w:rFonts w:ascii="Arial" w:hAnsi="Arial" w:cs="Arial"/>
                <w:sz w:val="24"/>
                <w:szCs w:val="24"/>
              </w:rPr>
              <w:t>DCo</w:t>
            </w:r>
            <w:proofErr w:type="spellEnd"/>
          </w:p>
        </w:tc>
        <w:tc>
          <w:tcPr>
            <w:tcW w:w="0" w:type="auto"/>
          </w:tcPr>
          <w:p w:rsidR="00F03D9C" w:rsidRDefault="00F03D9C" w:rsidP="00D30D0A">
            <w:pPr>
              <w:pStyle w:val="ListParagraph"/>
              <w:ind w:left="0"/>
              <w:jc w:val="center"/>
              <w:rPr>
                <w:rFonts w:ascii="Arial" w:hAnsi="Arial" w:cs="Arial"/>
                <w:sz w:val="24"/>
                <w:szCs w:val="24"/>
              </w:rPr>
            </w:pPr>
            <w:r>
              <w:rPr>
                <w:rFonts w:ascii="Arial" w:hAnsi="Arial" w:cs="Arial"/>
                <w:sz w:val="24"/>
                <w:szCs w:val="24"/>
              </w:rPr>
              <w:t>100</w:t>
            </w:r>
          </w:p>
        </w:tc>
        <w:tc>
          <w:tcPr>
            <w:tcW w:w="0" w:type="auto"/>
          </w:tcPr>
          <w:p w:rsidR="00F03D9C" w:rsidRDefault="00F03D9C" w:rsidP="00D30D0A">
            <w:pPr>
              <w:pStyle w:val="ListParagraph"/>
              <w:ind w:left="0"/>
              <w:jc w:val="center"/>
              <w:rPr>
                <w:rFonts w:ascii="Arial" w:hAnsi="Arial" w:cs="Arial"/>
                <w:sz w:val="24"/>
                <w:szCs w:val="24"/>
              </w:rPr>
            </w:pPr>
            <w:r>
              <w:rPr>
                <w:rFonts w:ascii="Arial" w:hAnsi="Arial" w:cs="Arial"/>
                <w:sz w:val="24"/>
                <w:szCs w:val="24"/>
              </w:rPr>
              <w:t>2000</w:t>
            </w:r>
          </w:p>
        </w:tc>
        <w:tc>
          <w:tcPr>
            <w:tcW w:w="0" w:type="auto"/>
          </w:tcPr>
          <w:p w:rsidR="00F03D9C" w:rsidRDefault="00F03D9C" w:rsidP="00D30D0A">
            <w:pPr>
              <w:pStyle w:val="ListParagraph"/>
              <w:ind w:left="0"/>
              <w:jc w:val="center"/>
              <w:rPr>
                <w:rFonts w:ascii="Arial" w:hAnsi="Arial" w:cs="Arial"/>
                <w:sz w:val="24"/>
                <w:szCs w:val="24"/>
              </w:rPr>
            </w:pPr>
            <w:r>
              <w:rPr>
                <w:rFonts w:ascii="Arial" w:hAnsi="Arial" w:cs="Arial"/>
                <w:sz w:val="24"/>
                <w:szCs w:val="24"/>
              </w:rPr>
              <w:t>50</w:t>
            </w:r>
          </w:p>
        </w:tc>
        <w:tc>
          <w:tcPr>
            <w:tcW w:w="0" w:type="auto"/>
          </w:tcPr>
          <w:p w:rsidR="00F03D9C" w:rsidRDefault="00F03D9C" w:rsidP="00D30D0A">
            <w:pPr>
              <w:pStyle w:val="ListParagraph"/>
              <w:ind w:left="0"/>
              <w:jc w:val="both"/>
              <w:rPr>
                <w:rFonts w:ascii="Arial" w:hAnsi="Arial" w:cs="Arial"/>
                <w:sz w:val="24"/>
                <w:szCs w:val="24"/>
              </w:rPr>
            </w:pPr>
            <w:r>
              <w:rPr>
                <w:rFonts w:ascii="Arial" w:hAnsi="Arial" w:cs="Arial"/>
                <w:sz w:val="24"/>
                <w:szCs w:val="24"/>
              </w:rPr>
              <w:t>49(2D)</w:t>
            </w:r>
          </w:p>
        </w:tc>
      </w:tr>
      <w:tr w:rsidR="00F03D9C" w:rsidTr="00307251">
        <w:tc>
          <w:tcPr>
            <w:tcW w:w="0" w:type="auto"/>
          </w:tcPr>
          <w:p w:rsidR="00F03D9C" w:rsidRDefault="00F03D9C" w:rsidP="00D30D0A">
            <w:pPr>
              <w:pStyle w:val="ListParagraph"/>
              <w:ind w:left="0"/>
              <w:jc w:val="both"/>
              <w:rPr>
                <w:rFonts w:ascii="Arial" w:hAnsi="Arial" w:cs="Arial"/>
                <w:sz w:val="24"/>
                <w:szCs w:val="24"/>
              </w:rPr>
            </w:pPr>
            <w:r>
              <w:rPr>
                <w:rFonts w:ascii="Arial" w:hAnsi="Arial" w:cs="Arial"/>
                <w:sz w:val="24"/>
                <w:szCs w:val="24"/>
              </w:rPr>
              <w:t>Total</w:t>
            </w:r>
          </w:p>
        </w:tc>
        <w:tc>
          <w:tcPr>
            <w:tcW w:w="0" w:type="auto"/>
          </w:tcPr>
          <w:p w:rsidR="00F03D9C" w:rsidRDefault="00F03D9C" w:rsidP="00D30D0A">
            <w:pPr>
              <w:pStyle w:val="ListParagraph"/>
              <w:ind w:left="0"/>
              <w:jc w:val="center"/>
              <w:rPr>
                <w:rFonts w:ascii="Arial" w:hAnsi="Arial" w:cs="Arial"/>
                <w:sz w:val="24"/>
                <w:szCs w:val="24"/>
              </w:rPr>
            </w:pPr>
            <w:r>
              <w:rPr>
                <w:rFonts w:ascii="Arial" w:hAnsi="Arial" w:cs="Arial"/>
                <w:sz w:val="24"/>
                <w:szCs w:val="24"/>
              </w:rPr>
              <w:t>100</w:t>
            </w:r>
          </w:p>
        </w:tc>
        <w:tc>
          <w:tcPr>
            <w:tcW w:w="0" w:type="auto"/>
          </w:tcPr>
          <w:p w:rsidR="00F03D9C" w:rsidRDefault="00F03D9C" w:rsidP="00D30D0A">
            <w:pPr>
              <w:pStyle w:val="ListParagraph"/>
              <w:ind w:left="0"/>
              <w:jc w:val="center"/>
              <w:rPr>
                <w:rFonts w:ascii="Arial" w:hAnsi="Arial" w:cs="Arial"/>
                <w:sz w:val="24"/>
                <w:szCs w:val="24"/>
              </w:rPr>
            </w:pPr>
          </w:p>
        </w:tc>
        <w:tc>
          <w:tcPr>
            <w:tcW w:w="0" w:type="auto"/>
          </w:tcPr>
          <w:p w:rsidR="00F03D9C" w:rsidRDefault="00F03D9C" w:rsidP="00D30D0A">
            <w:pPr>
              <w:pStyle w:val="ListParagraph"/>
              <w:ind w:left="0"/>
              <w:jc w:val="center"/>
              <w:rPr>
                <w:rFonts w:ascii="Arial" w:hAnsi="Arial" w:cs="Arial"/>
                <w:sz w:val="24"/>
                <w:szCs w:val="24"/>
              </w:rPr>
            </w:pPr>
            <w:r>
              <w:rPr>
                <w:rFonts w:ascii="Arial" w:hAnsi="Arial" w:cs="Arial"/>
                <w:sz w:val="24"/>
                <w:szCs w:val="24"/>
              </w:rPr>
              <w:t>100</w:t>
            </w:r>
          </w:p>
        </w:tc>
        <w:tc>
          <w:tcPr>
            <w:tcW w:w="0" w:type="auto"/>
          </w:tcPr>
          <w:p w:rsidR="00F03D9C" w:rsidRDefault="00F03D9C" w:rsidP="00D30D0A">
            <w:pPr>
              <w:pStyle w:val="ListParagraph"/>
              <w:ind w:left="0"/>
              <w:jc w:val="both"/>
              <w:rPr>
                <w:rFonts w:ascii="Arial" w:hAnsi="Arial" w:cs="Arial"/>
                <w:sz w:val="24"/>
                <w:szCs w:val="24"/>
              </w:rPr>
            </w:pPr>
          </w:p>
        </w:tc>
      </w:tr>
    </w:tbl>
    <w:p w:rsidR="00F03D9C" w:rsidRPr="009D5F42" w:rsidRDefault="00F03D9C" w:rsidP="00D30D0A">
      <w:pPr>
        <w:pStyle w:val="ListParagraph"/>
        <w:jc w:val="both"/>
        <w:rPr>
          <w:rFonts w:ascii="Arial" w:hAnsi="Arial" w:cs="Arial"/>
          <w:sz w:val="16"/>
          <w:szCs w:val="16"/>
        </w:rPr>
      </w:pPr>
    </w:p>
    <w:p w:rsidR="00F03D9C" w:rsidRDefault="00F03D9C" w:rsidP="009D5F42">
      <w:pPr>
        <w:pStyle w:val="ListParagraph"/>
        <w:spacing w:after="120" w:line="240" w:lineRule="auto"/>
        <w:contextualSpacing w:val="0"/>
        <w:jc w:val="both"/>
        <w:rPr>
          <w:rFonts w:ascii="Arial" w:hAnsi="Arial" w:cs="Arial"/>
          <w:sz w:val="24"/>
          <w:szCs w:val="24"/>
        </w:rPr>
      </w:pPr>
      <w:r>
        <w:rPr>
          <w:rFonts w:ascii="Arial" w:hAnsi="Arial" w:cs="Arial"/>
          <w:sz w:val="24"/>
          <w:szCs w:val="24"/>
        </w:rPr>
        <w:t xml:space="preserve">Furthermore, the holding period of shares of </w:t>
      </w:r>
      <w:proofErr w:type="spellStart"/>
      <w:r>
        <w:rPr>
          <w:rFonts w:ascii="Arial" w:hAnsi="Arial" w:cs="Arial"/>
          <w:sz w:val="24"/>
          <w:szCs w:val="24"/>
        </w:rPr>
        <w:t>RCowill</w:t>
      </w:r>
      <w:proofErr w:type="spellEnd"/>
      <w:r>
        <w:rPr>
          <w:rFonts w:ascii="Arial" w:hAnsi="Arial" w:cs="Arial"/>
          <w:sz w:val="24"/>
          <w:szCs w:val="24"/>
        </w:rPr>
        <w:t xml:space="preserve"> include period for which shares of </w:t>
      </w:r>
      <w:proofErr w:type="spellStart"/>
      <w:r>
        <w:rPr>
          <w:rFonts w:ascii="Arial" w:hAnsi="Arial" w:cs="Arial"/>
          <w:sz w:val="24"/>
          <w:szCs w:val="24"/>
        </w:rPr>
        <w:t>DCo</w:t>
      </w:r>
      <w:proofErr w:type="spellEnd"/>
      <w:r>
        <w:rPr>
          <w:rFonts w:ascii="Arial" w:hAnsi="Arial" w:cs="Arial"/>
          <w:sz w:val="24"/>
          <w:szCs w:val="24"/>
        </w:rPr>
        <w:t xml:space="preserve"> were held by Mr. X (Refer, Exp 1(g) to </w:t>
      </w:r>
      <w:proofErr w:type="gramStart"/>
      <w:r>
        <w:rPr>
          <w:rFonts w:ascii="Arial" w:hAnsi="Arial" w:cs="Arial"/>
          <w:sz w:val="24"/>
          <w:szCs w:val="24"/>
        </w:rPr>
        <w:t>s.2(</w:t>
      </w:r>
      <w:proofErr w:type="gramEnd"/>
      <w:r>
        <w:rPr>
          <w:rFonts w:ascii="Arial" w:hAnsi="Arial" w:cs="Arial"/>
          <w:sz w:val="24"/>
          <w:szCs w:val="24"/>
        </w:rPr>
        <w:t>42A))</w:t>
      </w:r>
    </w:p>
    <w:p w:rsidR="008004ED" w:rsidRDefault="00F03D9C" w:rsidP="00D30D0A">
      <w:pPr>
        <w:pStyle w:val="ListParagraph"/>
        <w:spacing w:after="240" w:line="240" w:lineRule="auto"/>
        <w:contextualSpacing w:val="0"/>
        <w:jc w:val="both"/>
        <w:rPr>
          <w:rFonts w:ascii="Arial" w:hAnsi="Arial" w:cs="Arial"/>
          <w:sz w:val="24"/>
          <w:szCs w:val="24"/>
        </w:rPr>
      </w:pPr>
      <w:r>
        <w:rPr>
          <w:rFonts w:ascii="Arial" w:hAnsi="Arial" w:cs="Arial"/>
          <w:sz w:val="24"/>
          <w:szCs w:val="24"/>
        </w:rPr>
        <w:t xml:space="preserve">In future, if Mr. X sells shares of </w:t>
      </w:r>
      <w:proofErr w:type="spellStart"/>
      <w:r>
        <w:rPr>
          <w:rFonts w:ascii="Arial" w:hAnsi="Arial" w:cs="Arial"/>
          <w:sz w:val="24"/>
          <w:szCs w:val="24"/>
        </w:rPr>
        <w:t>RCo</w:t>
      </w:r>
      <w:proofErr w:type="spellEnd"/>
      <w:r>
        <w:rPr>
          <w:rFonts w:ascii="Arial" w:hAnsi="Arial" w:cs="Arial"/>
          <w:sz w:val="24"/>
          <w:szCs w:val="24"/>
        </w:rPr>
        <w:t>, the cost of acquisition will be taken at Rs. 50</w:t>
      </w:r>
    </w:p>
    <w:p w:rsidR="00A632AA" w:rsidRPr="008004ED" w:rsidRDefault="00A632AA" w:rsidP="00A632AA">
      <w:pPr>
        <w:pStyle w:val="Heading2"/>
        <w:numPr>
          <w:ilvl w:val="0"/>
          <w:numId w:val="2"/>
        </w:numPr>
        <w:tabs>
          <w:tab w:val="num" w:pos="567"/>
        </w:tabs>
        <w:spacing w:before="120" w:after="240" w:line="276" w:lineRule="auto"/>
        <w:ind w:left="567" w:hanging="567"/>
        <w:jc w:val="both"/>
        <w:rPr>
          <w:rFonts w:ascii="Arial" w:hAnsi="Arial" w:cs="Arial"/>
          <w:b/>
          <w:bCs/>
          <w:color w:val="00001E"/>
          <w:sz w:val="24"/>
          <w:szCs w:val="24"/>
        </w:rPr>
      </w:pPr>
      <w:r w:rsidRPr="008004ED">
        <w:rPr>
          <w:rFonts w:ascii="Arial" w:hAnsi="Arial" w:cs="Arial"/>
          <w:b/>
          <w:bCs/>
          <w:color w:val="00001E"/>
          <w:sz w:val="24"/>
          <w:szCs w:val="24"/>
        </w:rPr>
        <w:lastRenderedPageBreak/>
        <w:t>Extend carry forward and set off of accumulated business loss and unabsorbed depreciation on amalgamation to service sector</w:t>
      </w:r>
      <w:r w:rsidR="00317333">
        <w:rPr>
          <w:rFonts w:ascii="Arial" w:hAnsi="Arial" w:cs="Arial"/>
          <w:b/>
          <w:bCs/>
          <w:color w:val="00001E"/>
          <w:sz w:val="24"/>
          <w:szCs w:val="24"/>
        </w:rPr>
        <w:t xml:space="preserve"> or organised retail/trading sector</w:t>
      </w:r>
    </w:p>
    <w:p w:rsidR="00A632AA" w:rsidRPr="008004ED" w:rsidRDefault="00A632AA" w:rsidP="00A632AA">
      <w:pPr>
        <w:pStyle w:val="ListParagraph"/>
        <w:spacing w:before="120" w:after="240" w:line="276" w:lineRule="auto"/>
        <w:ind w:left="567"/>
        <w:contextualSpacing w:val="0"/>
        <w:jc w:val="both"/>
        <w:rPr>
          <w:rFonts w:ascii="Arial" w:eastAsia="Times New Roman" w:hAnsi="Arial" w:cs="Arial"/>
          <w:color w:val="00001E"/>
          <w:sz w:val="24"/>
          <w:szCs w:val="24"/>
          <w:u w:val="single"/>
          <w:lang w:val="en-US"/>
        </w:rPr>
      </w:pPr>
      <w:r w:rsidRPr="008004ED">
        <w:rPr>
          <w:rFonts w:ascii="Arial" w:eastAsia="Times New Roman" w:hAnsi="Arial" w:cs="Arial"/>
          <w:color w:val="00001E"/>
          <w:sz w:val="24"/>
          <w:szCs w:val="24"/>
          <w:u w:val="single"/>
          <w:lang w:val="en-US"/>
        </w:rPr>
        <w:t>Issue</w:t>
      </w:r>
    </w:p>
    <w:p w:rsidR="00A632AA" w:rsidRPr="008004ED" w:rsidRDefault="00A632AA" w:rsidP="00A632AA">
      <w:pPr>
        <w:pStyle w:val="ListParagraph"/>
        <w:numPr>
          <w:ilvl w:val="0"/>
          <w:numId w:val="1"/>
        </w:numPr>
        <w:spacing w:before="120"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Provisions of s. 72A of the Act permit carry forward of business loss and accumulated depreciation in case of amalgamation only to certain specific types of companies such as those owning an industrial undertaking, banking companies, etc. Moreover, the provision deems such losses to be incurred in the year of amalgamation thereby resetting the 8-year clock for set-off of business losses against profits of subsequent years in the hands of the amalgamated company.</w:t>
      </w:r>
    </w:p>
    <w:p w:rsidR="00A632AA" w:rsidRPr="008004ED" w:rsidRDefault="00A632AA" w:rsidP="00A632AA">
      <w:pPr>
        <w:pStyle w:val="ListParagraph"/>
        <w:numPr>
          <w:ilvl w:val="0"/>
          <w:numId w:val="1"/>
        </w:numPr>
        <w:spacing w:before="120"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Companies in the service or organized retail/trading sector are generally not eligible for such benefits. </w:t>
      </w:r>
    </w:p>
    <w:p w:rsidR="00A632AA" w:rsidRPr="008004ED" w:rsidRDefault="00A632AA" w:rsidP="00A632AA">
      <w:pPr>
        <w:pStyle w:val="ListParagraph"/>
        <w:numPr>
          <w:ilvl w:val="0"/>
          <w:numId w:val="1"/>
        </w:numPr>
        <w:spacing w:before="120"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The services sector has been the bulwark of the Indian economy contributing about 54% of the total GVA in FY21</w:t>
      </w:r>
      <w:r w:rsidRPr="008004ED">
        <w:rPr>
          <w:rStyle w:val="FootnoteReference"/>
          <w:rFonts w:ascii="Arial" w:eastAsia="Times New Roman" w:hAnsi="Arial" w:cs="Arial"/>
          <w:color w:val="00001E"/>
          <w:sz w:val="24"/>
          <w:szCs w:val="24"/>
          <w:lang w:val="en-US"/>
        </w:rPr>
        <w:footnoteReference w:id="1"/>
      </w:r>
      <w:r w:rsidRPr="008004ED">
        <w:rPr>
          <w:rFonts w:ascii="Arial" w:eastAsia="Times New Roman" w:hAnsi="Arial" w:cs="Arial"/>
          <w:color w:val="00001E"/>
          <w:sz w:val="24"/>
          <w:szCs w:val="24"/>
          <w:lang w:val="en-US"/>
        </w:rPr>
        <w:t>. It has also attracted significant foreign investment totaling to more than 16%</w:t>
      </w:r>
      <w:r w:rsidRPr="008004ED">
        <w:rPr>
          <w:rStyle w:val="FootnoteReference"/>
          <w:rFonts w:ascii="Arial" w:eastAsia="Times New Roman" w:hAnsi="Arial" w:cs="Arial"/>
          <w:color w:val="00001E"/>
          <w:sz w:val="24"/>
          <w:szCs w:val="24"/>
          <w:lang w:val="en-US"/>
        </w:rPr>
        <w:footnoteReference w:id="2"/>
      </w:r>
      <w:r w:rsidRPr="008004ED">
        <w:rPr>
          <w:rFonts w:ascii="Arial" w:eastAsia="Times New Roman" w:hAnsi="Arial" w:cs="Arial"/>
          <w:color w:val="00001E"/>
          <w:sz w:val="24"/>
          <w:szCs w:val="24"/>
          <w:lang w:val="en-US"/>
        </w:rPr>
        <w:t xml:space="preserve"> of the total FDI inflows into India.  This sector also contributes significantly to India’s exports wherein India's service exports in 2020-21 were USD 208.8 billion (constituting 41.8% of total exports)</w:t>
      </w:r>
      <w:r w:rsidRPr="008004ED">
        <w:rPr>
          <w:rStyle w:val="FootnoteReference"/>
          <w:rFonts w:ascii="Arial" w:eastAsia="Times New Roman" w:hAnsi="Arial" w:cs="Arial"/>
          <w:color w:val="00001E"/>
          <w:sz w:val="24"/>
          <w:szCs w:val="24"/>
          <w:lang w:val="en-US"/>
        </w:rPr>
        <w:footnoteReference w:id="3"/>
      </w:r>
      <w:r w:rsidRPr="008004ED">
        <w:rPr>
          <w:rFonts w:ascii="Arial" w:eastAsia="Times New Roman" w:hAnsi="Arial" w:cs="Arial"/>
          <w:color w:val="00001E"/>
          <w:sz w:val="24"/>
          <w:szCs w:val="24"/>
          <w:lang w:val="en-US"/>
        </w:rPr>
        <w:t>. The sector provides large scale employment.  As per ILO estimates (2019), services sector in India contributed 32% of the total employment in the country, with industry’s share only at 25% and manufacturing sector’s share at merely 12%.</w:t>
      </w:r>
    </w:p>
    <w:p w:rsidR="00A632AA" w:rsidRPr="008004ED" w:rsidRDefault="00A632AA" w:rsidP="00A632AA">
      <w:pPr>
        <w:pStyle w:val="ListParagraph"/>
        <w:numPr>
          <w:ilvl w:val="0"/>
          <w:numId w:val="1"/>
        </w:numPr>
        <w:spacing w:before="120"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However, with the advent of globalization and liberalization resulting in the influx of foreign entities into India, the increasing competition has resulted in a pressing need for small companies in the service and </w:t>
      </w:r>
      <w:proofErr w:type="spellStart"/>
      <w:r w:rsidRPr="008004ED">
        <w:rPr>
          <w:rFonts w:ascii="Arial" w:eastAsia="Times New Roman" w:hAnsi="Arial" w:cs="Arial"/>
          <w:color w:val="00001E"/>
          <w:sz w:val="24"/>
          <w:szCs w:val="24"/>
          <w:lang w:val="en-US"/>
        </w:rPr>
        <w:t>organised</w:t>
      </w:r>
      <w:proofErr w:type="spellEnd"/>
      <w:r w:rsidRPr="008004ED">
        <w:rPr>
          <w:rFonts w:ascii="Arial" w:eastAsia="Times New Roman" w:hAnsi="Arial" w:cs="Arial"/>
          <w:color w:val="00001E"/>
          <w:sz w:val="24"/>
          <w:szCs w:val="24"/>
          <w:lang w:val="en-US"/>
        </w:rPr>
        <w:t xml:space="preserve"> retail/ trading to consolidate their resources to survive.</w:t>
      </w:r>
      <w:r>
        <w:rPr>
          <w:rFonts w:ascii="Arial" w:eastAsia="Times New Roman" w:hAnsi="Arial" w:cs="Arial"/>
          <w:color w:val="00001E"/>
          <w:sz w:val="24"/>
          <w:szCs w:val="24"/>
          <w:lang w:val="en-US"/>
        </w:rPr>
        <w:t xml:space="preserve"> </w:t>
      </w:r>
      <w:r w:rsidRPr="008004ED">
        <w:rPr>
          <w:rFonts w:ascii="Arial" w:eastAsia="Times New Roman" w:hAnsi="Arial" w:cs="Arial"/>
          <w:color w:val="00001E"/>
          <w:sz w:val="24"/>
          <w:szCs w:val="24"/>
          <w:lang w:val="en-US"/>
        </w:rPr>
        <w:t xml:space="preserve">Moreover, several service sector companies </w:t>
      </w:r>
      <w:r w:rsidR="00381EC4">
        <w:rPr>
          <w:rFonts w:ascii="Arial" w:eastAsia="Times New Roman" w:hAnsi="Arial" w:cs="Arial"/>
          <w:color w:val="00001E"/>
          <w:sz w:val="24"/>
          <w:szCs w:val="24"/>
          <w:lang w:val="en-US"/>
        </w:rPr>
        <w:t>are</w:t>
      </w:r>
      <w:r w:rsidRPr="008004ED">
        <w:rPr>
          <w:rFonts w:ascii="Arial" w:eastAsia="Times New Roman" w:hAnsi="Arial" w:cs="Arial"/>
          <w:color w:val="00001E"/>
          <w:sz w:val="24"/>
          <w:szCs w:val="24"/>
          <w:lang w:val="en-US"/>
        </w:rPr>
        <w:t xml:space="preserve"> looking for optimizing the operations by amalgamation with other companies even due to unprecedented Covid-19 situation.</w:t>
      </w:r>
    </w:p>
    <w:p w:rsidR="00A632AA" w:rsidRPr="008004ED" w:rsidRDefault="00A632AA" w:rsidP="00A632AA">
      <w:pPr>
        <w:pStyle w:val="ListParagraph"/>
        <w:numPr>
          <w:ilvl w:val="0"/>
          <w:numId w:val="1"/>
        </w:numPr>
        <w:spacing w:before="120"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With growing emphasis on the digitization of economy and major portion of Indian GDP being contributed by service sector there seems to be no rationale for treating the service sector differently than manufacturing sector and restricting the applicability of s.72A only to manufacturing sector and select service sector.</w:t>
      </w:r>
    </w:p>
    <w:p w:rsidR="00A632AA" w:rsidRPr="008004ED" w:rsidRDefault="00A632AA" w:rsidP="00A632AA">
      <w:pPr>
        <w:pStyle w:val="ListParagraph"/>
        <w:numPr>
          <w:ilvl w:val="0"/>
          <w:numId w:val="1"/>
        </w:numPr>
        <w:spacing w:before="120" w:after="12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lastRenderedPageBreak/>
        <w:t>Even internationally, where transition of losses is permitted in major developed countries such as US, UK, Singapore or even developing countries such as China and Russia (which are members of BRICS)</w:t>
      </w:r>
      <w:proofErr w:type="gramStart"/>
      <w:r w:rsidRPr="008004ED">
        <w:rPr>
          <w:rFonts w:ascii="Arial" w:eastAsia="Times New Roman" w:hAnsi="Arial" w:cs="Arial"/>
          <w:color w:val="00001E"/>
          <w:sz w:val="24"/>
          <w:szCs w:val="24"/>
          <w:lang w:val="en-US"/>
        </w:rPr>
        <w:t>,no</w:t>
      </w:r>
      <w:proofErr w:type="gramEnd"/>
      <w:r w:rsidRPr="008004ED">
        <w:rPr>
          <w:rFonts w:ascii="Arial" w:eastAsia="Times New Roman" w:hAnsi="Arial" w:cs="Arial"/>
          <w:color w:val="00001E"/>
          <w:sz w:val="24"/>
          <w:szCs w:val="24"/>
          <w:lang w:val="en-US"/>
        </w:rPr>
        <w:t xml:space="preserve"> such artificial distinction is made and transition of losses is permitted to companies in all sectors with the safeguards of continuity of business and/or continuity of ownership.</w:t>
      </w:r>
    </w:p>
    <w:p w:rsidR="00A632AA" w:rsidRPr="008004ED" w:rsidRDefault="00A632AA" w:rsidP="00A632AA">
      <w:pPr>
        <w:pStyle w:val="ListParagraph"/>
        <w:numPr>
          <w:ilvl w:val="0"/>
          <w:numId w:val="1"/>
        </w:numPr>
        <w:spacing w:before="120"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While admittedly, safeguards to ensure continuity of business in case of manufacturing sector [in terms of achieving production of 50% of installed capacity and maintenance of 75% of assets post-merger] may not be feasible for service/ trading sector, safeguards</w:t>
      </w:r>
      <w:r>
        <w:rPr>
          <w:rFonts w:ascii="Arial" w:eastAsia="Times New Roman" w:hAnsi="Arial" w:cs="Arial"/>
          <w:color w:val="00001E"/>
          <w:sz w:val="24"/>
          <w:szCs w:val="24"/>
          <w:lang w:val="en-US"/>
        </w:rPr>
        <w:t xml:space="preserve"> </w:t>
      </w:r>
      <w:r w:rsidRPr="008004ED">
        <w:rPr>
          <w:rFonts w:ascii="Arial" w:eastAsia="Times New Roman" w:hAnsi="Arial" w:cs="Arial"/>
          <w:color w:val="00001E"/>
          <w:sz w:val="24"/>
          <w:szCs w:val="24"/>
          <w:lang w:val="en-US"/>
        </w:rPr>
        <w:t>inserted internationally may be illuminative:</w:t>
      </w:r>
    </w:p>
    <w:p w:rsidR="00A632AA" w:rsidRPr="008004ED" w:rsidRDefault="00A632AA" w:rsidP="00A632AA">
      <w:pPr>
        <w:pStyle w:val="ListParagraph"/>
        <w:numPr>
          <w:ilvl w:val="1"/>
          <w:numId w:val="1"/>
        </w:numPr>
        <w:spacing w:before="120" w:after="240" w:line="276" w:lineRule="auto"/>
        <w:ind w:left="1701"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United Kingdom – Transition of losses to amalgamated company is subject to there being no scale</w:t>
      </w:r>
      <w:r>
        <w:rPr>
          <w:rFonts w:ascii="Arial" w:eastAsia="Times New Roman" w:hAnsi="Arial" w:cs="Arial"/>
          <w:color w:val="00001E"/>
          <w:sz w:val="24"/>
          <w:szCs w:val="24"/>
          <w:lang w:val="en-US"/>
        </w:rPr>
        <w:t xml:space="preserve"> </w:t>
      </w:r>
      <w:r w:rsidRPr="008004ED">
        <w:rPr>
          <w:rFonts w:ascii="Arial" w:eastAsia="Times New Roman" w:hAnsi="Arial" w:cs="Arial"/>
          <w:color w:val="00001E"/>
          <w:sz w:val="24"/>
          <w:szCs w:val="24"/>
          <w:lang w:val="en-US"/>
        </w:rPr>
        <w:t>down of business or change in its nature or ownership for 5 years subsequent to merger</w:t>
      </w:r>
    </w:p>
    <w:p w:rsidR="00A632AA" w:rsidRPr="008004ED" w:rsidRDefault="00A632AA" w:rsidP="00A632AA">
      <w:pPr>
        <w:pStyle w:val="ListParagraph"/>
        <w:numPr>
          <w:ilvl w:val="1"/>
          <w:numId w:val="1"/>
        </w:numPr>
        <w:spacing w:before="120" w:after="240" w:line="276" w:lineRule="auto"/>
        <w:ind w:left="1701"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Singapore – Transition of losses to amalgamated company is permitted subject to shareholders holding 50% or more shares being the same and there being no break in continuity of the business</w:t>
      </w:r>
    </w:p>
    <w:p w:rsidR="00A632AA" w:rsidRPr="008004ED" w:rsidRDefault="00A632AA" w:rsidP="00A632AA">
      <w:pPr>
        <w:pStyle w:val="ListParagraph"/>
        <w:numPr>
          <w:ilvl w:val="1"/>
          <w:numId w:val="1"/>
        </w:numPr>
        <w:spacing w:before="120" w:after="240" w:line="276" w:lineRule="auto"/>
        <w:ind w:left="1701"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Hong Kong – Transition of losses is to </w:t>
      </w:r>
      <w:proofErr w:type="gramStart"/>
      <w:r w:rsidRPr="008004ED">
        <w:rPr>
          <w:rFonts w:ascii="Arial" w:eastAsia="Times New Roman" w:hAnsi="Arial" w:cs="Arial"/>
          <w:color w:val="00001E"/>
          <w:sz w:val="24"/>
          <w:szCs w:val="24"/>
          <w:lang w:val="en-US"/>
        </w:rPr>
        <w:t>amalgamated</w:t>
      </w:r>
      <w:proofErr w:type="gramEnd"/>
      <w:r w:rsidRPr="008004ED">
        <w:rPr>
          <w:rFonts w:ascii="Arial" w:eastAsia="Times New Roman" w:hAnsi="Arial" w:cs="Arial"/>
          <w:color w:val="00001E"/>
          <w:sz w:val="24"/>
          <w:szCs w:val="24"/>
          <w:lang w:val="en-US"/>
        </w:rPr>
        <w:t xml:space="preserve"> company is subject to bona fides. Where sole/ dominant purpose is utilization of losses and there is change in the nature of business such losses are lost.</w:t>
      </w:r>
    </w:p>
    <w:p w:rsidR="00A632AA" w:rsidRPr="008004ED" w:rsidRDefault="00A632AA" w:rsidP="00A632AA">
      <w:pPr>
        <w:pStyle w:val="ListParagraph"/>
        <w:numPr>
          <w:ilvl w:val="1"/>
          <w:numId w:val="1"/>
        </w:numPr>
        <w:spacing w:before="120" w:after="240" w:line="276" w:lineRule="auto"/>
        <w:ind w:left="1701"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China – Transition of losses to amalgamated company are permitted subject to satisfaction of the following conditions:</w:t>
      </w:r>
    </w:p>
    <w:p w:rsidR="00A632AA" w:rsidRPr="008004ED" w:rsidRDefault="00A632AA" w:rsidP="00A632AA">
      <w:pPr>
        <w:pStyle w:val="ListParagraph"/>
        <w:numPr>
          <w:ilvl w:val="2"/>
          <w:numId w:val="1"/>
        </w:numPr>
        <w:spacing w:before="120" w:after="240" w:line="276" w:lineRule="auto"/>
        <w:ind w:left="2268"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The amalgamation must have bona fide business purpose and must not be carried out with the primary objective of reducing, avoid or deferring tax payments. </w:t>
      </w:r>
    </w:p>
    <w:p w:rsidR="00A632AA" w:rsidRPr="008004ED" w:rsidRDefault="00A632AA" w:rsidP="00A632AA">
      <w:pPr>
        <w:pStyle w:val="ListParagraph"/>
        <w:numPr>
          <w:ilvl w:val="2"/>
          <w:numId w:val="1"/>
        </w:numPr>
        <w:spacing w:before="120" w:after="240" w:line="276" w:lineRule="auto"/>
        <w:ind w:left="2268"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At least 75% of equity interest in acquired company must be acquired in an equity acquisition or at least 75% of transferring company’s assets must be acquired in an asset acquisition. </w:t>
      </w:r>
    </w:p>
    <w:p w:rsidR="00A632AA" w:rsidRPr="008004ED" w:rsidRDefault="00A632AA" w:rsidP="00A632AA">
      <w:pPr>
        <w:pStyle w:val="ListParagraph"/>
        <w:numPr>
          <w:ilvl w:val="2"/>
          <w:numId w:val="1"/>
        </w:numPr>
        <w:spacing w:before="120" w:after="120" w:line="276" w:lineRule="auto"/>
        <w:ind w:left="2268"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At least 85% of total consideration received must be in the form of shares. </w:t>
      </w:r>
    </w:p>
    <w:p w:rsidR="00A632AA" w:rsidRPr="008004ED" w:rsidRDefault="00A632AA" w:rsidP="00A632AA">
      <w:pPr>
        <w:pStyle w:val="ListParagraph"/>
        <w:numPr>
          <w:ilvl w:val="2"/>
          <w:numId w:val="1"/>
        </w:numPr>
        <w:spacing w:before="120" w:after="240" w:line="276" w:lineRule="auto"/>
        <w:ind w:left="2268"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 xml:space="preserve">There must be no change in the nature of activities for 12 months post amalgamation. </w:t>
      </w:r>
    </w:p>
    <w:p w:rsidR="00A632AA" w:rsidRPr="008004ED" w:rsidRDefault="00A632AA" w:rsidP="00A632AA">
      <w:pPr>
        <w:pStyle w:val="ListParagraph"/>
        <w:numPr>
          <w:ilvl w:val="2"/>
          <w:numId w:val="1"/>
        </w:numPr>
        <w:spacing w:before="120" w:after="240" w:line="276" w:lineRule="auto"/>
        <w:ind w:left="2268"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t>Shareholders holding</w:t>
      </w:r>
      <w:r>
        <w:rPr>
          <w:rFonts w:ascii="Arial" w:eastAsia="Times New Roman" w:hAnsi="Arial" w:cs="Arial"/>
          <w:color w:val="00001E"/>
          <w:sz w:val="24"/>
          <w:szCs w:val="24"/>
          <w:lang w:val="en-US"/>
        </w:rPr>
        <w:t xml:space="preserve"> </w:t>
      </w:r>
      <w:proofErr w:type="spellStart"/>
      <w:r w:rsidRPr="008004ED">
        <w:rPr>
          <w:rFonts w:ascii="Arial" w:eastAsia="Times New Roman" w:hAnsi="Arial" w:cs="Arial"/>
          <w:color w:val="00001E"/>
          <w:sz w:val="24"/>
          <w:szCs w:val="24"/>
          <w:lang w:val="en-US"/>
        </w:rPr>
        <w:t>atleast</w:t>
      </w:r>
      <w:proofErr w:type="spellEnd"/>
      <w:r>
        <w:rPr>
          <w:rFonts w:ascii="Arial" w:eastAsia="Times New Roman" w:hAnsi="Arial" w:cs="Arial"/>
          <w:color w:val="00001E"/>
          <w:sz w:val="24"/>
          <w:szCs w:val="24"/>
          <w:lang w:val="en-US"/>
        </w:rPr>
        <w:t xml:space="preserve"> </w:t>
      </w:r>
      <w:r w:rsidRPr="008004ED">
        <w:rPr>
          <w:rFonts w:ascii="Arial" w:eastAsia="Times New Roman" w:hAnsi="Arial" w:cs="Arial"/>
          <w:color w:val="00001E"/>
          <w:sz w:val="24"/>
          <w:szCs w:val="24"/>
          <w:lang w:val="en-US"/>
        </w:rPr>
        <w:t xml:space="preserve">20% of shares in the amalgamating company must continue to hold shares in amalgamated company for </w:t>
      </w:r>
      <w:proofErr w:type="spellStart"/>
      <w:r w:rsidRPr="008004ED">
        <w:rPr>
          <w:rFonts w:ascii="Arial" w:eastAsia="Times New Roman" w:hAnsi="Arial" w:cs="Arial"/>
          <w:color w:val="00001E"/>
          <w:sz w:val="24"/>
          <w:szCs w:val="24"/>
          <w:lang w:val="en-US"/>
        </w:rPr>
        <w:t>atleast</w:t>
      </w:r>
      <w:proofErr w:type="spellEnd"/>
      <w:r w:rsidRPr="008004ED">
        <w:rPr>
          <w:rFonts w:ascii="Arial" w:eastAsia="Times New Roman" w:hAnsi="Arial" w:cs="Arial"/>
          <w:color w:val="00001E"/>
          <w:sz w:val="24"/>
          <w:szCs w:val="24"/>
          <w:lang w:val="en-US"/>
        </w:rPr>
        <w:t xml:space="preserve"> 12 months post amalgamation.</w:t>
      </w:r>
    </w:p>
    <w:p w:rsidR="00A632AA" w:rsidRDefault="00A632AA" w:rsidP="00A632AA">
      <w:pPr>
        <w:pStyle w:val="ListParagraph"/>
        <w:numPr>
          <w:ilvl w:val="0"/>
          <w:numId w:val="1"/>
        </w:numPr>
        <w:spacing w:before="120" w:after="240" w:line="276" w:lineRule="auto"/>
        <w:ind w:left="1134" w:hanging="567"/>
        <w:contextualSpacing w:val="0"/>
        <w:jc w:val="both"/>
        <w:rPr>
          <w:rFonts w:ascii="Arial" w:eastAsia="Times New Roman" w:hAnsi="Arial" w:cs="Arial"/>
          <w:color w:val="00001E"/>
          <w:sz w:val="24"/>
          <w:szCs w:val="24"/>
          <w:lang w:val="en-US"/>
        </w:rPr>
      </w:pPr>
      <w:r w:rsidRPr="008004ED">
        <w:rPr>
          <w:rFonts w:ascii="Arial" w:eastAsia="Times New Roman" w:hAnsi="Arial" w:cs="Arial"/>
          <w:color w:val="00001E"/>
          <w:sz w:val="24"/>
          <w:szCs w:val="24"/>
          <w:lang w:val="en-US"/>
        </w:rPr>
        <w:lastRenderedPageBreak/>
        <w:t>The extension of s.72A to service sector will enable tax efficient business reorganization of companies and thereby protect value for shareholders. It will enable stronger companies to absorb small/weak companies, protect jobs</w:t>
      </w:r>
      <w:r>
        <w:rPr>
          <w:rFonts w:ascii="Arial" w:eastAsia="Times New Roman" w:hAnsi="Arial" w:cs="Arial"/>
          <w:color w:val="00001E"/>
          <w:sz w:val="24"/>
          <w:szCs w:val="24"/>
          <w:lang w:val="en-US"/>
        </w:rPr>
        <w:t xml:space="preserve"> </w:t>
      </w:r>
      <w:r w:rsidRPr="008004ED">
        <w:rPr>
          <w:rFonts w:ascii="Arial" w:eastAsia="Times New Roman" w:hAnsi="Arial" w:cs="Arial"/>
          <w:color w:val="00001E"/>
          <w:sz w:val="24"/>
          <w:szCs w:val="24"/>
          <w:lang w:val="en-US"/>
        </w:rPr>
        <w:t>and also secure the interests of financial and operating creditors</w:t>
      </w:r>
      <w:r>
        <w:rPr>
          <w:rFonts w:ascii="Arial" w:eastAsia="Times New Roman" w:hAnsi="Arial" w:cs="Arial"/>
          <w:color w:val="00001E"/>
          <w:sz w:val="24"/>
          <w:szCs w:val="24"/>
          <w:lang w:val="en-US"/>
        </w:rPr>
        <w:t xml:space="preserve"> </w:t>
      </w:r>
      <w:r w:rsidRPr="008004ED">
        <w:rPr>
          <w:rFonts w:ascii="Arial" w:eastAsia="Times New Roman" w:hAnsi="Arial" w:cs="Arial"/>
          <w:color w:val="00001E"/>
          <w:sz w:val="24"/>
          <w:szCs w:val="24"/>
          <w:lang w:val="en-US"/>
        </w:rPr>
        <w:t>by</w:t>
      </w:r>
      <w:r>
        <w:rPr>
          <w:rFonts w:ascii="Arial" w:eastAsia="Times New Roman" w:hAnsi="Arial" w:cs="Arial"/>
          <w:color w:val="00001E"/>
          <w:sz w:val="24"/>
          <w:szCs w:val="24"/>
          <w:lang w:val="en-US"/>
        </w:rPr>
        <w:t xml:space="preserve"> </w:t>
      </w:r>
      <w:r w:rsidRPr="008004ED">
        <w:rPr>
          <w:rFonts w:ascii="Arial" w:eastAsia="Times New Roman" w:hAnsi="Arial" w:cs="Arial"/>
          <w:color w:val="00001E"/>
          <w:sz w:val="24"/>
          <w:szCs w:val="24"/>
          <w:lang w:val="en-US"/>
        </w:rPr>
        <w:t>avoiding liquidation of financially stressed companies. The revenue’s interest can be protected by providing appropriate safeguard based on international precedence.</w:t>
      </w:r>
    </w:p>
    <w:p w:rsidR="00C940C4" w:rsidRDefault="008D2DCC" w:rsidP="00A632AA">
      <w:pPr>
        <w:pStyle w:val="ListParagraph"/>
        <w:numPr>
          <w:ilvl w:val="0"/>
          <w:numId w:val="1"/>
        </w:numPr>
        <w:spacing w:before="120" w:after="240" w:line="276" w:lineRule="auto"/>
        <w:ind w:left="1134" w:hanging="567"/>
        <w:contextualSpacing w:val="0"/>
        <w:jc w:val="both"/>
        <w:rPr>
          <w:rFonts w:ascii="Arial" w:eastAsia="Times New Roman" w:hAnsi="Arial" w:cs="Arial"/>
          <w:color w:val="00001E"/>
          <w:sz w:val="24"/>
          <w:szCs w:val="24"/>
          <w:lang w:val="en-US"/>
        </w:rPr>
      </w:pPr>
      <w:r>
        <w:rPr>
          <w:rFonts w:ascii="Arial" w:eastAsia="Times New Roman" w:hAnsi="Arial" w:cs="Arial"/>
          <w:color w:val="00001E"/>
          <w:sz w:val="24"/>
          <w:szCs w:val="24"/>
          <w:lang w:val="en-US"/>
        </w:rPr>
        <w:t xml:space="preserve">The parameter of employee headcount or payroll expenditure is recognized in several contexts </w:t>
      </w:r>
      <w:r w:rsidR="00B234D1">
        <w:rPr>
          <w:rFonts w:ascii="Arial" w:eastAsia="Times New Roman" w:hAnsi="Arial" w:cs="Arial"/>
          <w:color w:val="00001E"/>
          <w:sz w:val="24"/>
          <w:szCs w:val="24"/>
          <w:lang w:val="en-US"/>
        </w:rPr>
        <w:t xml:space="preserve">of </w:t>
      </w:r>
      <w:r w:rsidR="00703469">
        <w:rPr>
          <w:rFonts w:ascii="Arial" w:eastAsia="Times New Roman" w:hAnsi="Arial" w:cs="Arial"/>
          <w:color w:val="00001E"/>
          <w:sz w:val="24"/>
          <w:szCs w:val="24"/>
          <w:lang w:val="en-US"/>
        </w:rPr>
        <w:t xml:space="preserve">income </w:t>
      </w:r>
      <w:r w:rsidR="00B234D1">
        <w:rPr>
          <w:rFonts w:ascii="Arial" w:eastAsia="Times New Roman" w:hAnsi="Arial" w:cs="Arial"/>
          <w:color w:val="00001E"/>
          <w:sz w:val="24"/>
          <w:szCs w:val="24"/>
          <w:lang w:val="en-US"/>
        </w:rPr>
        <w:t xml:space="preserve">tax </w:t>
      </w:r>
      <w:r>
        <w:rPr>
          <w:rFonts w:ascii="Arial" w:eastAsia="Times New Roman" w:hAnsi="Arial" w:cs="Arial"/>
          <w:color w:val="00001E"/>
          <w:sz w:val="24"/>
          <w:szCs w:val="24"/>
          <w:lang w:val="en-US"/>
        </w:rPr>
        <w:t xml:space="preserve">as parameter indicating “substance” </w:t>
      </w:r>
      <w:r w:rsidR="00B234D1">
        <w:rPr>
          <w:rFonts w:ascii="Arial" w:eastAsia="Times New Roman" w:hAnsi="Arial" w:cs="Arial"/>
          <w:color w:val="00001E"/>
          <w:sz w:val="24"/>
          <w:szCs w:val="24"/>
          <w:lang w:val="en-US"/>
        </w:rPr>
        <w:t>of the entity. Refer, the following illustrations :-</w:t>
      </w:r>
    </w:p>
    <w:p w:rsidR="00B234D1" w:rsidRPr="006E0706" w:rsidRDefault="006E0706" w:rsidP="00B234D1">
      <w:pPr>
        <w:pStyle w:val="ListParagraph"/>
        <w:numPr>
          <w:ilvl w:val="1"/>
          <w:numId w:val="1"/>
        </w:numPr>
        <w:spacing w:before="120" w:after="240" w:line="276" w:lineRule="auto"/>
        <w:contextualSpacing w:val="0"/>
        <w:jc w:val="both"/>
        <w:rPr>
          <w:rFonts w:ascii="Arial" w:eastAsia="Times New Roman" w:hAnsi="Arial" w:cs="Arial"/>
          <w:b/>
          <w:bCs/>
          <w:color w:val="00001E"/>
          <w:sz w:val="24"/>
          <w:szCs w:val="24"/>
          <w:lang w:val="en-US"/>
        </w:rPr>
      </w:pPr>
      <w:r w:rsidRPr="006E0706">
        <w:rPr>
          <w:rFonts w:ascii="Arial" w:eastAsia="Times New Roman" w:hAnsi="Arial" w:cs="Arial"/>
          <w:b/>
          <w:bCs/>
          <w:color w:val="00001E"/>
          <w:sz w:val="24"/>
          <w:szCs w:val="24"/>
          <w:lang w:val="en-US"/>
        </w:rPr>
        <w:t>Employee headcount</w:t>
      </w:r>
    </w:p>
    <w:p w:rsidR="006E0706" w:rsidRDefault="006E0706" w:rsidP="006E0706">
      <w:pPr>
        <w:pStyle w:val="ListParagraph"/>
        <w:numPr>
          <w:ilvl w:val="2"/>
          <w:numId w:val="1"/>
        </w:numPr>
        <w:spacing w:before="120" w:after="240" w:line="276" w:lineRule="auto"/>
        <w:contextualSpacing w:val="0"/>
        <w:jc w:val="both"/>
        <w:rPr>
          <w:rFonts w:ascii="Arial" w:eastAsia="Times New Roman" w:hAnsi="Arial" w:cs="Arial"/>
          <w:color w:val="00001E"/>
          <w:sz w:val="24"/>
          <w:szCs w:val="24"/>
          <w:lang w:val="en-US"/>
        </w:rPr>
      </w:pPr>
      <w:r>
        <w:rPr>
          <w:rFonts w:ascii="Arial" w:eastAsia="Times New Roman" w:hAnsi="Arial" w:cs="Arial"/>
          <w:color w:val="00001E"/>
          <w:sz w:val="24"/>
          <w:szCs w:val="24"/>
          <w:lang w:val="en-US"/>
        </w:rPr>
        <w:t xml:space="preserve">Prior to 2016, deduction u/s. 80JJAA was </w:t>
      </w:r>
      <w:r w:rsidR="00302BE5">
        <w:rPr>
          <w:rFonts w:ascii="Arial" w:eastAsia="Times New Roman" w:hAnsi="Arial" w:cs="Arial"/>
          <w:color w:val="00001E"/>
          <w:sz w:val="24"/>
          <w:szCs w:val="24"/>
          <w:lang w:val="en-US"/>
        </w:rPr>
        <w:t>linked to co</w:t>
      </w:r>
      <w:r w:rsidR="00D319A1">
        <w:rPr>
          <w:rFonts w:ascii="Arial" w:eastAsia="Times New Roman" w:hAnsi="Arial" w:cs="Arial"/>
          <w:color w:val="00001E"/>
          <w:sz w:val="24"/>
          <w:szCs w:val="24"/>
          <w:lang w:val="en-US"/>
        </w:rPr>
        <w:t>ndition of at least 10% increase in the number of ‘regular workmen’</w:t>
      </w:r>
      <w:r w:rsidR="00CE584A">
        <w:rPr>
          <w:rFonts w:ascii="Arial" w:eastAsia="Times New Roman" w:hAnsi="Arial" w:cs="Arial"/>
          <w:color w:val="00001E"/>
          <w:sz w:val="24"/>
          <w:szCs w:val="24"/>
          <w:lang w:val="en-US"/>
        </w:rPr>
        <w:t>. Post 2016, it is linked to increase by at least one employee as compared to last day of preceding year.</w:t>
      </w:r>
    </w:p>
    <w:p w:rsidR="001F7A92" w:rsidRDefault="001F7A92" w:rsidP="006E0706">
      <w:pPr>
        <w:pStyle w:val="ListParagraph"/>
        <w:numPr>
          <w:ilvl w:val="2"/>
          <w:numId w:val="1"/>
        </w:numPr>
        <w:spacing w:before="120" w:after="240" w:line="276" w:lineRule="auto"/>
        <w:contextualSpacing w:val="0"/>
        <w:jc w:val="both"/>
        <w:rPr>
          <w:rFonts w:ascii="Arial" w:eastAsia="Times New Roman" w:hAnsi="Arial" w:cs="Arial"/>
          <w:color w:val="00001E"/>
          <w:sz w:val="24"/>
          <w:szCs w:val="24"/>
          <w:lang w:val="en-US"/>
        </w:rPr>
      </w:pPr>
      <w:r>
        <w:rPr>
          <w:rFonts w:ascii="Arial" w:eastAsia="Times New Roman" w:hAnsi="Arial" w:cs="Arial"/>
          <w:color w:val="00001E"/>
          <w:sz w:val="24"/>
          <w:szCs w:val="24"/>
          <w:lang w:val="en-US"/>
        </w:rPr>
        <w:t xml:space="preserve">Circular No. </w:t>
      </w:r>
      <w:r w:rsidR="00B05B7B">
        <w:rPr>
          <w:rFonts w:ascii="Arial" w:eastAsia="Times New Roman" w:hAnsi="Arial" w:cs="Arial"/>
          <w:color w:val="00001E"/>
          <w:sz w:val="24"/>
          <w:szCs w:val="24"/>
          <w:lang w:val="en-US"/>
        </w:rPr>
        <w:t xml:space="preserve">6 of 2017 dated 24 January 2017 laying down guidelines for determination of ‘place of effective management’ (POEM) </w:t>
      </w:r>
      <w:r w:rsidR="00B1578C">
        <w:rPr>
          <w:rFonts w:ascii="Arial" w:eastAsia="Times New Roman" w:hAnsi="Arial" w:cs="Arial"/>
          <w:color w:val="00001E"/>
          <w:sz w:val="24"/>
          <w:szCs w:val="24"/>
          <w:lang w:val="en-US"/>
        </w:rPr>
        <w:t>adopts number of employees in India and number of employees outside India as one of the criterion in ‘active business outside India’ (ABOI) test</w:t>
      </w:r>
      <w:r w:rsidR="00BB4EB2">
        <w:rPr>
          <w:rFonts w:ascii="Arial" w:eastAsia="Times New Roman" w:hAnsi="Arial" w:cs="Arial"/>
          <w:color w:val="00001E"/>
          <w:sz w:val="24"/>
          <w:szCs w:val="24"/>
          <w:lang w:val="en-US"/>
        </w:rPr>
        <w:t xml:space="preserve">. For this purpose, it is clarified that the number of employees </w:t>
      </w:r>
      <w:r w:rsidR="00885FD3">
        <w:rPr>
          <w:rFonts w:ascii="Arial" w:eastAsia="Times New Roman" w:hAnsi="Arial" w:cs="Arial"/>
          <w:color w:val="00001E"/>
          <w:sz w:val="24"/>
          <w:szCs w:val="24"/>
          <w:lang w:val="en-US"/>
        </w:rPr>
        <w:t xml:space="preserve">shall be the average number of employees as at the beginning and at the end of the year and shall include persons, who though not employed directly </w:t>
      </w:r>
      <w:r w:rsidR="00E75810">
        <w:rPr>
          <w:rFonts w:ascii="Arial" w:eastAsia="Times New Roman" w:hAnsi="Arial" w:cs="Arial"/>
          <w:color w:val="00001E"/>
          <w:sz w:val="24"/>
          <w:szCs w:val="24"/>
          <w:lang w:val="en-US"/>
        </w:rPr>
        <w:t>by the company, perform tasks similar to those performed by the employees.</w:t>
      </w:r>
      <w:r w:rsidR="00BB4EB2">
        <w:rPr>
          <w:rFonts w:ascii="Arial" w:eastAsia="Times New Roman" w:hAnsi="Arial" w:cs="Arial"/>
          <w:color w:val="00001E"/>
          <w:sz w:val="24"/>
          <w:szCs w:val="24"/>
          <w:lang w:val="en-US"/>
        </w:rPr>
        <w:t xml:space="preserve"> </w:t>
      </w:r>
      <w:r w:rsidR="00B1578C">
        <w:rPr>
          <w:rFonts w:ascii="Arial" w:eastAsia="Times New Roman" w:hAnsi="Arial" w:cs="Arial"/>
          <w:color w:val="00001E"/>
          <w:sz w:val="24"/>
          <w:szCs w:val="24"/>
          <w:lang w:val="en-US"/>
        </w:rPr>
        <w:t xml:space="preserve"> </w:t>
      </w:r>
    </w:p>
    <w:p w:rsidR="00354971" w:rsidRDefault="008E555B" w:rsidP="006E0706">
      <w:pPr>
        <w:pStyle w:val="ListParagraph"/>
        <w:numPr>
          <w:ilvl w:val="2"/>
          <w:numId w:val="1"/>
        </w:numPr>
        <w:spacing w:before="120" w:after="240" w:line="276" w:lineRule="auto"/>
        <w:contextualSpacing w:val="0"/>
        <w:jc w:val="both"/>
        <w:rPr>
          <w:rFonts w:ascii="Arial" w:eastAsia="Times New Roman" w:hAnsi="Arial" w:cs="Arial"/>
          <w:color w:val="00001E"/>
          <w:sz w:val="24"/>
          <w:szCs w:val="24"/>
          <w:lang w:val="en-US"/>
        </w:rPr>
      </w:pPr>
      <w:r>
        <w:rPr>
          <w:rFonts w:ascii="Arial" w:eastAsia="Times New Roman" w:hAnsi="Arial" w:cs="Arial"/>
          <w:color w:val="00001E"/>
          <w:sz w:val="24"/>
          <w:szCs w:val="24"/>
          <w:lang w:val="en-US"/>
        </w:rPr>
        <w:t xml:space="preserve">For testing newness of SEZ unit engaged in software development or ITES, it was clarified in CBDT Circular No. </w:t>
      </w:r>
      <w:r w:rsidR="00EA68C5">
        <w:rPr>
          <w:rFonts w:ascii="Arial" w:eastAsia="Times New Roman" w:hAnsi="Arial" w:cs="Arial"/>
          <w:color w:val="00001E"/>
          <w:sz w:val="24"/>
          <w:szCs w:val="24"/>
          <w:lang w:val="en-US"/>
        </w:rPr>
        <w:t xml:space="preserve">14/2014 dated 8 Oct 2014 </w:t>
      </w:r>
      <w:r w:rsidR="00354971">
        <w:rPr>
          <w:rFonts w:ascii="Arial" w:eastAsia="Times New Roman" w:hAnsi="Arial" w:cs="Arial"/>
          <w:color w:val="00001E"/>
          <w:sz w:val="24"/>
          <w:szCs w:val="24"/>
          <w:lang w:val="en-US"/>
        </w:rPr>
        <w:t>that taxpayer can demonstrate newness of the SEZ unit by satisfying any one of following two tests :-</w:t>
      </w:r>
    </w:p>
    <w:p w:rsidR="00991378" w:rsidRDefault="0015650A" w:rsidP="00354971">
      <w:pPr>
        <w:pStyle w:val="ListParagraph"/>
        <w:numPr>
          <w:ilvl w:val="3"/>
          <w:numId w:val="1"/>
        </w:numPr>
        <w:spacing w:before="120" w:after="240" w:line="276" w:lineRule="auto"/>
        <w:contextualSpacing w:val="0"/>
        <w:jc w:val="both"/>
        <w:rPr>
          <w:rFonts w:ascii="Arial" w:eastAsia="Times New Roman" w:hAnsi="Arial" w:cs="Arial"/>
          <w:color w:val="00001E"/>
          <w:sz w:val="24"/>
          <w:szCs w:val="24"/>
          <w:lang w:val="en-US"/>
        </w:rPr>
      </w:pPr>
      <w:r>
        <w:rPr>
          <w:rFonts w:ascii="Arial" w:eastAsia="Times New Roman" w:hAnsi="Arial" w:cs="Arial"/>
          <w:color w:val="00001E"/>
          <w:sz w:val="24"/>
          <w:szCs w:val="24"/>
          <w:lang w:val="en-US"/>
        </w:rPr>
        <w:t xml:space="preserve">Number of technical manpower transferred </w:t>
      </w:r>
      <w:r w:rsidR="00B21C85">
        <w:rPr>
          <w:rFonts w:ascii="Arial" w:eastAsia="Times New Roman" w:hAnsi="Arial" w:cs="Arial"/>
          <w:color w:val="00001E"/>
          <w:sz w:val="24"/>
          <w:szCs w:val="24"/>
          <w:lang w:val="en-US"/>
        </w:rPr>
        <w:t>in the first year of commencement of business of new unit does not exceed 50% of total technical manpower actually engaged in development of software/providing ITES</w:t>
      </w:r>
    </w:p>
    <w:p w:rsidR="00915481" w:rsidRDefault="00991378" w:rsidP="00354971">
      <w:pPr>
        <w:pStyle w:val="ListParagraph"/>
        <w:numPr>
          <w:ilvl w:val="3"/>
          <w:numId w:val="1"/>
        </w:numPr>
        <w:spacing w:before="120" w:after="240" w:line="276" w:lineRule="auto"/>
        <w:contextualSpacing w:val="0"/>
        <w:jc w:val="both"/>
        <w:rPr>
          <w:rFonts w:ascii="Arial" w:eastAsia="Times New Roman" w:hAnsi="Arial" w:cs="Arial"/>
          <w:color w:val="00001E"/>
          <w:sz w:val="24"/>
          <w:szCs w:val="24"/>
          <w:lang w:val="en-US"/>
        </w:rPr>
      </w:pPr>
      <w:r>
        <w:rPr>
          <w:rFonts w:ascii="Arial" w:eastAsia="Times New Roman" w:hAnsi="Arial" w:cs="Arial"/>
          <w:color w:val="00001E"/>
          <w:sz w:val="24"/>
          <w:szCs w:val="24"/>
          <w:lang w:val="en-US"/>
        </w:rPr>
        <w:t xml:space="preserve">The net addition of the new technical manpower </w:t>
      </w:r>
      <w:r w:rsidR="00ED61A7">
        <w:rPr>
          <w:rFonts w:ascii="Arial" w:eastAsia="Times New Roman" w:hAnsi="Arial" w:cs="Arial"/>
          <w:color w:val="00001E"/>
          <w:sz w:val="24"/>
          <w:szCs w:val="24"/>
          <w:lang w:val="en-US"/>
        </w:rPr>
        <w:t xml:space="preserve">in all units of the taxpayer is at least equal to the </w:t>
      </w:r>
      <w:r w:rsidR="00ED61A7">
        <w:rPr>
          <w:rFonts w:ascii="Arial" w:eastAsia="Times New Roman" w:hAnsi="Arial" w:cs="Arial"/>
          <w:color w:val="00001E"/>
          <w:sz w:val="24"/>
          <w:szCs w:val="24"/>
          <w:lang w:val="en-US"/>
        </w:rPr>
        <w:lastRenderedPageBreak/>
        <w:t xml:space="preserve">number that represents 50% of the total technical manpower of the new SEZ unit </w:t>
      </w:r>
      <w:r w:rsidR="00C27C3A">
        <w:rPr>
          <w:rFonts w:ascii="Arial" w:eastAsia="Times New Roman" w:hAnsi="Arial" w:cs="Arial"/>
          <w:color w:val="00001E"/>
          <w:sz w:val="24"/>
          <w:szCs w:val="24"/>
          <w:lang w:val="en-US"/>
        </w:rPr>
        <w:t>during the first year of commencement of business of new unit.</w:t>
      </w:r>
    </w:p>
    <w:p w:rsidR="0000592A" w:rsidRDefault="0000592A" w:rsidP="0000592A">
      <w:pPr>
        <w:pStyle w:val="ListParagraph"/>
        <w:numPr>
          <w:ilvl w:val="2"/>
          <w:numId w:val="1"/>
        </w:numPr>
        <w:spacing w:before="120" w:after="240" w:line="276" w:lineRule="auto"/>
        <w:contextualSpacing w:val="0"/>
        <w:jc w:val="both"/>
        <w:rPr>
          <w:rFonts w:ascii="Arial" w:eastAsia="Times New Roman" w:hAnsi="Arial" w:cs="Arial"/>
          <w:color w:val="00001E"/>
          <w:sz w:val="24"/>
          <w:szCs w:val="24"/>
          <w:lang w:val="en-US"/>
        </w:rPr>
      </w:pPr>
      <w:r w:rsidRPr="00CD55E2">
        <w:rPr>
          <w:rFonts w:ascii="Arial" w:eastAsia="Times New Roman" w:hAnsi="Arial" w:cs="Arial"/>
          <w:color w:val="00001E"/>
          <w:sz w:val="24"/>
          <w:szCs w:val="24"/>
          <w:lang w:val="en-US"/>
        </w:rPr>
        <w:t>Form No. 3CEAD (</w:t>
      </w:r>
      <w:proofErr w:type="spellStart"/>
      <w:r w:rsidRPr="00CD55E2">
        <w:rPr>
          <w:rFonts w:ascii="Arial" w:eastAsia="Times New Roman" w:hAnsi="Arial" w:cs="Arial"/>
          <w:color w:val="00001E"/>
          <w:sz w:val="24"/>
          <w:szCs w:val="24"/>
          <w:lang w:val="en-US"/>
        </w:rPr>
        <w:t>CbCR</w:t>
      </w:r>
      <w:proofErr w:type="spellEnd"/>
      <w:r w:rsidRPr="00CD55E2">
        <w:rPr>
          <w:rFonts w:ascii="Arial" w:eastAsia="Times New Roman" w:hAnsi="Arial" w:cs="Arial"/>
          <w:color w:val="00001E"/>
          <w:sz w:val="24"/>
          <w:szCs w:val="24"/>
          <w:lang w:val="en-US"/>
        </w:rPr>
        <w:t xml:space="preserve"> report) prescribed vide Section 286 </w:t>
      </w:r>
      <w:proofErr w:type="spellStart"/>
      <w:r w:rsidRPr="00CD55E2">
        <w:rPr>
          <w:rFonts w:ascii="Arial" w:eastAsia="Times New Roman" w:hAnsi="Arial" w:cs="Arial"/>
          <w:color w:val="00001E"/>
          <w:sz w:val="24"/>
          <w:szCs w:val="24"/>
          <w:lang w:val="en-US"/>
        </w:rPr>
        <w:t>r.w</w:t>
      </w:r>
      <w:proofErr w:type="spellEnd"/>
      <w:r w:rsidRPr="00CD55E2">
        <w:rPr>
          <w:rFonts w:ascii="Arial" w:eastAsia="Times New Roman" w:hAnsi="Arial" w:cs="Arial"/>
          <w:color w:val="00001E"/>
          <w:sz w:val="24"/>
          <w:szCs w:val="24"/>
          <w:lang w:val="en-US"/>
        </w:rPr>
        <w:t>. Rule 10DB requires reporting entity to report</w:t>
      </w:r>
      <w:r>
        <w:rPr>
          <w:rFonts w:ascii="Arial" w:eastAsia="Times New Roman" w:hAnsi="Arial" w:cs="Arial"/>
          <w:color w:val="00001E"/>
          <w:sz w:val="24"/>
          <w:szCs w:val="24"/>
          <w:lang w:val="en-US"/>
        </w:rPr>
        <w:t>, as one parameter, the number of employees in each tax jurisdiction</w:t>
      </w:r>
    </w:p>
    <w:p w:rsidR="00CE584A" w:rsidRDefault="00240A18" w:rsidP="00915481">
      <w:pPr>
        <w:pStyle w:val="ListParagraph"/>
        <w:numPr>
          <w:ilvl w:val="2"/>
          <w:numId w:val="1"/>
        </w:numPr>
        <w:spacing w:before="120" w:after="240" w:line="276" w:lineRule="auto"/>
        <w:contextualSpacing w:val="0"/>
        <w:jc w:val="both"/>
        <w:rPr>
          <w:rFonts w:ascii="Arial" w:eastAsia="Times New Roman" w:hAnsi="Arial" w:cs="Arial"/>
          <w:color w:val="00001E"/>
          <w:sz w:val="24"/>
          <w:szCs w:val="24"/>
          <w:lang w:val="en-US"/>
        </w:rPr>
      </w:pPr>
      <w:r>
        <w:rPr>
          <w:rFonts w:ascii="Arial" w:eastAsia="Times New Roman" w:hAnsi="Arial" w:cs="Arial"/>
          <w:color w:val="00001E"/>
          <w:sz w:val="24"/>
          <w:szCs w:val="24"/>
          <w:lang w:val="en-US"/>
        </w:rPr>
        <w:t>In ‘Under Taxed Payments Rule’ (UTPR)</w:t>
      </w:r>
      <w:r w:rsidRPr="00240A18">
        <w:rPr>
          <w:rFonts w:ascii="Arial" w:eastAsia="Times New Roman" w:hAnsi="Arial" w:cs="Arial"/>
          <w:color w:val="00001E"/>
          <w:sz w:val="24"/>
          <w:szCs w:val="24"/>
          <w:lang w:val="en-US"/>
        </w:rPr>
        <w:t xml:space="preserve"> </w:t>
      </w:r>
      <w:r>
        <w:rPr>
          <w:rFonts w:ascii="Arial" w:eastAsia="Times New Roman" w:hAnsi="Arial" w:cs="Arial"/>
          <w:color w:val="00001E"/>
          <w:sz w:val="24"/>
          <w:szCs w:val="24"/>
          <w:lang w:val="en-US"/>
        </w:rPr>
        <w:t xml:space="preserve">under proposed Pillar 2 of BEPS laying down global minimum tax standard, one of the criterion for allocating UTPR to a jurisdiction is </w:t>
      </w:r>
      <w:r w:rsidR="00343894">
        <w:rPr>
          <w:rFonts w:ascii="Arial" w:eastAsia="Times New Roman" w:hAnsi="Arial" w:cs="Arial"/>
          <w:color w:val="00001E"/>
          <w:sz w:val="24"/>
          <w:szCs w:val="24"/>
          <w:lang w:val="en-US"/>
        </w:rPr>
        <w:t xml:space="preserve">50% of the ratio of number of employees in that jurisdiction as compared to number of employees in all UTPR jurisdictions. </w:t>
      </w:r>
      <w:r>
        <w:rPr>
          <w:rFonts w:ascii="Arial" w:eastAsia="Times New Roman" w:hAnsi="Arial" w:cs="Arial"/>
          <w:color w:val="00001E"/>
          <w:sz w:val="24"/>
          <w:szCs w:val="24"/>
          <w:lang w:val="en-US"/>
        </w:rPr>
        <w:t xml:space="preserve">  </w:t>
      </w:r>
      <w:r w:rsidR="00B21C85">
        <w:rPr>
          <w:rFonts w:ascii="Arial" w:eastAsia="Times New Roman" w:hAnsi="Arial" w:cs="Arial"/>
          <w:color w:val="00001E"/>
          <w:sz w:val="24"/>
          <w:szCs w:val="24"/>
          <w:lang w:val="en-US"/>
        </w:rPr>
        <w:t xml:space="preserve"> </w:t>
      </w:r>
    </w:p>
    <w:p w:rsidR="00993FC6" w:rsidRPr="00C6523E" w:rsidRDefault="00C6523E" w:rsidP="00C6523E">
      <w:pPr>
        <w:pStyle w:val="ListParagraph"/>
        <w:numPr>
          <w:ilvl w:val="1"/>
          <w:numId w:val="1"/>
        </w:numPr>
        <w:spacing w:before="120" w:after="240" w:line="276" w:lineRule="auto"/>
        <w:contextualSpacing w:val="0"/>
        <w:jc w:val="both"/>
        <w:rPr>
          <w:rFonts w:ascii="Arial" w:eastAsia="Times New Roman" w:hAnsi="Arial" w:cs="Arial"/>
          <w:b/>
          <w:bCs/>
          <w:color w:val="00001E"/>
          <w:sz w:val="24"/>
          <w:szCs w:val="24"/>
          <w:lang w:val="en-US"/>
        </w:rPr>
      </w:pPr>
      <w:r w:rsidRPr="00C6523E">
        <w:rPr>
          <w:rFonts w:ascii="Arial" w:eastAsia="Times New Roman" w:hAnsi="Arial" w:cs="Arial"/>
          <w:b/>
          <w:bCs/>
          <w:color w:val="00001E"/>
          <w:sz w:val="24"/>
          <w:szCs w:val="24"/>
          <w:lang w:val="en-US"/>
        </w:rPr>
        <w:t>Payroll expenditure</w:t>
      </w:r>
    </w:p>
    <w:p w:rsidR="00C6523E" w:rsidRDefault="00D62D55" w:rsidP="006E0706">
      <w:pPr>
        <w:pStyle w:val="ListParagraph"/>
        <w:numPr>
          <w:ilvl w:val="2"/>
          <w:numId w:val="1"/>
        </w:numPr>
        <w:spacing w:before="120" w:after="240" w:line="276" w:lineRule="auto"/>
        <w:contextualSpacing w:val="0"/>
        <w:jc w:val="both"/>
        <w:rPr>
          <w:rFonts w:ascii="Arial" w:eastAsia="Times New Roman" w:hAnsi="Arial" w:cs="Arial"/>
          <w:color w:val="00001E"/>
          <w:sz w:val="24"/>
          <w:szCs w:val="24"/>
          <w:lang w:val="en-US"/>
        </w:rPr>
      </w:pPr>
      <w:r>
        <w:rPr>
          <w:rFonts w:ascii="Arial" w:eastAsia="Times New Roman" w:hAnsi="Arial" w:cs="Arial"/>
          <w:color w:val="00001E"/>
          <w:sz w:val="24"/>
          <w:szCs w:val="24"/>
          <w:lang w:val="en-US"/>
        </w:rPr>
        <w:t>Circular No. 6 of 2017 (POEM Guideline</w:t>
      </w:r>
      <w:r w:rsidR="001D3F45">
        <w:rPr>
          <w:rFonts w:ascii="Arial" w:eastAsia="Times New Roman" w:hAnsi="Arial" w:cs="Arial"/>
          <w:color w:val="00001E"/>
          <w:sz w:val="24"/>
          <w:szCs w:val="24"/>
          <w:lang w:val="en-US"/>
        </w:rPr>
        <w:t>s) also adopts payroll expenses of employees in India and payroll expenses of employees outside India as one of the criterion in ABOI test.</w:t>
      </w:r>
      <w:r w:rsidR="00E75810">
        <w:rPr>
          <w:rFonts w:ascii="Arial" w:eastAsia="Times New Roman" w:hAnsi="Arial" w:cs="Arial"/>
          <w:color w:val="00001E"/>
          <w:sz w:val="24"/>
          <w:szCs w:val="24"/>
          <w:lang w:val="en-US"/>
        </w:rPr>
        <w:t xml:space="preserve"> For this purpose, it is clarified that the term “pay roll” shall include the cost of salaries, wages, bonus and all other employee compensation </w:t>
      </w:r>
      <w:r w:rsidR="008964B6">
        <w:rPr>
          <w:rFonts w:ascii="Arial" w:eastAsia="Times New Roman" w:hAnsi="Arial" w:cs="Arial"/>
          <w:color w:val="00001E"/>
          <w:sz w:val="24"/>
          <w:szCs w:val="24"/>
          <w:lang w:val="en-US"/>
        </w:rPr>
        <w:t>including related pension and social costs borne by the employer</w:t>
      </w:r>
    </w:p>
    <w:p w:rsidR="00E01D88" w:rsidRDefault="006133E4" w:rsidP="006E0706">
      <w:pPr>
        <w:pStyle w:val="ListParagraph"/>
        <w:numPr>
          <w:ilvl w:val="2"/>
          <w:numId w:val="1"/>
        </w:numPr>
        <w:spacing w:before="120" w:after="240" w:line="276" w:lineRule="auto"/>
        <w:contextualSpacing w:val="0"/>
        <w:jc w:val="both"/>
        <w:rPr>
          <w:rFonts w:ascii="Arial" w:eastAsia="Times New Roman" w:hAnsi="Arial" w:cs="Arial"/>
          <w:color w:val="00001E"/>
          <w:sz w:val="24"/>
          <w:szCs w:val="24"/>
          <w:lang w:val="en-US"/>
        </w:rPr>
      </w:pPr>
      <w:r>
        <w:rPr>
          <w:rFonts w:ascii="Arial" w:eastAsia="Times New Roman" w:hAnsi="Arial" w:cs="Arial"/>
          <w:color w:val="00001E"/>
          <w:sz w:val="24"/>
          <w:szCs w:val="24"/>
          <w:lang w:val="en-US"/>
        </w:rPr>
        <w:t xml:space="preserve">The ongoing discussions on Pillar One in OECD </w:t>
      </w:r>
      <w:r w:rsidR="00395624">
        <w:rPr>
          <w:rFonts w:ascii="Arial" w:eastAsia="Times New Roman" w:hAnsi="Arial" w:cs="Arial"/>
          <w:color w:val="00001E"/>
          <w:sz w:val="24"/>
          <w:szCs w:val="24"/>
          <w:lang w:val="en-US"/>
        </w:rPr>
        <w:t xml:space="preserve">proposes to compute </w:t>
      </w:r>
      <w:r w:rsidR="00A425A9">
        <w:rPr>
          <w:rFonts w:ascii="Arial" w:eastAsia="Times New Roman" w:hAnsi="Arial" w:cs="Arial"/>
          <w:color w:val="00001E"/>
          <w:sz w:val="24"/>
          <w:szCs w:val="24"/>
          <w:lang w:val="en-US"/>
        </w:rPr>
        <w:t xml:space="preserve">“marketing and distribution safe </w:t>
      </w:r>
      <w:proofErr w:type="spellStart"/>
      <w:r w:rsidR="00A425A9">
        <w:rPr>
          <w:rFonts w:ascii="Arial" w:eastAsia="Times New Roman" w:hAnsi="Arial" w:cs="Arial"/>
          <w:color w:val="00001E"/>
          <w:sz w:val="24"/>
          <w:szCs w:val="24"/>
          <w:lang w:val="en-US"/>
        </w:rPr>
        <w:t>harbour</w:t>
      </w:r>
      <w:proofErr w:type="spellEnd"/>
      <w:r w:rsidR="00A425A9">
        <w:rPr>
          <w:rFonts w:ascii="Arial" w:eastAsia="Times New Roman" w:hAnsi="Arial" w:cs="Arial"/>
          <w:color w:val="00001E"/>
          <w:sz w:val="24"/>
          <w:szCs w:val="24"/>
          <w:lang w:val="en-US"/>
        </w:rPr>
        <w:t xml:space="preserve">” to avoid double taxation of </w:t>
      </w:r>
      <w:r w:rsidR="00C22D37">
        <w:rPr>
          <w:rFonts w:ascii="Arial" w:eastAsia="Times New Roman" w:hAnsi="Arial" w:cs="Arial"/>
          <w:color w:val="00001E"/>
          <w:sz w:val="24"/>
          <w:szCs w:val="24"/>
          <w:lang w:val="en-US"/>
        </w:rPr>
        <w:t xml:space="preserve">non-routine profits in a jurisdiction </w:t>
      </w:r>
      <w:r w:rsidR="00CB42E8">
        <w:rPr>
          <w:rFonts w:ascii="Arial" w:eastAsia="Times New Roman" w:hAnsi="Arial" w:cs="Arial"/>
          <w:color w:val="00001E"/>
          <w:sz w:val="24"/>
          <w:szCs w:val="24"/>
          <w:lang w:val="en-US"/>
        </w:rPr>
        <w:t xml:space="preserve">by adopting </w:t>
      </w:r>
      <w:r w:rsidR="007955AF">
        <w:rPr>
          <w:rFonts w:ascii="Arial" w:eastAsia="Times New Roman" w:hAnsi="Arial" w:cs="Arial"/>
          <w:color w:val="00001E"/>
          <w:sz w:val="24"/>
          <w:szCs w:val="24"/>
          <w:lang w:val="en-US"/>
        </w:rPr>
        <w:t>return on payroll cost</w:t>
      </w:r>
      <w:r w:rsidR="00D43BAC">
        <w:rPr>
          <w:rFonts w:ascii="Arial" w:eastAsia="Times New Roman" w:hAnsi="Arial" w:cs="Arial"/>
          <w:color w:val="00001E"/>
          <w:sz w:val="24"/>
          <w:szCs w:val="24"/>
          <w:lang w:val="en-US"/>
        </w:rPr>
        <w:t xml:space="preserve"> (</w:t>
      </w:r>
      <w:r w:rsidR="007955AF">
        <w:rPr>
          <w:rFonts w:ascii="Arial" w:eastAsia="Times New Roman" w:hAnsi="Arial" w:cs="Arial"/>
          <w:color w:val="00001E"/>
          <w:sz w:val="24"/>
          <w:szCs w:val="24"/>
          <w:lang w:val="en-US"/>
        </w:rPr>
        <w:t>amongst others</w:t>
      </w:r>
      <w:r w:rsidR="007315C5">
        <w:rPr>
          <w:rFonts w:ascii="Arial" w:eastAsia="Times New Roman" w:hAnsi="Arial" w:cs="Arial"/>
          <w:color w:val="00001E"/>
          <w:sz w:val="24"/>
          <w:szCs w:val="24"/>
          <w:lang w:val="en-US"/>
        </w:rPr>
        <w:t xml:space="preserve"> like depreciation</w:t>
      </w:r>
      <w:r w:rsidR="00D43BAC">
        <w:rPr>
          <w:rFonts w:ascii="Arial" w:eastAsia="Times New Roman" w:hAnsi="Arial" w:cs="Arial"/>
          <w:color w:val="00001E"/>
          <w:sz w:val="24"/>
          <w:szCs w:val="24"/>
          <w:lang w:val="en-US"/>
        </w:rPr>
        <w:t>)</w:t>
      </w:r>
      <w:r w:rsidR="007315C5">
        <w:rPr>
          <w:rFonts w:ascii="Arial" w:eastAsia="Times New Roman" w:hAnsi="Arial" w:cs="Arial"/>
          <w:color w:val="00001E"/>
          <w:sz w:val="24"/>
          <w:szCs w:val="24"/>
          <w:lang w:val="en-US"/>
        </w:rPr>
        <w:t>.</w:t>
      </w:r>
      <w:r w:rsidR="007955AF">
        <w:rPr>
          <w:rFonts w:ascii="Arial" w:eastAsia="Times New Roman" w:hAnsi="Arial" w:cs="Arial"/>
          <w:color w:val="00001E"/>
          <w:sz w:val="24"/>
          <w:szCs w:val="24"/>
          <w:lang w:val="en-US"/>
        </w:rPr>
        <w:t xml:space="preserve"> </w:t>
      </w:r>
    </w:p>
    <w:p w:rsidR="001D3F45" w:rsidRDefault="00BD412E" w:rsidP="006E0706">
      <w:pPr>
        <w:pStyle w:val="ListParagraph"/>
        <w:numPr>
          <w:ilvl w:val="2"/>
          <w:numId w:val="1"/>
        </w:numPr>
        <w:spacing w:before="120" w:after="240" w:line="276" w:lineRule="auto"/>
        <w:contextualSpacing w:val="0"/>
        <w:jc w:val="both"/>
        <w:rPr>
          <w:rFonts w:ascii="Arial" w:eastAsia="Times New Roman" w:hAnsi="Arial" w:cs="Arial"/>
          <w:color w:val="00001E"/>
          <w:sz w:val="24"/>
          <w:szCs w:val="24"/>
          <w:lang w:val="en-US"/>
        </w:rPr>
      </w:pPr>
      <w:r>
        <w:rPr>
          <w:rFonts w:ascii="Arial" w:eastAsia="Times New Roman" w:hAnsi="Arial" w:cs="Arial"/>
          <w:color w:val="00001E"/>
          <w:sz w:val="24"/>
          <w:szCs w:val="24"/>
          <w:lang w:val="en-US"/>
        </w:rPr>
        <w:t xml:space="preserve">In ‘substance based carve out’ under Income Inclusion Rule under proposed Pillar 2 of BEPS </w:t>
      </w:r>
      <w:r w:rsidR="00091AA5">
        <w:rPr>
          <w:rFonts w:ascii="Arial" w:eastAsia="Times New Roman" w:hAnsi="Arial" w:cs="Arial"/>
          <w:color w:val="00001E"/>
          <w:sz w:val="24"/>
          <w:szCs w:val="24"/>
          <w:lang w:val="en-US"/>
        </w:rPr>
        <w:t xml:space="preserve">laying down global minimum tax </w:t>
      </w:r>
      <w:r w:rsidR="00D33D2F">
        <w:rPr>
          <w:rFonts w:ascii="Arial" w:eastAsia="Times New Roman" w:hAnsi="Arial" w:cs="Arial"/>
          <w:color w:val="00001E"/>
          <w:sz w:val="24"/>
          <w:szCs w:val="24"/>
          <w:lang w:val="en-US"/>
        </w:rPr>
        <w:t xml:space="preserve">standard, one of the criterion for carve out from minimum tax is </w:t>
      </w:r>
      <w:r w:rsidR="00B32D1D">
        <w:rPr>
          <w:rFonts w:ascii="Arial" w:eastAsia="Times New Roman" w:hAnsi="Arial" w:cs="Arial"/>
          <w:color w:val="00001E"/>
          <w:sz w:val="24"/>
          <w:szCs w:val="24"/>
          <w:lang w:val="en-US"/>
        </w:rPr>
        <w:t>10</w:t>
      </w:r>
      <w:r w:rsidR="00D33D2F">
        <w:rPr>
          <w:rFonts w:ascii="Arial" w:eastAsia="Times New Roman" w:hAnsi="Arial" w:cs="Arial"/>
          <w:color w:val="00001E"/>
          <w:sz w:val="24"/>
          <w:szCs w:val="24"/>
          <w:lang w:val="en-US"/>
        </w:rPr>
        <w:t xml:space="preserve">% of </w:t>
      </w:r>
      <w:r w:rsidR="006F3F79">
        <w:rPr>
          <w:rFonts w:ascii="Arial" w:eastAsia="Times New Roman" w:hAnsi="Arial" w:cs="Arial"/>
          <w:color w:val="00001E"/>
          <w:sz w:val="24"/>
          <w:szCs w:val="24"/>
          <w:lang w:val="en-US"/>
        </w:rPr>
        <w:t xml:space="preserve">eligible </w:t>
      </w:r>
      <w:r w:rsidR="00D33D2F">
        <w:rPr>
          <w:rFonts w:ascii="Arial" w:eastAsia="Times New Roman" w:hAnsi="Arial" w:cs="Arial"/>
          <w:color w:val="00001E"/>
          <w:sz w:val="24"/>
          <w:szCs w:val="24"/>
          <w:lang w:val="en-US"/>
        </w:rPr>
        <w:t xml:space="preserve">payroll expenditure in the </w:t>
      </w:r>
      <w:r w:rsidR="00CF2C63">
        <w:rPr>
          <w:rFonts w:ascii="Arial" w:eastAsia="Times New Roman" w:hAnsi="Arial" w:cs="Arial"/>
          <w:color w:val="00001E"/>
          <w:sz w:val="24"/>
          <w:szCs w:val="24"/>
          <w:lang w:val="en-US"/>
        </w:rPr>
        <w:t>source jurisdiction</w:t>
      </w:r>
      <w:r w:rsidR="006F3F79">
        <w:rPr>
          <w:rFonts w:ascii="Arial" w:eastAsia="Times New Roman" w:hAnsi="Arial" w:cs="Arial"/>
          <w:color w:val="00001E"/>
          <w:sz w:val="24"/>
          <w:szCs w:val="24"/>
          <w:lang w:val="en-US"/>
        </w:rPr>
        <w:t xml:space="preserve">. </w:t>
      </w:r>
    </w:p>
    <w:p w:rsidR="00C409A0" w:rsidRPr="008004ED" w:rsidRDefault="0054421C" w:rsidP="0054421C">
      <w:pPr>
        <w:pStyle w:val="ListParagraph"/>
        <w:numPr>
          <w:ilvl w:val="0"/>
          <w:numId w:val="1"/>
        </w:numPr>
        <w:spacing w:before="120" w:after="240" w:line="276" w:lineRule="auto"/>
        <w:ind w:left="1134" w:hanging="567"/>
        <w:contextualSpacing w:val="0"/>
        <w:jc w:val="both"/>
        <w:rPr>
          <w:rFonts w:ascii="Arial" w:eastAsia="Times New Roman" w:hAnsi="Arial" w:cs="Arial"/>
          <w:color w:val="00001E"/>
          <w:sz w:val="24"/>
          <w:szCs w:val="24"/>
          <w:lang w:val="en-US"/>
        </w:rPr>
      </w:pPr>
      <w:r>
        <w:rPr>
          <w:rFonts w:ascii="Arial" w:eastAsia="Times New Roman" w:hAnsi="Arial" w:cs="Arial"/>
          <w:color w:val="00001E"/>
          <w:sz w:val="24"/>
          <w:szCs w:val="24"/>
          <w:lang w:val="en-US"/>
        </w:rPr>
        <w:t xml:space="preserve">Hence, employee headcount or payroll expenditure can be adopted as a relevant parameter for evaluating business continuity </w:t>
      </w:r>
      <w:r w:rsidR="003E75D9">
        <w:rPr>
          <w:rFonts w:ascii="Arial" w:eastAsia="Times New Roman" w:hAnsi="Arial" w:cs="Arial"/>
          <w:color w:val="00001E"/>
          <w:sz w:val="24"/>
          <w:szCs w:val="24"/>
          <w:lang w:val="en-US"/>
        </w:rPr>
        <w:t xml:space="preserve">condition in service sector. This condition ensures that jobs are protected </w:t>
      </w:r>
      <w:r w:rsidR="00DC5966">
        <w:rPr>
          <w:rFonts w:ascii="Arial" w:eastAsia="Times New Roman" w:hAnsi="Arial" w:cs="Arial"/>
          <w:color w:val="00001E"/>
          <w:sz w:val="24"/>
          <w:szCs w:val="24"/>
          <w:lang w:val="en-US"/>
        </w:rPr>
        <w:t>while transitioning the losses.</w:t>
      </w:r>
    </w:p>
    <w:p w:rsidR="009D5F42" w:rsidRDefault="009D5F42" w:rsidP="00A632AA">
      <w:pPr>
        <w:pStyle w:val="ListParagraph"/>
        <w:spacing w:before="120" w:after="240" w:line="276" w:lineRule="auto"/>
        <w:ind w:left="567"/>
        <w:contextualSpacing w:val="0"/>
        <w:jc w:val="both"/>
        <w:rPr>
          <w:rFonts w:ascii="Arial" w:eastAsia="Times New Roman" w:hAnsi="Arial" w:cs="Arial"/>
          <w:b/>
          <w:bCs/>
          <w:color w:val="00001E"/>
          <w:sz w:val="24"/>
          <w:szCs w:val="24"/>
          <w:u w:val="single"/>
          <w:lang w:val="en-US"/>
        </w:rPr>
      </w:pPr>
    </w:p>
    <w:p w:rsidR="009D5F42" w:rsidRDefault="009D5F42" w:rsidP="00A632AA">
      <w:pPr>
        <w:pStyle w:val="ListParagraph"/>
        <w:spacing w:before="120" w:after="240" w:line="276" w:lineRule="auto"/>
        <w:ind w:left="567"/>
        <w:contextualSpacing w:val="0"/>
        <w:jc w:val="both"/>
        <w:rPr>
          <w:rFonts w:ascii="Arial" w:eastAsia="Times New Roman" w:hAnsi="Arial" w:cs="Arial"/>
          <w:b/>
          <w:bCs/>
          <w:color w:val="00001E"/>
          <w:sz w:val="24"/>
          <w:szCs w:val="24"/>
          <w:u w:val="single"/>
          <w:lang w:val="en-US"/>
        </w:rPr>
      </w:pPr>
    </w:p>
    <w:p w:rsidR="00A632AA" w:rsidRPr="00C940C4" w:rsidRDefault="00A632AA" w:rsidP="00A632AA">
      <w:pPr>
        <w:pStyle w:val="ListParagraph"/>
        <w:spacing w:before="120" w:after="240" w:line="276" w:lineRule="auto"/>
        <w:ind w:left="567"/>
        <w:contextualSpacing w:val="0"/>
        <w:jc w:val="both"/>
        <w:rPr>
          <w:rFonts w:ascii="Arial" w:eastAsia="Times New Roman" w:hAnsi="Arial" w:cs="Arial"/>
          <w:b/>
          <w:bCs/>
          <w:color w:val="00001E"/>
          <w:sz w:val="24"/>
          <w:szCs w:val="24"/>
          <w:u w:val="single"/>
          <w:lang w:val="en-US"/>
        </w:rPr>
      </w:pPr>
      <w:r w:rsidRPr="00C940C4">
        <w:rPr>
          <w:rFonts w:ascii="Arial" w:eastAsia="Times New Roman" w:hAnsi="Arial" w:cs="Arial"/>
          <w:b/>
          <w:bCs/>
          <w:color w:val="00001E"/>
          <w:sz w:val="24"/>
          <w:szCs w:val="24"/>
          <w:u w:val="single"/>
          <w:lang w:val="en-US"/>
        </w:rPr>
        <w:lastRenderedPageBreak/>
        <w:t>Recommendation</w:t>
      </w:r>
    </w:p>
    <w:p w:rsidR="00A632AA" w:rsidRPr="00C91BFA" w:rsidRDefault="00A632AA" w:rsidP="00C91BFA">
      <w:pPr>
        <w:pStyle w:val="ListParagraph"/>
        <w:numPr>
          <w:ilvl w:val="0"/>
          <w:numId w:val="1"/>
        </w:numPr>
        <w:spacing w:before="120" w:after="240" w:line="276" w:lineRule="auto"/>
        <w:ind w:left="1134" w:hanging="567"/>
        <w:contextualSpacing w:val="0"/>
        <w:jc w:val="both"/>
        <w:rPr>
          <w:rFonts w:ascii="Arial" w:eastAsia="Times New Roman" w:hAnsi="Arial" w:cs="Arial"/>
          <w:color w:val="00001E"/>
          <w:sz w:val="24"/>
          <w:szCs w:val="24"/>
          <w:lang w:val="en-US"/>
        </w:rPr>
      </w:pPr>
      <w:r w:rsidRPr="00C91BFA">
        <w:rPr>
          <w:rFonts w:ascii="Arial" w:eastAsia="Times New Roman" w:hAnsi="Arial" w:cs="Arial"/>
          <w:color w:val="00001E"/>
          <w:sz w:val="24"/>
          <w:szCs w:val="24"/>
          <w:lang w:val="en-US"/>
        </w:rPr>
        <w:t xml:space="preserve">Benefit of carry forward and set off of accumulated business loss and unabsorbed depreciation prescribed under s. 72A </w:t>
      </w:r>
      <w:proofErr w:type="gramStart"/>
      <w:r w:rsidRPr="00C91BFA">
        <w:rPr>
          <w:rFonts w:ascii="Arial" w:eastAsia="Times New Roman" w:hAnsi="Arial" w:cs="Arial"/>
          <w:color w:val="00001E"/>
          <w:sz w:val="24"/>
          <w:szCs w:val="24"/>
          <w:lang w:val="en-US"/>
        </w:rPr>
        <w:t>be</w:t>
      </w:r>
      <w:proofErr w:type="gramEnd"/>
      <w:r w:rsidRPr="00C91BFA">
        <w:rPr>
          <w:rFonts w:ascii="Arial" w:eastAsia="Times New Roman" w:hAnsi="Arial" w:cs="Arial"/>
          <w:color w:val="00001E"/>
          <w:sz w:val="24"/>
          <w:szCs w:val="24"/>
          <w:lang w:val="en-US"/>
        </w:rPr>
        <w:t xml:space="preserve"> extended to amalgamation of service and </w:t>
      </w:r>
      <w:r w:rsidR="00665D1D">
        <w:rPr>
          <w:rFonts w:ascii="Arial" w:eastAsia="Times New Roman" w:hAnsi="Arial" w:cs="Arial"/>
          <w:color w:val="00001E"/>
          <w:sz w:val="24"/>
          <w:szCs w:val="24"/>
          <w:lang w:val="en-US"/>
        </w:rPr>
        <w:t>organized retail/</w:t>
      </w:r>
      <w:r w:rsidRPr="00C91BFA">
        <w:rPr>
          <w:rFonts w:ascii="Arial" w:eastAsia="Times New Roman" w:hAnsi="Arial" w:cs="Arial"/>
          <w:color w:val="00001E"/>
          <w:sz w:val="24"/>
          <w:szCs w:val="24"/>
          <w:lang w:val="en-US"/>
        </w:rPr>
        <w:t>trading companies.</w:t>
      </w:r>
    </w:p>
    <w:p w:rsidR="009A74D1" w:rsidRDefault="009A74D1" w:rsidP="00C91BFA">
      <w:pPr>
        <w:pStyle w:val="ListParagraph"/>
        <w:numPr>
          <w:ilvl w:val="0"/>
          <w:numId w:val="1"/>
        </w:numPr>
        <w:spacing w:before="120" w:after="240" w:line="276" w:lineRule="auto"/>
        <w:ind w:left="1134" w:hanging="567"/>
        <w:contextualSpacing w:val="0"/>
        <w:jc w:val="both"/>
        <w:rPr>
          <w:rFonts w:ascii="Arial" w:hAnsi="Arial" w:cs="Arial"/>
          <w:sz w:val="24"/>
          <w:szCs w:val="24"/>
        </w:rPr>
      </w:pPr>
      <w:r>
        <w:rPr>
          <w:rFonts w:ascii="Arial" w:hAnsi="Arial" w:cs="Arial"/>
          <w:sz w:val="24"/>
          <w:szCs w:val="24"/>
        </w:rPr>
        <w:t>In Indian context, the following safeguards may be considered by the Government for service sector :-</w:t>
      </w:r>
    </w:p>
    <w:p w:rsidR="009A74D1" w:rsidRPr="007A769E" w:rsidRDefault="009A74D1" w:rsidP="009A74D1">
      <w:pPr>
        <w:spacing w:before="120" w:after="240" w:line="276" w:lineRule="auto"/>
        <w:ind w:firstLine="720"/>
        <w:rPr>
          <w:rFonts w:ascii="Arial" w:eastAsia="Times New Roman" w:hAnsi="Arial" w:cs="Arial"/>
          <w:sz w:val="24"/>
          <w:szCs w:val="24"/>
          <w:u w:val="single"/>
          <w:lang w:val="en-US"/>
        </w:rPr>
      </w:pPr>
      <w:r w:rsidRPr="007A769E">
        <w:rPr>
          <w:rFonts w:ascii="Arial" w:eastAsia="Times New Roman" w:hAnsi="Arial" w:cs="Arial"/>
          <w:sz w:val="24"/>
          <w:szCs w:val="24"/>
          <w:u w:val="single"/>
          <w:lang w:val="en-US"/>
        </w:rPr>
        <w:t>Conditions for amalgamating company</w:t>
      </w:r>
    </w:p>
    <w:p w:rsidR="009A74D1" w:rsidRDefault="009A74D1" w:rsidP="009A74D1">
      <w:pPr>
        <w:pStyle w:val="ListParagraph"/>
        <w:numPr>
          <w:ilvl w:val="1"/>
          <w:numId w:val="1"/>
        </w:numPr>
        <w:spacing w:before="120" w:after="240" w:line="276" w:lineRule="auto"/>
        <w:ind w:left="1701" w:hanging="567"/>
        <w:contextualSpacing w:val="0"/>
        <w:jc w:val="both"/>
        <w:rPr>
          <w:rFonts w:ascii="Arial" w:eastAsia="Times New Roman" w:hAnsi="Arial" w:cs="Arial"/>
          <w:sz w:val="24"/>
          <w:szCs w:val="24"/>
          <w:lang w:val="en-US"/>
        </w:rPr>
      </w:pPr>
      <w:r>
        <w:rPr>
          <w:rFonts w:ascii="Arial" w:eastAsia="Times New Roman" w:hAnsi="Arial" w:cs="Arial"/>
          <w:sz w:val="24"/>
          <w:szCs w:val="24"/>
          <w:lang w:val="en-US"/>
        </w:rPr>
        <w:t>Should be engaged in business in which the accumulated loss occurred or depreciation remains unabsorbed, for three or more years</w:t>
      </w:r>
    </w:p>
    <w:p w:rsidR="009A74D1" w:rsidRDefault="009A74D1" w:rsidP="009A74D1">
      <w:pPr>
        <w:pStyle w:val="ListParagraph"/>
        <w:numPr>
          <w:ilvl w:val="1"/>
          <w:numId w:val="1"/>
        </w:numPr>
        <w:spacing w:before="120" w:after="240" w:line="276" w:lineRule="auto"/>
        <w:ind w:left="1701" w:hanging="567"/>
        <w:contextualSpacing w:val="0"/>
        <w:jc w:val="both"/>
        <w:rPr>
          <w:rFonts w:ascii="Arial" w:eastAsia="Times New Roman" w:hAnsi="Arial" w:cs="Arial"/>
          <w:sz w:val="24"/>
          <w:szCs w:val="24"/>
          <w:lang w:val="en-US"/>
        </w:rPr>
      </w:pPr>
      <w:r>
        <w:rPr>
          <w:rFonts w:ascii="Arial" w:eastAsia="Times New Roman" w:hAnsi="Arial" w:cs="Arial"/>
          <w:sz w:val="24"/>
          <w:szCs w:val="24"/>
          <w:lang w:val="en-US"/>
        </w:rPr>
        <w:t>Should continuously hold as on date of amalgamation at least three-fourths of the book value of the fixed assets held by it two years prior to the date of amalgamation</w:t>
      </w:r>
    </w:p>
    <w:p w:rsidR="009A74D1" w:rsidRDefault="009A74D1" w:rsidP="009A74D1">
      <w:pPr>
        <w:pStyle w:val="ListParagraph"/>
        <w:numPr>
          <w:ilvl w:val="1"/>
          <w:numId w:val="1"/>
        </w:numPr>
        <w:spacing w:before="120" w:after="240" w:line="276" w:lineRule="auto"/>
        <w:ind w:left="1701" w:hanging="567"/>
        <w:contextualSpacing w:val="0"/>
        <w:jc w:val="both"/>
        <w:rPr>
          <w:rFonts w:ascii="Arial" w:eastAsia="Times New Roman" w:hAnsi="Arial" w:cs="Arial"/>
          <w:sz w:val="24"/>
          <w:szCs w:val="24"/>
          <w:lang w:val="en-US"/>
        </w:rPr>
      </w:pPr>
      <w:r>
        <w:rPr>
          <w:rFonts w:ascii="Arial" w:eastAsia="Times New Roman" w:hAnsi="Arial" w:cs="Arial"/>
          <w:sz w:val="24"/>
          <w:szCs w:val="24"/>
          <w:lang w:val="en-US"/>
        </w:rPr>
        <w:t xml:space="preserve">Should have a minimum number of average employee head-count    (-say, 100 to 500) </w:t>
      </w:r>
      <w:r w:rsidR="009E5D47">
        <w:rPr>
          <w:rFonts w:ascii="Arial" w:eastAsia="Times New Roman" w:hAnsi="Arial" w:cs="Arial"/>
          <w:sz w:val="24"/>
          <w:szCs w:val="24"/>
          <w:lang w:val="en-US"/>
        </w:rPr>
        <w:t xml:space="preserve">or </w:t>
      </w:r>
      <w:r w:rsidR="0047469A">
        <w:rPr>
          <w:rFonts w:ascii="Arial" w:eastAsia="Times New Roman" w:hAnsi="Arial" w:cs="Arial"/>
          <w:sz w:val="24"/>
          <w:szCs w:val="24"/>
          <w:lang w:val="en-US"/>
        </w:rPr>
        <w:t xml:space="preserve">average </w:t>
      </w:r>
      <w:r w:rsidR="009E5D47">
        <w:rPr>
          <w:rFonts w:ascii="Arial" w:eastAsia="Times New Roman" w:hAnsi="Arial" w:cs="Arial"/>
          <w:sz w:val="24"/>
          <w:szCs w:val="24"/>
          <w:lang w:val="en-US"/>
        </w:rPr>
        <w:t xml:space="preserve">payroll expenditure of minimum </w:t>
      </w:r>
      <w:r w:rsidR="0047469A">
        <w:rPr>
          <w:rFonts w:ascii="Arial" w:eastAsia="Times New Roman" w:hAnsi="Arial" w:cs="Arial"/>
          <w:sz w:val="24"/>
          <w:szCs w:val="24"/>
          <w:lang w:val="en-US"/>
        </w:rPr>
        <w:t xml:space="preserve">threshold (- say, Rs. </w:t>
      </w:r>
      <w:r w:rsidR="00D263B6">
        <w:rPr>
          <w:rFonts w:ascii="Arial" w:eastAsia="Times New Roman" w:hAnsi="Arial" w:cs="Arial"/>
          <w:sz w:val="24"/>
          <w:szCs w:val="24"/>
          <w:lang w:val="en-US"/>
        </w:rPr>
        <w:t xml:space="preserve">5 Cr or Rs. 10 Cr) </w:t>
      </w:r>
      <w:r w:rsidR="0047469A">
        <w:rPr>
          <w:rFonts w:ascii="Arial" w:eastAsia="Times New Roman" w:hAnsi="Arial" w:cs="Arial"/>
          <w:sz w:val="24"/>
          <w:szCs w:val="24"/>
          <w:lang w:val="en-US"/>
        </w:rPr>
        <w:t>for two years prior to the date of amalgamation</w:t>
      </w:r>
    </w:p>
    <w:p w:rsidR="009A74D1" w:rsidRPr="00457E31" w:rsidRDefault="009A74D1" w:rsidP="009A74D1">
      <w:pPr>
        <w:spacing w:before="120" w:after="120" w:line="276" w:lineRule="auto"/>
        <w:ind w:left="720"/>
        <w:jc w:val="both"/>
        <w:rPr>
          <w:rFonts w:ascii="Arial" w:eastAsia="Times New Roman" w:hAnsi="Arial" w:cs="Arial"/>
          <w:sz w:val="24"/>
          <w:szCs w:val="24"/>
          <w:u w:val="single"/>
          <w:lang w:val="en-US"/>
        </w:rPr>
      </w:pPr>
      <w:r w:rsidRPr="00457E31">
        <w:rPr>
          <w:rFonts w:ascii="Arial" w:eastAsia="Times New Roman" w:hAnsi="Arial" w:cs="Arial"/>
          <w:sz w:val="24"/>
          <w:szCs w:val="24"/>
          <w:u w:val="single"/>
          <w:lang w:val="en-US"/>
        </w:rPr>
        <w:t>Conditions for amalgamated company</w:t>
      </w:r>
    </w:p>
    <w:p w:rsidR="009A74D1" w:rsidRDefault="009A74D1" w:rsidP="009A74D1">
      <w:pPr>
        <w:pStyle w:val="ListParagraph"/>
        <w:numPr>
          <w:ilvl w:val="1"/>
          <w:numId w:val="1"/>
        </w:numPr>
        <w:spacing w:before="120" w:after="240" w:line="276" w:lineRule="auto"/>
        <w:ind w:left="1701" w:hanging="567"/>
        <w:contextualSpacing w:val="0"/>
        <w:jc w:val="both"/>
        <w:rPr>
          <w:rFonts w:ascii="Arial" w:eastAsia="Times New Roman" w:hAnsi="Arial" w:cs="Arial"/>
          <w:sz w:val="24"/>
          <w:szCs w:val="24"/>
          <w:lang w:val="en-US"/>
        </w:rPr>
      </w:pPr>
      <w:r>
        <w:rPr>
          <w:rFonts w:ascii="Arial" w:eastAsia="Times New Roman" w:hAnsi="Arial" w:cs="Arial"/>
          <w:sz w:val="24"/>
          <w:szCs w:val="24"/>
          <w:lang w:val="en-US"/>
        </w:rPr>
        <w:t>Should continue the business of the amalgamating company for minimum period of five years from the date of amalgamation</w:t>
      </w:r>
    </w:p>
    <w:p w:rsidR="009A74D1" w:rsidRDefault="009A74D1" w:rsidP="009A74D1">
      <w:pPr>
        <w:pStyle w:val="ListParagraph"/>
        <w:numPr>
          <w:ilvl w:val="1"/>
          <w:numId w:val="1"/>
        </w:numPr>
        <w:spacing w:before="120" w:after="240" w:line="276" w:lineRule="auto"/>
        <w:ind w:left="1701" w:hanging="567"/>
        <w:contextualSpacing w:val="0"/>
        <w:jc w:val="both"/>
        <w:rPr>
          <w:rFonts w:ascii="Arial" w:eastAsia="Times New Roman" w:hAnsi="Arial" w:cs="Arial"/>
          <w:sz w:val="24"/>
          <w:szCs w:val="24"/>
          <w:lang w:val="en-US"/>
        </w:rPr>
      </w:pPr>
      <w:r>
        <w:rPr>
          <w:rFonts w:ascii="Arial" w:eastAsia="Times New Roman" w:hAnsi="Arial" w:cs="Arial"/>
          <w:sz w:val="24"/>
          <w:szCs w:val="24"/>
          <w:lang w:val="en-US"/>
        </w:rPr>
        <w:t>Should hold continuously for a minimum period of five years from the date of amalgamation at least three-fourths of the book value of fixed assets of the amalgamating company acquired in a scheme of amalgamation.</w:t>
      </w:r>
    </w:p>
    <w:p w:rsidR="009A74D1" w:rsidRDefault="009A74D1" w:rsidP="009A74D1">
      <w:pPr>
        <w:pStyle w:val="ListParagraph"/>
        <w:numPr>
          <w:ilvl w:val="1"/>
          <w:numId w:val="1"/>
        </w:numPr>
        <w:spacing w:before="120" w:after="120" w:line="276" w:lineRule="auto"/>
        <w:ind w:left="1701" w:hanging="567"/>
        <w:contextualSpacing w:val="0"/>
        <w:jc w:val="both"/>
        <w:rPr>
          <w:rFonts w:ascii="Arial" w:eastAsia="Times New Roman" w:hAnsi="Arial" w:cs="Arial"/>
          <w:sz w:val="24"/>
          <w:szCs w:val="24"/>
          <w:lang w:val="en-US"/>
        </w:rPr>
      </w:pPr>
      <w:r w:rsidRPr="00024305">
        <w:rPr>
          <w:rFonts w:ascii="Arial" w:eastAsia="Times New Roman" w:hAnsi="Arial" w:cs="Arial"/>
          <w:sz w:val="24"/>
          <w:szCs w:val="24"/>
          <w:lang w:val="en-US"/>
        </w:rPr>
        <w:t xml:space="preserve">No fall in </w:t>
      </w:r>
      <w:r>
        <w:rPr>
          <w:rFonts w:ascii="Arial" w:eastAsia="Times New Roman" w:hAnsi="Arial" w:cs="Arial"/>
          <w:sz w:val="24"/>
          <w:szCs w:val="24"/>
          <w:lang w:val="en-US"/>
        </w:rPr>
        <w:t xml:space="preserve">average employee </w:t>
      </w:r>
      <w:r w:rsidRPr="00024305">
        <w:rPr>
          <w:rFonts w:ascii="Arial" w:eastAsia="Times New Roman" w:hAnsi="Arial" w:cs="Arial"/>
          <w:sz w:val="24"/>
          <w:szCs w:val="24"/>
          <w:lang w:val="en-US"/>
        </w:rPr>
        <w:t xml:space="preserve">head-count of employees </w:t>
      </w:r>
      <w:r w:rsidR="008C249D">
        <w:rPr>
          <w:rFonts w:ascii="Arial" w:eastAsia="Times New Roman" w:hAnsi="Arial" w:cs="Arial"/>
          <w:sz w:val="24"/>
          <w:szCs w:val="24"/>
          <w:lang w:val="en-US"/>
        </w:rPr>
        <w:t xml:space="preserve">or average payroll expenditure </w:t>
      </w:r>
      <w:r w:rsidRPr="00024305">
        <w:rPr>
          <w:rFonts w:ascii="Arial" w:eastAsia="Times New Roman" w:hAnsi="Arial" w:cs="Arial"/>
          <w:sz w:val="24"/>
          <w:szCs w:val="24"/>
          <w:lang w:val="en-US"/>
        </w:rPr>
        <w:t>for 3 years post-merger</w:t>
      </w:r>
      <w:r>
        <w:rPr>
          <w:rFonts w:ascii="Arial" w:eastAsia="Times New Roman" w:hAnsi="Arial" w:cs="Arial"/>
          <w:sz w:val="24"/>
          <w:szCs w:val="24"/>
          <w:lang w:val="en-US"/>
        </w:rPr>
        <w:t xml:space="preserve"> beyond specified limit (-say, 75%). For this purpose, Government may also consider some further conditions like qualifying employees who are enrolled in PF and/or have PAN/Aadhar numbers.</w:t>
      </w:r>
    </w:p>
    <w:p w:rsidR="00B43B1F" w:rsidRDefault="009A74D1" w:rsidP="009A74D1">
      <w:pPr>
        <w:pStyle w:val="ListParagraph"/>
        <w:spacing w:after="240" w:line="240" w:lineRule="auto"/>
        <w:contextualSpacing w:val="0"/>
        <w:jc w:val="both"/>
        <w:rPr>
          <w:rFonts w:ascii="Arial" w:eastAsia="Times New Roman" w:hAnsi="Arial" w:cs="Arial"/>
          <w:sz w:val="24"/>
          <w:szCs w:val="24"/>
          <w:lang w:val="en-US"/>
        </w:rPr>
      </w:pPr>
      <w:r>
        <w:rPr>
          <w:rFonts w:ascii="Arial" w:eastAsia="Times New Roman" w:hAnsi="Arial" w:cs="Arial"/>
          <w:sz w:val="24"/>
          <w:szCs w:val="24"/>
          <w:lang w:val="en-US"/>
        </w:rPr>
        <w:t>The reporting requirement in Form No. 62 to be furnished by practicing CA for verifying claim made u/s. 72A may also be expanded to cover the employee related details which the Tax Department can cross verify using Digital technology with PF records, UIDAI’s Aadhar database, salary TDS returns, etc</w:t>
      </w:r>
    </w:p>
    <w:p w:rsidR="00D76B0E" w:rsidRDefault="00D76B0E">
      <w:pPr>
        <w:rPr>
          <w:rFonts w:ascii="Arial" w:hAnsi="Arial" w:cs="Arial"/>
          <w:b/>
          <w:bCs/>
          <w:color w:val="00001E"/>
          <w:sz w:val="24"/>
          <w:szCs w:val="24"/>
          <w:lang w:bidi="hi-IN"/>
        </w:rPr>
      </w:pPr>
      <w:r>
        <w:rPr>
          <w:rFonts w:ascii="Arial" w:hAnsi="Arial" w:cs="Arial"/>
          <w:b/>
          <w:bCs/>
          <w:color w:val="00001E"/>
          <w:sz w:val="24"/>
          <w:szCs w:val="24"/>
        </w:rPr>
        <w:br w:type="page"/>
      </w:r>
    </w:p>
    <w:p w:rsidR="00D76B0E" w:rsidRPr="002A0DDE" w:rsidRDefault="00D76B0E" w:rsidP="00D76B0E">
      <w:pPr>
        <w:pStyle w:val="Heading2"/>
        <w:numPr>
          <w:ilvl w:val="0"/>
          <w:numId w:val="2"/>
        </w:numPr>
        <w:tabs>
          <w:tab w:val="num" w:pos="567"/>
        </w:tabs>
        <w:spacing w:before="120" w:after="240" w:line="276" w:lineRule="auto"/>
        <w:ind w:left="567" w:hanging="567"/>
        <w:jc w:val="both"/>
        <w:rPr>
          <w:rFonts w:ascii="Arial" w:hAnsi="Arial" w:cs="Arial"/>
          <w:b/>
          <w:bCs/>
          <w:color w:val="auto"/>
          <w:sz w:val="24"/>
          <w:szCs w:val="20"/>
        </w:rPr>
      </w:pPr>
      <w:r w:rsidRPr="002A0DDE">
        <w:rPr>
          <w:rFonts w:ascii="Arial" w:hAnsi="Arial" w:cs="Arial"/>
          <w:b/>
          <w:bCs/>
          <w:color w:val="auto"/>
          <w:sz w:val="24"/>
          <w:szCs w:val="20"/>
        </w:rPr>
        <w:lastRenderedPageBreak/>
        <w:t xml:space="preserve">Removal of further difficulties in </w:t>
      </w:r>
      <w:r w:rsidR="002A0DDE" w:rsidRPr="002A0DDE">
        <w:rPr>
          <w:rFonts w:ascii="Arial" w:hAnsi="Arial" w:cs="Arial"/>
          <w:b/>
          <w:bCs/>
          <w:color w:val="auto"/>
          <w:sz w:val="24"/>
          <w:szCs w:val="20"/>
        </w:rPr>
        <w:t>giving effect to TDS under s.194R on business perquisites</w:t>
      </w:r>
    </w:p>
    <w:p w:rsidR="00D76B0E" w:rsidRPr="00D76B0E" w:rsidRDefault="00A20DCD" w:rsidP="00D76B0E">
      <w:pPr>
        <w:autoSpaceDE w:val="0"/>
        <w:autoSpaceDN w:val="0"/>
        <w:adjustRightInd w:val="0"/>
        <w:spacing w:before="120" w:after="240" w:line="240" w:lineRule="auto"/>
        <w:jc w:val="both"/>
        <w:rPr>
          <w:rFonts w:ascii="Arial" w:hAnsi="Arial" w:cs="Arial"/>
          <w:sz w:val="24"/>
          <w:szCs w:val="20"/>
        </w:rPr>
      </w:pPr>
      <w:r>
        <w:rPr>
          <w:rFonts w:ascii="Arial" w:hAnsi="Arial" w:cs="Arial"/>
          <w:sz w:val="24"/>
          <w:szCs w:val="20"/>
        </w:rPr>
        <w:t xml:space="preserve">We may draw attention to our earlier </w:t>
      </w:r>
      <w:r w:rsidR="00011F0B">
        <w:rPr>
          <w:rFonts w:ascii="Arial" w:hAnsi="Arial" w:cs="Arial"/>
          <w:sz w:val="24"/>
          <w:szCs w:val="20"/>
        </w:rPr>
        <w:t xml:space="preserve">detailed </w:t>
      </w:r>
      <w:r>
        <w:rPr>
          <w:rFonts w:ascii="Arial" w:hAnsi="Arial" w:cs="Arial"/>
          <w:sz w:val="24"/>
          <w:szCs w:val="20"/>
        </w:rPr>
        <w:t xml:space="preserve">representations dated </w:t>
      </w:r>
      <w:r w:rsidR="008615AA">
        <w:rPr>
          <w:rFonts w:ascii="Arial" w:hAnsi="Arial" w:cs="Arial"/>
          <w:sz w:val="24"/>
          <w:szCs w:val="20"/>
        </w:rPr>
        <w:t xml:space="preserve">19 July 2022 </w:t>
      </w:r>
      <w:r w:rsidR="00D76B0E" w:rsidRPr="00D76B0E">
        <w:rPr>
          <w:rFonts w:ascii="Arial" w:hAnsi="Arial" w:cs="Arial"/>
          <w:sz w:val="24"/>
          <w:szCs w:val="20"/>
        </w:rPr>
        <w:t xml:space="preserve">on CBDT </w:t>
      </w:r>
      <w:r w:rsidR="00011F0B">
        <w:rPr>
          <w:rFonts w:ascii="Arial" w:hAnsi="Arial" w:cs="Arial"/>
          <w:sz w:val="24"/>
          <w:szCs w:val="20"/>
        </w:rPr>
        <w:t>C</w:t>
      </w:r>
      <w:r w:rsidR="00D76B0E" w:rsidRPr="00D76B0E">
        <w:rPr>
          <w:rFonts w:ascii="Arial" w:hAnsi="Arial" w:cs="Arial"/>
          <w:sz w:val="24"/>
          <w:szCs w:val="20"/>
        </w:rPr>
        <w:t xml:space="preserve">ircular no. 12 of 2022 (hereinafter referred as ‘the </w:t>
      </w:r>
      <w:r w:rsidR="00011F0B">
        <w:rPr>
          <w:rFonts w:ascii="Arial" w:hAnsi="Arial" w:cs="Arial"/>
          <w:sz w:val="24"/>
          <w:szCs w:val="20"/>
        </w:rPr>
        <w:t>C</w:t>
      </w:r>
      <w:r w:rsidR="00D76B0E" w:rsidRPr="00D76B0E">
        <w:rPr>
          <w:rFonts w:ascii="Arial" w:hAnsi="Arial" w:cs="Arial"/>
          <w:sz w:val="24"/>
          <w:szCs w:val="20"/>
        </w:rPr>
        <w:t>ircular’) issued by CBDT on 16 June 2022 with subject: “Guidelines for removal of difficulties under sub-section (2) of section 194R of the Income-tax Act, 1961”.</w:t>
      </w:r>
      <w:r w:rsidR="00011F0B">
        <w:rPr>
          <w:rFonts w:ascii="Arial" w:hAnsi="Arial" w:cs="Arial"/>
          <w:sz w:val="24"/>
          <w:szCs w:val="20"/>
        </w:rPr>
        <w:t xml:space="preserve"> </w:t>
      </w:r>
      <w:r w:rsidR="00011F0B" w:rsidRPr="00D76B0E">
        <w:rPr>
          <w:rFonts w:ascii="Arial" w:hAnsi="Arial" w:cs="Arial"/>
          <w:sz w:val="24"/>
          <w:szCs w:val="20"/>
        </w:rPr>
        <w:t xml:space="preserve">This representation is being made to seek </w:t>
      </w:r>
      <w:r w:rsidR="00011F0B">
        <w:rPr>
          <w:rFonts w:ascii="Arial" w:hAnsi="Arial" w:cs="Arial"/>
          <w:sz w:val="24"/>
          <w:szCs w:val="20"/>
        </w:rPr>
        <w:t xml:space="preserve">further </w:t>
      </w:r>
      <w:r w:rsidR="00011F0B" w:rsidRPr="00D76B0E">
        <w:rPr>
          <w:rFonts w:ascii="Arial" w:hAnsi="Arial" w:cs="Arial"/>
          <w:sz w:val="24"/>
          <w:szCs w:val="20"/>
        </w:rPr>
        <w:t>clarifications</w:t>
      </w:r>
      <w:r w:rsidR="008F2287">
        <w:rPr>
          <w:rFonts w:ascii="Arial" w:hAnsi="Arial" w:cs="Arial"/>
          <w:sz w:val="24"/>
          <w:szCs w:val="20"/>
        </w:rPr>
        <w:t xml:space="preserve"> on specific issues discussed </w:t>
      </w:r>
      <w:proofErr w:type="gramStart"/>
      <w:r w:rsidR="008F2287">
        <w:rPr>
          <w:rFonts w:ascii="Arial" w:hAnsi="Arial" w:cs="Arial"/>
          <w:sz w:val="24"/>
          <w:szCs w:val="20"/>
        </w:rPr>
        <w:t>below :</w:t>
      </w:r>
      <w:proofErr w:type="gramEnd"/>
      <w:r w:rsidR="008F2287">
        <w:rPr>
          <w:rFonts w:ascii="Arial" w:hAnsi="Arial" w:cs="Arial"/>
          <w:sz w:val="24"/>
          <w:szCs w:val="20"/>
        </w:rPr>
        <w:t>-</w:t>
      </w:r>
    </w:p>
    <w:p w:rsidR="00D76B0E" w:rsidRPr="00D76B0E" w:rsidRDefault="00D76B0E" w:rsidP="00D76B0E">
      <w:pPr>
        <w:autoSpaceDE w:val="0"/>
        <w:autoSpaceDN w:val="0"/>
        <w:adjustRightInd w:val="0"/>
        <w:spacing w:before="120" w:after="240" w:line="240" w:lineRule="auto"/>
        <w:jc w:val="both"/>
        <w:rPr>
          <w:rFonts w:ascii="Arial" w:hAnsi="Arial" w:cs="Arial"/>
          <w:b/>
          <w:bCs/>
          <w:sz w:val="24"/>
          <w:szCs w:val="20"/>
        </w:rPr>
      </w:pPr>
      <w:r w:rsidRPr="00D76B0E">
        <w:rPr>
          <w:rFonts w:ascii="Arial" w:hAnsi="Arial" w:cs="Arial"/>
          <w:b/>
          <w:bCs/>
          <w:sz w:val="24"/>
          <w:szCs w:val="20"/>
        </w:rPr>
        <w:t>Clarifications sought and recommendations:</w:t>
      </w:r>
    </w:p>
    <w:p w:rsidR="00D76B0E" w:rsidRPr="00D76B0E" w:rsidRDefault="00D76B0E" w:rsidP="00D76B0E">
      <w:pPr>
        <w:pStyle w:val="ListParagraph"/>
        <w:numPr>
          <w:ilvl w:val="0"/>
          <w:numId w:val="9"/>
        </w:numPr>
        <w:autoSpaceDE w:val="0"/>
        <w:autoSpaceDN w:val="0"/>
        <w:adjustRightInd w:val="0"/>
        <w:spacing w:before="120" w:after="240" w:line="240" w:lineRule="auto"/>
        <w:contextualSpacing w:val="0"/>
        <w:jc w:val="both"/>
        <w:rPr>
          <w:rFonts w:ascii="Arial" w:hAnsi="Arial" w:cs="Arial"/>
          <w:sz w:val="24"/>
          <w:u w:val="single"/>
        </w:rPr>
      </w:pPr>
      <w:r w:rsidRPr="00D76B0E">
        <w:rPr>
          <w:rFonts w:ascii="Arial" w:hAnsi="Arial" w:cs="Arial"/>
          <w:sz w:val="24"/>
          <w:u w:val="single"/>
        </w:rPr>
        <w:t>Clarification sought on FAQ # 3 – Benefit/perquisite received in the form of capital asset</w:t>
      </w:r>
      <w:r w:rsidR="008F2287">
        <w:rPr>
          <w:rFonts w:ascii="Arial" w:hAnsi="Arial" w:cs="Arial"/>
          <w:sz w:val="24"/>
          <w:u w:val="single"/>
        </w:rPr>
        <w:t xml:space="preserve"> </w:t>
      </w:r>
      <w:r w:rsidR="0079544C">
        <w:rPr>
          <w:rFonts w:ascii="Arial" w:hAnsi="Arial" w:cs="Arial"/>
          <w:sz w:val="24"/>
          <w:u w:val="single"/>
        </w:rPr>
        <w:t>–</w:t>
      </w:r>
      <w:r w:rsidR="008F2287">
        <w:rPr>
          <w:rFonts w:ascii="Arial" w:hAnsi="Arial" w:cs="Arial"/>
          <w:sz w:val="24"/>
          <w:u w:val="single"/>
        </w:rPr>
        <w:t xml:space="preserve"> </w:t>
      </w:r>
      <w:r w:rsidR="0079544C">
        <w:rPr>
          <w:rFonts w:ascii="Arial" w:hAnsi="Arial" w:cs="Arial"/>
          <w:sz w:val="24"/>
          <w:u w:val="single"/>
        </w:rPr>
        <w:t>Clarify that unilateral or agreed bad debt write off does not constitute benefit or perquisite</w:t>
      </w:r>
    </w:p>
    <w:p w:rsidR="00D76B0E" w:rsidRPr="00D76B0E" w:rsidRDefault="00D76B0E" w:rsidP="00D76B0E">
      <w:pPr>
        <w:pStyle w:val="ListParagraph"/>
        <w:autoSpaceDE w:val="0"/>
        <w:autoSpaceDN w:val="0"/>
        <w:adjustRightInd w:val="0"/>
        <w:spacing w:before="120" w:after="240" w:line="240" w:lineRule="auto"/>
        <w:contextualSpacing w:val="0"/>
        <w:jc w:val="both"/>
        <w:rPr>
          <w:rFonts w:ascii="Arial" w:hAnsi="Arial" w:cs="Arial"/>
          <w:sz w:val="24"/>
        </w:rPr>
      </w:pPr>
      <w:r w:rsidRPr="00D76B0E">
        <w:rPr>
          <w:rFonts w:ascii="Arial" w:hAnsi="Arial" w:cs="Arial"/>
          <w:sz w:val="24"/>
        </w:rPr>
        <w:t xml:space="preserve">Response to Question 3 of the </w:t>
      </w:r>
      <w:r w:rsidR="00A765A4">
        <w:rPr>
          <w:rFonts w:ascii="Arial" w:hAnsi="Arial" w:cs="Arial"/>
          <w:sz w:val="24"/>
        </w:rPr>
        <w:t>C</w:t>
      </w:r>
      <w:r w:rsidRPr="00D76B0E">
        <w:rPr>
          <w:rFonts w:ascii="Arial" w:hAnsi="Arial" w:cs="Arial"/>
          <w:sz w:val="24"/>
        </w:rPr>
        <w:t xml:space="preserve">ircular has sought to provide an illustrative list of the perquisites or benefits received in the form of capital assets that can be taxable in the hands of the recipient and therefore, subject to TDS under Section 194R of the Income-tax Act, 1961 (“the Act”). One of the illustrations provided relates to an amount representing principal loan waived by bank under one time settlement scheme would constitute income falling under section 28(iv) relating to value of any benefit or perquisite, arising from business or exercise of profession. CIT v </w:t>
      </w:r>
      <w:proofErr w:type="spellStart"/>
      <w:r w:rsidRPr="00D76B0E">
        <w:rPr>
          <w:rFonts w:ascii="Arial" w:hAnsi="Arial" w:cs="Arial"/>
          <w:sz w:val="24"/>
        </w:rPr>
        <w:t>Ramaniyam</w:t>
      </w:r>
      <w:proofErr w:type="spellEnd"/>
      <w:r w:rsidRPr="00D76B0E">
        <w:rPr>
          <w:rFonts w:ascii="Arial" w:hAnsi="Arial" w:cs="Arial"/>
          <w:sz w:val="24"/>
        </w:rPr>
        <w:t xml:space="preserve"> Homes </w:t>
      </w:r>
      <w:proofErr w:type="gramStart"/>
      <w:r w:rsidRPr="00D76B0E">
        <w:rPr>
          <w:rFonts w:ascii="Arial" w:hAnsi="Arial" w:cs="Arial"/>
          <w:sz w:val="24"/>
        </w:rPr>
        <w:t>(P) Ltd (2016) 68 taxmann.com 289</w:t>
      </w:r>
      <w:proofErr w:type="gramEnd"/>
      <w:r w:rsidRPr="00D76B0E">
        <w:rPr>
          <w:rFonts w:ascii="Arial" w:hAnsi="Arial" w:cs="Arial"/>
          <w:sz w:val="24"/>
        </w:rPr>
        <w:t xml:space="preserve"> (Mad). The inclusion of this illustration creates an ambiguity inasmuch as this ruling has been reversed by the Hon’ble Supreme Court in the case of CIT v. Mahindra &amp; Mahindra (404 ITR 1)(SC). Also, the waiver of loan does not result in capital asset in the hands of the taxpayer.</w:t>
      </w:r>
    </w:p>
    <w:p w:rsidR="00D76B0E" w:rsidRPr="00D76B0E" w:rsidRDefault="00D76B0E" w:rsidP="00D76B0E">
      <w:pPr>
        <w:autoSpaceDE w:val="0"/>
        <w:autoSpaceDN w:val="0"/>
        <w:adjustRightInd w:val="0"/>
        <w:spacing w:before="120" w:after="240" w:line="240" w:lineRule="auto"/>
        <w:ind w:left="720"/>
        <w:jc w:val="both"/>
        <w:rPr>
          <w:rFonts w:ascii="Arial" w:hAnsi="Arial" w:cs="Arial"/>
          <w:sz w:val="24"/>
          <w:szCs w:val="20"/>
        </w:rPr>
      </w:pPr>
      <w:r w:rsidRPr="00D76B0E">
        <w:rPr>
          <w:rFonts w:ascii="Arial" w:hAnsi="Arial" w:cs="Arial"/>
          <w:sz w:val="24"/>
          <w:szCs w:val="20"/>
        </w:rPr>
        <w:t xml:space="preserve">In this regard, clarification is required on the treatment of bad debts arising out of the general trade practice and the receivables required to be written off owing to non-recovery and / or by generally accepted accounting principles. The receivables towards the principal dues may be non-realisable, despite the genuine efforts of the taxpayer and such reasons can be attributable to the financial position of the debtor, debtor not being traceable, etc. The machinery provision of recovery of TDS in such cases cannot be exercised as the principal sum itself would be non-realisable &amp; therefore, TDS cannot be deducted. Further, in case the taxpayer has to gross up the TDS &amp; bear the TDS liability owing to bad debts’ write-off in books, it leads to an out-of-pocket situation and undue hardship to the taxpayer. </w:t>
      </w:r>
    </w:p>
    <w:p w:rsidR="00D76B0E" w:rsidRPr="00D76B0E" w:rsidRDefault="00D76B0E" w:rsidP="00D76B0E">
      <w:pPr>
        <w:autoSpaceDE w:val="0"/>
        <w:autoSpaceDN w:val="0"/>
        <w:adjustRightInd w:val="0"/>
        <w:spacing w:before="120" w:after="240" w:line="240" w:lineRule="auto"/>
        <w:ind w:left="720"/>
        <w:jc w:val="both"/>
        <w:rPr>
          <w:rFonts w:ascii="Arial" w:hAnsi="Arial" w:cs="Arial"/>
          <w:sz w:val="24"/>
          <w:szCs w:val="20"/>
        </w:rPr>
      </w:pPr>
      <w:r w:rsidRPr="00D76B0E">
        <w:rPr>
          <w:rFonts w:ascii="Arial" w:hAnsi="Arial" w:cs="Arial"/>
          <w:sz w:val="24"/>
          <w:szCs w:val="20"/>
        </w:rPr>
        <w:t>Furthermore, a bad debt write off is a unilateral action taken in the books of the creditor and at times emanating out of accounting principles. The creditor is not legally precluded from pursuing the recovery from the debtor even after such unilateral write off and hence, the write off in books of creditor cannot be regarded as benefit or perquisite in the hands of the debtor. If a TDS were to be done on this and reflected in the Form 26AS, then it would make it even more difficult to recover any amounts against the debt from the debtor, as the debtor would then argue that the debt is no longer payable or the liability stands waived off.</w:t>
      </w:r>
    </w:p>
    <w:p w:rsidR="00D76B0E" w:rsidRPr="00D76B0E" w:rsidRDefault="00D76B0E" w:rsidP="00D76B0E">
      <w:pPr>
        <w:autoSpaceDE w:val="0"/>
        <w:autoSpaceDN w:val="0"/>
        <w:adjustRightInd w:val="0"/>
        <w:spacing w:before="120" w:after="240" w:line="240" w:lineRule="auto"/>
        <w:ind w:left="720"/>
        <w:jc w:val="both"/>
        <w:rPr>
          <w:rFonts w:ascii="Arial" w:hAnsi="Arial" w:cs="Arial"/>
          <w:sz w:val="24"/>
          <w:szCs w:val="20"/>
        </w:rPr>
      </w:pPr>
      <w:r w:rsidRPr="00D76B0E">
        <w:rPr>
          <w:rFonts w:ascii="Arial" w:hAnsi="Arial" w:cs="Arial"/>
          <w:sz w:val="24"/>
          <w:szCs w:val="20"/>
        </w:rPr>
        <w:lastRenderedPageBreak/>
        <w:t xml:space="preserve">Therefore, a clarification may be issued on the non-applicability of TDS under Section 194R in cases of write-off of bad debts in the books of accounts of the taxpayers. </w:t>
      </w:r>
    </w:p>
    <w:p w:rsidR="00D76B0E" w:rsidRPr="00D76B0E" w:rsidRDefault="00D76B0E" w:rsidP="009D5F42">
      <w:pPr>
        <w:autoSpaceDE w:val="0"/>
        <w:autoSpaceDN w:val="0"/>
        <w:adjustRightInd w:val="0"/>
        <w:spacing w:after="0" w:line="240" w:lineRule="auto"/>
        <w:ind w:left="720"/>
        <w:jc w:val="both"/>
        <w:rPr>
          <w:rFonts w:ascii="Arial" w:hAnsi="Arial" w:cs="Arial"/>
          <w:sz w:val="24"/>
          <w:szCs w:val="20"/>
        </w:rPr>
      </w:pPr>
    </w:p>
    <w:p w:rsidR="00D76B0E" w:rsidRPr="00D76B0E" w:rsidRDefault="00D76B0E" w:rsidP="00D76B0E">
      <w:pPr>
        <w:pStyle w:val="ListParagraph"/>
        <w:numPr>
          <w:ilvl w:val="0"/>
          <w:numId w:val="9"/>
        </w:numPr>
        <w:autoSpaceDE w:val="0"/>
        <w:autoSpaceDN w:val="0"/>
        <w:adjustRightInd w:val="0"/>
        <w:spacing w:before="120" w:after="240" w:line="240" w:lineRule="auto"/>
        <w:contextualSpacing w:val="0"/>
        <w:jc w:val="both"/>
        <w:rPr>
          <w:rFonts w:ascii="Arial" w:hAnsi="Arial" w:cs="Arial"/>
          <w:sz w:val="24"/>
          <w:u w:val="single"/>
        </w:rPr>
      </w:pPr>
      <w:r w:rsidRPr="00D76B0E">
        <w:rPr>
          <w:rFonts w:ascii="Arial" w:hAnsi="Arial" w:cs="Arial"/>
          <w:sz w:val="24"/>
          <w:u w:val="single"/>
        </w:rPr>
        <w:t>Clarifications sought on FAQ # 4 – Sales discount, cash discount and rebates</w:t>
      </w:r>
    </w:p>
    <w:p w:rsidR="00D76B0E" w:rsidRPr="00D76B0E" w:rsidRDefault="00D76B0E" w:rsidP="00D76B0E">
      <w:pPr>
        <w:pStyle w:val="ListParagraph"/>
        <w:numPr>
          <w:ilvl w:val="0"/>
          <w:numId w:val="10"/>
        </w:numPr>
        <w:autoSpaceDE w:val="0"/>
        <w:autoSpaceDN w:val="0"/>
        <w:adjustRightInd w:val="0"/>
        <w:spacing w:before="120" w:after="240" w:line="240" w:lineRule="auto"/>
        <w:contextualSpacing w:val="0"/>
        <w:jc w:val="both"/>
        <w:rPr>
          <w:rFonts w:ascii="Arial" w:hAnsi="Arial" w:cs="Arial"/>
          <w:sz w:val="24"/>
        </w:rPr>
      </w:pPr>
      <w:r w:rsidRPr="00D76B0E">
        <w:rPr>
          <w:rFonts w:ascii="Arial" w:hAnsi="Arial" w:cs="Arial"/>
          <w:sz w:val="24"/>
        </w:rPr>
        <w:t xml:space="preserve">Response to Question no. 4 of the </w:t>
      </w:r>
      <w:r w:rsidR="00041869">
        <w:rPr>
          <w:rFonts w:ascii="Arial" w:hAnsi="Arial" w:cs="Arial"/>
          <w:sz w:val="24"/>
        </w:rPr>
        <w:t>C</w:t>
      </w:r>
      <w:r w:rsidRPr="00D76B0E">
        <w:rPr>
          <w:rFonts w:ascii="Arial" w:hAnsi="Arial" w:cs="Arial"/>
          <w:sz w:val="24"/>
        </w:rPr>
        <w:t>ircular states that Sales discounts, cash discounts or rebates allowed to the customers from the listed retail price represent lesser realisation of the sale price itself. To that extent purchase price of customer is also reduced.</w:t>
      </w:r>
    </w:p>
    <w:p w:rsidR="00D76B0E" w:rsidRPr="00D76B0E" w:rsidRDefault="00D76B0E" w:rsidP="00D76B0E">
      <w:pPr>
        <w:autoSpaceDE w:val="0"/>
        <w:autoSpaceDN w:val="0"/>
        <w:adjustRightInd w:val="0"/>
        <w:spacing w:before="120" w:after="240" w:line="240" w:lineRule="auto"/>
        <w:ind w:left="720"/>
        <w:jc w:val="both"/>
        <w:rPr>
          <w:rFonts w:ascii="Arial" w:hAnsi="Arial" w:cs="Arial"/>
          <w:sz w:val="24"/>
          <w:szCs w:val="20"/>
        </w:rPr>
      </w:pPr>
      <w:r w:rsidRPr="00D76B0E">
        <w:rPr>
          <w:rFonts w:ascii="Arial" w:hAnsi="Arial" w:cs="Arial"/>
          <w:sz w:val="24"/>
          <w:szCs w:val="20"/>
        </w:rPr>
        <w:t>In normal trade practice prevalent in FMCG industry, the sales discounts or rebates are generally passed on to the customers via credit notes. In addition to discounts linked directly with the price of a particular product, these discounts could also be offered on the basis of certain volume of purchases by the distributor or for making payments in a reduced credit period or could be linked to various other parameters/ targets, normally referred as post-sales or target-linked discounts. In all such scenarios, the discounts will lead to lower sales realization in the books of the manufacturer and lower purchase price in the books of the purchaser.  However, the use of the word “listed retail price” is causing ambiguity in interpretation in scenarios where discounts lead to a lower purchase price but is not linked to a specific product (e.g., cash discount or target-linked discounts) or may not be passed on to the end consumer in the chain (e.g., volume discount or other such trade discounts).</w:t>
      </w:r>
    </w:p>
    <w:p w:rsidR="00D76B0E" w:rsidRPr="00D76B0E" w:rsidRDefault="00D76B0E" w:rsidP="00D76B0E">
      <w:pPr>
        <w:autoSpaceDE w:val="0"/>
        <w:autoSpaceDN w:val="0"/>
        <w:adjustRightInd w:val="0"/>
        <w:spacing w:before="120" w:after="240" w:line="240" w:lineRule="auto"/>
        <w:ind w:left="720"/>
        <w:jc w:val="both"/>
        <w:rPr>
          <w:rFonts w:ascii="Arial" w:hAnsi="Arial" w:cs="Arial"/>
          <w:sz w:val="24"/>
          <w:szCs w:val="20"/>
        </w:rPr>
      </w:pPr>
      <w:r w:rsidRPr="00D76B0E">
        <w:rPr>
          <w:rFonts w:ascii="Arial" w:hAnsi="Arial" w:cs="Arial"/>
          <w:sz w:val="24"/>
          <w:szCs w:val="20"/>
        </w:rPr>
        <w:t>Therefore, to avoid ambiguity, it may be clarified that any kind of sales discounts, trade discounts, volume discounts or adjustments by way of credit notes, which will effectively reduce the purchase price of the buyer, should be kept outside the ambit of TDS under Section 194R.</w:t>
      </w:r>
    </w:p>
    <w:p w:rsidR="00D76B0E" w:rsidRPr="00D76B0E" w:rsidRDefault="00D76B0E" w:rsidP="00D76B0E">
      <w:pPr>
        <w:pStyle w:val="ListParagraph"/>
        <w:numPr>
          <w:ilvl w:val="0"/>
          <w:numId w:val="10"/>
        </w:numPr>
        <w:autoSpaceDE w:val="0"/>
        <w:autoSpaceDN w:val="0"/>
        <w:adjustRightInd w:val="0"/>
        <w:spacing w:before="120" w:after="240" w:line="240" w:lineRule="auto"/>
        <w:contextualSpacing w:val="0"/>
        <w:jc w:val="both"/>
        <w:rPr>
          <w:rFonts w:ascii="Arial" w:hAnsi="Arial" w:cs="Arial"/>
          <w:sz w:val="24"/>
        </w:rPr>
      </w:pPr>
      <w:r w:rsidRPr="00D76B0E">
        <w:rPr>
          <w:rFonts w:ascii="Arial" w:hAnsi="Arial" w:cs="Arial"/>
          <w:sz w:val="24"/>
        </w:rPr>
        <w:t xml:space="preserve">Response to Question no. 4 of the </w:t>
      </w:r>
      <w:r w:rsidR="00041869">
        <w:rPr>
          <w:rFonts w:ascii="Arial" w:hAnsi="Arial" w:cs="Arial"/>
          <w:sz w:val="24"/>
        </w:rPr>
        <w:t>C</w:t>
      </w:r>
      <w:r w:rsidRPr="00D76B0E">
        <w:rPr>
          <w:rFonts w:ascii="Arial" w:hAnsi="Arial" w:cs="Arial"/>
          <w:sz w:val="24"/>
        </w:rPr>
        <w:t>ircular has granted relaxation to the seller for giving "its” free items given from its stock in trade along</w:t>
      </w:r>
      <w:r w:rsidR="00041869">
        <w:rPr>
          <w:rFonts w:ascii="Arial" w:hAnsi="Arial" w:cs="Arial"/>
          <w:sz w:val="24"/>
        </w:rPr>
        <w:t xml:space="preserve"> </w:t>
      </w:r>
      <w:r w:rsidRPr="00D76B0E">
        <w:rPr>
          <w:rFonts w:ascii="Arial" w:hAnsi="Arial" w:cs="Arial"/>
          <w:sz w:val="24"/>
        </w:rPr>
        <w:t xml:space="preserve">with purchase of certain quantity of items e.g., in a situation where 2 items are offered free with purchase of 10 items. However, the reading of the answer has created an ambiguity that such relaxation can be applied only where the free items given are the same items being purchased by the buyer and not where, the free items are from the other product portfolio of the seller (2 toothpaste with 10 soap bars) or purchased by the seller from another manufacturer (e.g., a plastic mug free with 10 soap bars). </w:t>
      </w:r>
    </w:p>
    <w:p w:rsidR="00D76B0E" w:rsidRPr="00D76B0E" w:rsidRDefault="00D76B0E" w:rsidP="00D76B0E">
      <w:pPr>
        <w:autoSpaceDE w:val="0"/>
        <w:autoSpaceDN w:val="0"/>
        <w:adjustRightInd w:val="0"/>
        <w:spacing w:before="120" w:after="240" w:line="240" w:lineRule="auto"/>
        <w:ind w:left="720"/>
        <w:jc w:val="both"/>
        <w:rPr>
          <w:rFonts w:ascii="Arial" w:hAnsi="Arial" w:cs="Arial"/>
          <w:sz w:val="24"/>
          <w:szCs w:val="20"/>
        </w:rPr>
      </w:pPr>
      <w:r w:rsidRPr="00D76B0E">
        <w:rPr>
          <w:rFonts w:ascii="Arial" w:hAnsi="Arial" w:cs="Arial"/>
          <w:sz w:val="24"/>
          <w:szCs w:val="20"/>
        </w:rPr>
        <w:t>Given that the underlying principle remains the same in situations where free product offered with the main product is of another type, whether or not manufactured by the seller, it is requested to clarify that the seller can give free items, which are either purchased by the manufacturer or own manufactured products and the same relaxation would apply to free items of different class/ category.</w:t>
      </w:r>
    </w:p>
    <w:p w:rsidR="00D76B0E" w:rsidRPr="00D76B0E" w:rsidRDefault="00D76B0E" w:rsidP="00D76B0E">
      <w:pPr>
        <w:autoSpaceDE w:val="0"/>
        <w:autoSpaceDN w:val="0"/>
        <w:adjustRightInd w:val="0"/>
        <w:spacing w:before="120" w:after="240" w:line="240" w:lineRule="auto"/>
        <w:ind w:left="720"/>
        <w:jc w:val="both"/>
        <w:rPr>
          <w:rFonts w:ascii="Arial" w:hAnsi="Arial" w:cs="Arial"/>
          <w:sz w:val="24"/>
          <w:szCs w:val="20"/>
        </w:rPr>
      </w:pPr>
    </w:p>
    <w:p w:rsidR="00D76B0E" w:rsidRPr="00D76B0E" w:rsidRDefault="00D76B0E" w:rsidP="00D76B0E">
      <w:pPr>
        <w:pStyle w:val="ListParagraph"/>
        <w:numPr>
          <w:ilvl w:val="0"/>
          <w:numId w:val="9"/>
        </w:numPr>
        <w:autoSpaceDE w:val="0"/>
        <w:autoSpaceDN w:val="0"/>
        <w:adjustRightInd w:val="0"/>
        <w:spacing w:before="120" w:after="240" w:line="240" w:lineRule="auto"/>
        <w:contextualSpacing w:val="0"/>
        <w:jc w:val="both"/>
        <w:rPr>
          <w:rFonts w:ascii="Arial" w:hAnsi="Arial" w:cs="Arial"/>
          <w:sz w:val="24"/>
          <w:u w:val="single"/>
        </w:rPr>
      </w:pPr>
      <w:r w:rsidRPr="00D76B0E">
        <w:rPr>
          <w:rFonts w:ascii="Arial" w:hAnsi="Arial" w:cs="Arial"/>
          <w:sz w:val="24"/>
          <w:u w:val="single"/>
        </w:rPr>
        <w:lastRenderedPageBreak/>
        <w:t>Clarifications sought on FAQ # 7: Reimbursement of out of pocket expenses of service providers</w:t>
      </w:r>
    </w:p>
    <w:p w:rsidR="00D76B0E" w:rsidRPr="00D76B0E" w:rsidRDefault="00D76B0E" w:rsidP="00D76B0E">
      <w:pPr>
        <w:pStyle w:val="ListParagraph"/>
        <w:autoSpaceDE w:val="0"/>
        <w:autoSpaceDN w:val="0"/>
        <w:adjustRightInd w:val="0"/>
        <w:spacing w:before="120" w:after="240" w:line="240" w:lineRule="auto"/>
        <w:contextualSpacing w:val="0"/>
        <w:jc w:val="both"/>
        <w:rPr>
          <w:rFonts w:ascii="Arial" w:hAnsi="Arial" w:cs="Arial"/>
          <w:sz w:val="24"/>
        </w:rPr>
      </w:pPr>
      <w:r w:rsidRPr="00D76B0E">
        <w:rPr>
          <w:rFonts w:ascii="Arial" w:hAnsi="Arial" w:cs="Arial"/>
          <w:sz w:val="24"/>
        </w:rPr>
        <w:t xml:space="preserve">Response to Question no. 7 of the </w:t>
      </w:r>
      <w:r w:rsidR="00431EF1">
        <w:rPr>
          <w:rFonts w:ascii="Arial" w:hAnsi="Arial" w:cs="Arial"/>
          <w:sz w:val="24"/>
        </w:rPr>
        <w:t>C</w:t>
      </w:r>
      <w:r w:rsidRPr="00D76B0E">
        <w:rPr>
          <w:rFonts w:ascii="Arial" w:hAnsi="Arial" w:cs="Arial"/>
          <w:sz w:val="24"/>
        </w:rPr>
        <w:t xml:space="preserve">ircular has clarified that if the invoice for the expenses incurred by a service provider wholly and exclusively for the purposes of rendering services and claimed as reimbursement of expenses will not attract TDS under Section 194R of the Act. However, TDS under Section 194R would apply if the invoice of the </w:t>
      </w:r>
      <w:proofErr w:type="gramStart"/>
      <w:r w:rsidRPr="00D76B0E">
        <w:rPr>
          <w:rFonts w:ascii="Arial" w:hAnsi="Arial" w:cs="Arial"/>
          <w:sz w:val="24"/>
        </w:rPr>
        <w:t>expenses being</w:t>
      </w:r>
      <w:proofErr w:type="gramEnd"/>
      <w:r w:rsidRPr="00D76B0E">
        <w:rPr>
          <w:rFonts w:ascii="Arial" w:hAnsi="Arial" w:cs="Arial"/>
          <w:sz w:val="24"/>
        </w:rPr>
        <w:t xml:space="preserve"> claimed as reimbursement are not in the name of the service recipient.</w:t>
      </w:r>
    </w:p>
    <w:p w:rsidR="00D76B0E" w:rsidRPr="00D76B0E" w:rsidRDefault="00D76B0E" w:rsidP="00D76B0E">
      <w:pPr>
        <w:pStyle w:val="ListParagraph"/>
        <w:autoSpaceDE w:val="0"/>
        <w:autoSpaceDN w:val="0"/>
        <w:adjustRightInd w:val="0"/>
        <w:spacing w:before="120" w:after="240" w:line="240" w:lineRule="auto"/>
        <w:contextualSpacing w:val="0"/>
        <w:jc w:val="both"/>
        <w:rPr>
          <w:rFonts w:ascii="Arial" w:hAnsi="Arial" w:cs="Arial"/>
          <w:sz w:val="24"/>
        </w:rPr>
      </w:pPr>
      <w:r w:rsidRPr="00D76B0E">
        <w:rPr>
          <w:rFonts w:ascii="Arial" w:hAnsi="Arial" w:cs="Arial"/>
          <w:sz w:val="24"/>
        </w:rPr>
        <w:t xml:space="preserve">Presently, in the transactions where TDS under a different section of the Act is applicable on the service invoice, say under section 194 C or under section 194J and reimbursement of expenses is claimed at actuals in the invoice along with the service fees, TDS is deductible under the relevant section 194C or 194J on the total value of the invoice. With the clarification provided in FAQ 7 of the </w:t>
      </w:r>
      <w:r w:rsidR="00F126A8">
        <w:rPr>
          <w:rFonts w:ascii="Arial" w:hAnsi="Arial" w:cs="Arial"/>
          <w:sz w:val="24"/>
        </w:rPr>
        <w:t>C</w:t>
      </w:r>
      <w:r w:rsidRPr="00D76B0E">
        <w:rPr>
          <w:rFonts w:ascii="Arial" w:hAnsi="Arial" w:cs="Arial"/>
          <w:sz w:val="24"/>
        </w:rPr>
        <w:t xml:space="preserve">ircular, it would become practically challenging to apply a different TDS section on the primary service fees but apply Section 194R on the component of reimbursement of expenses relating to the primary service fees. This could practically even lead to a situation where the main service fees attract TDS under 194C at 2% but the reimbursement of expenses will need to be bifurcated for TDS under 194R @ 10%; e.g., in case of a works contract, TDS under Section 194C would be applicable @ 2% on the works’ contract consideration agreed between the service recipient and the contractor &amp; by virtue of clarification in FAQ 7, TDS under Section 194R would require TDS deduction @ 10%. </w:t>
      </w:r>
    </w:p>
    <w:p w:rsidR="00D76B0E" w:rsidRPr="00D76B0E" w:rsidRDefault="00D76B0E" w:rsidP="00D76B0E">
      <w:pPr>
        <w:pStyle w:val="ListParagraph"/>
        <w:autoSpaceDE w:val="0"/>
        <w:autoSpaceDN w:val="0"/>
        <w:adjustRightInd w:val="0"/>
        <w:spacing w:before="120" w:after="240" w:line="240" w:lineRule="auto"/>
        <w:contextualSpacing w:val="0"/>
        <w:jc w:val="both"/>
        <w:rPr>
          <w:rFonts w:ascii="Arial" w:hAnsi="Arial" w:cs="Arial"/>
          <w:sz w:val="24"/>
        </w:rPr>
      </w:pPr>
      <w:r w:rsidRPr="00D76B0E">
        <w:rPr>
          <w:rFonts w:ascii="Arial" w:hAnsi="Arial" w:cs="Arial"/>
          <w:sz w:val="24"/>
        </w:rPr>
        <w:t xml:space="preserve">Bringing reimbursement of expenses under the ambit of Section 194R would create practical challenges for the </w:t>
      </w:r>
      <w:proofErr w:type="spellStart"/>
      <w:r w:rsidRPr="00D76B0E">
        <w:rPr>
          <w:rFonts w:ascii="Arial" w:hAnsi="Arial" w:cs="Arial"/>
          <w:sz w:val="24"/>
        </w:rPr>
        <w:t>deductor</w:t>
      </w:r>
      <w:proofErr w:type="spellEnd"/>
      <w:r w:rsidRPr="00D76B0E">
        <w:rPr>
          <w:rFonts w:ascii="Arial" w:hAnsi="Arial" w:cs="Arial"/>
          <w:sz w:val="24"/>
        </w:rPr>
        <w:t xml:space="preserve"> to </w:t>
      </w:r>
      <w:proofErr w:type="gramStart"/>
      <w:r w:rsidRPr="00D76B0E">
        <w:rPr>
          <w:rFonts w:ascii="Arial" w:hAnsi="Arial" w:cs="Arial"/>
          <w:sz w:val="24"/>
        </w:rPr>
        <w:t>bifurcate</w:t>
      </w:r>
      <w:proofErr w:type="gramEnd"/>
      <w:r w:rsidRPr="00D76B0E">
        <w:rPr>
          <w:rFonts w:ascii="Arial" w:hAnsi="Arial" w:cs="Arial"/>
          <w:sz w:val="24"/>
        </w:rPr>
        <w:t xml:space="preserve"> the elements from one invoice and lead to a lot of difficulty. This will also lead to litigation especially in cases where the service fees would attract TDS at a rate lower than 10% (like 1%/2% u/s. 194C and 2% for Fees for technical services u/s. 194J).</w:t>
      </w:r>
    </w:p>
    <w:p w:rsidR="00D76B0E" w:rsidRPr="00D76B0E" w:rsidRDefault="00D76B0E" w:rsidP="00D76B0E">
      <w:pPr>
        <w:pStyle w:val="ListParagraph"/>
        <w:autoSpaceDE w:val="0"/>
        <w:autoSpaceDN w:val="0"/>
        <w:adjustRightInd w:val="0"/>
        <w:spacing w:before="120" w:after="240" w:line="240" w:lineRule="auto"/>
        <w:contextualSpacing w:val="0"/>
        <w:jc w:val="both"/>
        <w:rPr>
          <w:rFonts w:ascii="Arial" w:hAnsi="Arial" w:cs="Arial"/>
          <w:sz w:val="24"/>
        </w:rPr>
      </w:pPr>
      <w:r w:rsidRPr="00D76B0E">
        <w:rPr>
          <w:rFonts w:ascii="Arial" w:hAnsi="Arial" w:cs="Arial"/>
          <w:sz w:val="24"/>
        </w:rPr>
        <w:t>Therefore, it is recommended to clarify that if a TDS is being deducted on an invoice comprising service fees and reimbursement of expenses under a different section, separate TDS is not required under Section 194R on such reimbursement of expenses.</w:t>
      </w:r>
    </w:p>
    <w:p w:rsidR="00D76B0E" w:rsidRPr="00D76B0E" w:rsidRDefault="00D76B0E" w:rsidP="00D76B0E">
      <w:pPr>
        <w:pStyle w:val="ListParagraph"/>
        <w:numPr>
          <w:ilvl w:val="0"/>
          <w:numId w:val="9"/>
        </w:numPr>
        <w:autoSpaceDE w:val="0"/>
        <w:autoSpaceDN w:val="0"/>
        <w:adjustRightInd w:val="0"/>
        <w:spacing w:before="120" w:after="240" w:line="240" w:lineRule="auto"/>
        <w:contextualSpacing w:val="0"/>
        <w:jc w:val="both"/>
        <w:rPr>
          <w:rFonts w:ascii="Arial" w:hAnsi="Arial" w:cs="Arial"/>
          <w:sz w:val="24"/>
          <w:u w:val="single"/>
        </w:rPr>
      </w:pPr>
      <w:r w:rsidRPr="00D76B0E">
        <w:rPr>
          <w:rFonts w:ascii="Arial" w:hAnsi="Arial" w:cs="Arial"/>
          <w:sz w:val="24"/>
          <w:u w:val="single"/>
        </w:rPr>
        <w:t>Clarifications sought on FAQ # 8: Business conferences</w:t>
      </w:r>
    </w:p>
    <w:p w:rsidR="00D76B0E" w:rsidRPr="00D76B0E" w:rsidRDefault="00D76B0E" w:rsidP="00D76B0E">
      <w:pPr>
        <w:pStyle w:val="ListParagraph"/>
        <w:autoSpaceDE w:val="0"/>
        <w:autoSpaceDN w:val="0"/>
        <w:adjustRightInd w:val="0"/>
        <w:spacing w:before="120" w:after="240" w:line="240" w:lineRule="auto"/>
        <w:contextualSpacing w:val="0"/>
        <w:jc w:val="both"/>
        <w:rPr>
          <w:rFonts w:ascii="Arial" w:hAnsi="Arial" w:cs="Arial"/>
          <w:sz w:val="24"/>
        </w:rPr>
      </w:pPr>
      <w:r w:rsidRPr="00D76B0E">
        <w:rPr>
          <w:rFonts w:ascii="Arial" w:hAnsi="Arial" w:cs="Arial"/>
          <w:sz w:val="24"/>
        </w:rPr>
        <w:t xml:space="preserve">Response to Question no. 8 of the </w:t>
      </w:r>
      <w:r w:rsidR="00F126A8">
        <w:rPr>
          <w:rFonts w:ascii="Arial" w:hAnsi="Arial" w:cs="Arial"/>
          <w:sz w:val="24"/>
        </w:rPr>
        <w:t>C</w:t>
      </w:r>
      <w:r w:rsidRPr="00D76B0E">
        <w:rPr>
          <w:rFonts w:ascii="Arial" w:hAnsi="Arial" w:cs="Arial"/>
          <w:sz w:val="24"/>
        </w:rPr>
        <w:t>ircular has clarified that any business conference must not be in the nature of incentives/benefits to select dealers/ customers who have achieved specified targets. Further, it has also been clarified that the expenditure incurred on participants of dealer/ business conference for days which are prior stay or overstay beyond the dates of such conference would be considered as perquisite or benefit for Section 194R purpose.</w:t>
      </w:r>
    </w:p>
    <w:p w:rsidR="00D76B0E" w:rsidRPr="00D76B0E" w:rsidRDefault="00D76B0E" w:rsidP="00D76B0E">
      <w:pPr>
        <w:pStyle w:val="ListParagraph"/>
        <w:autoSpaceDE w:val="0"/>
        <w:autoSpaceDN w:val="0"/>
        <w:adjustRightInd w:val="0"/>
        <w:spacing w:before="120" w:after="240" w:line="240" w:lineRule="auto"/>
        <w:contextualSpacing w:val="0"/>
        <w:jc w:val="both"/>
        <w:rPr>
          <w:rFonts w:ascii="Arial" w:hAnsi="Arial" w:cs="Arial"/>
          <w:sz w:val="24"/>
        </w:rPr>
      </w:pPr>
      <w:r w:rsidRPr="00D76B0E">
        <w:rPr>
          <w:rFonts w:ascii="Arial" w:hAnsi="Arial" w:cs="Arial"/>
          <w:sz w:val="24"/>
        </w:rPr>
        <w:t>In this regard, we wish to highlight few practical challenges:</w:t>
      </w:r>
    </w:p>
    <w:p w:rsidR="00D76B0E" w:rsidRPr="00D76B0E" w:rsidRDefault="00D76B0E" w:rsidP="00D76B0E">
      <w:pPr>
        <w:pStyle w:val="ListParagraph"/>
        <w:numPr>
          <w:ilvl w:val="0"/>
          <w:numId w:val="11"/>
        </w:numPr>
        <w:autoSpaceDE w:val="0"/>
        <w:autoSpaceDN w:val="0"/>
        <w:adjustRightInd w:val="0"/>
        <w:spacing w:before="120" w:after="240" w:line="240" w:lineRule="auto"/>
        <w:contextualSpacing w:val="0"/>
        <w:jc w:val="both"/>
        <w:rPr>
          <w:rFonts w:ascii="Arial" w:hAnsi="Arial" w:cs="Arial"/>
          <w:sz w:val="24"/>
        </w:rPr>
      </w:pPr>
      <w:r w:rsidRPr="00D76B0E">
        <w:rPr>
          <w:rFonts w:ascii="Arial" w:hAnsi="Arial" w:cs="Arial"/>
          <w:sz w:val="24"/>
        </w:rPr>
        <w:t xml:space="preserve">There is a possibility that the manufacturer may arrange for a dealer/ customer conference for targeted set of dealers for its top performing </w:t>
      </w:r>
      <w:r w:rsidRPr="00D76B0E">
        <w:rPr>
          <w:rFonts w:ascii="Arial" w:hAnsi="Arial" w:cs="Arial"/>
          <w:sz w:val="24"/>
        </w:rPr>
        <w:lastRenderedPageBreak/>
        <w:t>dealers, or due to budget or accommodation constraints etc. The clarification suggests that if select dealers are invited instead of all dealers then 194R will apply even on a non-leisure component</w:t>
      </w:r>
    </w:p>
    <w:p w:rsidR="00D76B0E" w:rsidRPr="00D76B0E" w:rsidRDefault="00D76B0E" w:rsidP="00D76B0E">
      <w:pPr>
        <w:pStyle w:val="ListParagraph"/>
        <w:numPr>
          <w:ilvl w:val="0"/>
          <w:numId w:val="11"/>
        </w:numPr>
        <w:autoSpaceDE w:val="0"/>
        <w:autoSpaceDN w:val="0"/>
        <w:adjustRightInd w:val="0"/>
        <w:spacing w:before="120" w:after="240" w:line="240" w:lineRule="auto"/>
        <w:contextualSpacing w:val="0"/>
        <w:jc w:val="both"/>
        <w:rPr>
          <w:rFonts w:ascii="Arial" w:hAnsi="Arial" w:cs="Arial"/>
          <w:sz w:val="24"/>
        </w:rPr>
      </w:pPr>
      <w:r w:rsidRPr="00D76B0E">
        <w:rPr>
          <w:rFonts w:ascii="Arial" w:hAnsi="Arial" w:cs="Arial"/>
          <w:sz w:val="24"/>
        </w:rPr>
        <w:t>Further, it is also possible that the participants may reach a particular venue a day prior to the conference as a matter of convenience, owing to personal context/ health, or airline/ train schedules, dynamic travel fares, etc. and also may stay back a day extra for the same reasons</w:t>
      </w:r>
    </w:p>
    <w:p w:rsidR="00D76B0E" w:rsidRPr="00D76B0E" w:rsidRDefault="00D76B0E" w:rsidP="00D76B0E">
      <w:pPr>
        <w:pStyle w:val="ListParagraph"/>
        <w:numPr>
          <w:ilvl w:val="0"/>
          <w:numId w:val="11"/>
        </w:numPr>
        <w:autoSpaceDE w:val="0"/>
        <w:autoSpaceDN w:val="0"/>
        <w:adjustRightInd w:val="0"/>
        <w:spacing w:before="120" w:after="240" w:line="240" w:lineRule="auto"/>
        <w:contextualSpacing w:val="0"/>
        <w:jc w:val="both"/>
        <w:rPr>
          <w:rFonts w:ascii="Arial" w:hAnsi="Arial" w:cs="Arial"/>
          <w:sz w:val="24"/>
        </w:rPr>
      </w:pPr>
      <w:r w:rsidRPr="00D76B0E">
        <w:rPr>
          <w:rFonts w:ascii="Arial" w:hAnsi="Arial" w:cs="Arial"/>
          <w:sz w:val="24"/>
        </w:rPr>
        <w:t>Also, as a part of collaborating activities and knowing the customer better, there may be team building activities or interactive activities undertaken that may involve general hospitality and entertainment</w:t>
      </w:r>
    </w:p>
    <w:p w:rsidR="00D76B0E" w:rsidRPr="00D76B0E" w:rsidRDefault="00D76B0E" w:rsidP="00D76B0E">
      <w:pPr>
        <w:pStyle w:val="ListParagraph"/>
        <w:numPr>
          <w:ilvl w:val="0"/>
          <w:numId w:val="11"/>
        </w:numPr>
        <w:autoSpaceDE w:val="0"/>
        <w:autoSpaceDN w:val="0"/>
        <w:adjustRightInd w:val="0"/>
        <w:spacing w:before="120" w:after="240" w:line="240" w:lineRule="auto"/>
        <w:contextualSpacing w:val="0"/>
        <w:jc w:val="both"/>
        <w:rPr>
          <w:rFonts w:ascii="Arial" w:hAnsi="Arial" w:cs="Arial"/>
          <w:sz w:val="24"/>
        </w:rPr>
      </w:pPr>
      <w:r w:rsidRPr="00D76B0E">
        <w:rPr>
          <w:rFonts w:ascii="Arial" w:hAnsi="Arial" w:cs="Arial"/>
          <w:sz w:val="24"/>
        </w:rPr>
        <w:t>Leisure is a very subjective concept, e.g., a five-star hotel for a CEO of the organisation may be a basic lifestyle requirement</w:t>
      </w:r>
    </w:p>
    <w:p w:rsidR="00D76B0E" w:rsidRPr="00D76B0E" w:rsidRDefault="00D76B0E" w:rsidP="00D76B0E">
      <w:pPr>
        <w:pStyle w:val="ListParagraph"/>
        <w:spacing w:before="120" w:after="240" w:line="240" w:lineRule="auto"/>
        <w:contextualSpacing w:val="0"/>
        <w:jc w:val="both"/>
        <w:rPr>
          <w:rFonts w:ascii="Arial" w:hAnsi="Arial" w:cs="Arial"/>
          <w:b/>
          <w:bCs/>
          <w:color w:val="00001E"/>
          <w:sz w:val="24"/>
          <w:szCs w:val="24"/>
        </w:rPr>
      </w:pPr>
      <w:r w:rsidRPr="00D76B0E">
        <w:rPr>
          <w:rFonts w:ascii="Arial" w:hAnsi="Arial" w:cs="Arial"/>
          <w:sz w:val="24"/>
        </w:rPr>
        <w:t xml:space="preserve">It is recommended to reconsider the above and clarify the position on the conditions stated in FAQ 8  as these are due to practical and genuine reasons and do not necessarily entail a benefit/ leisure for the recipient. It may be considered to clarify that the spends, </w:t>
      </w:r>
      <w:proofErr w:type="spellStart"/>
      <w:r w:rsidRPr="00D76B0E">
        <w:rPr>
          <w:rFonts w:ascii="Arial" w:hAnsi="Arial" w:cs="Arial"/>
          <w:sz w:val="24"/>
        </w:rPr>
        <w:t>upto</w:t>
      </w:r>
      <w:proofErr w:type="spellEnd"/>
      <w:r w:rsidRPr="00D76B0E">
        <w:rPr>
          <w:rFonts w:ascii="Arial" w:hAnsi="Arial" w:cs="Arial"/>
          <w:sz w:val="24"/>
        </w:rPr>
        <w:t xml:space="preserve"> a prescribed threshold or as a % of turnover, incurred by a taxpayer in any given financial year, for such business/dealer conferences may not be covered under the ambit of Section 194R.</w:t>
      </w:r>
    </w:p>
    <w:sectPr w:rsidR="00D76B0E" w:rsidRPr="00D76B0E" w:rsidSect="00D509D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FE0" w:rsidRDefault="008D6FE0" w:rsidP="009441FF">
      <w:pPr>
        <w:spacing w:after="0" w:line="240" w:lineRule="auto"/>
      </w:pPr>
      <w:r>
        <w:separator/>
      </w:r>
    </w:p>
  </w:endnote>
  <w:endnote w:type="continuationSeparator" w:id="0">
    <w:p w:rsidR="008D6FE0" w:rsidRDefault="008D6FE0" w:rsidP="00944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YInterstate">
    <w:altName w:val="Corbel"/>
    <w:charset w:val="00"/>
    <w:family w:val="auto"/>
    <w:pitch w:val="variable"/>
    <w:sig w:usb0="00000001" w:usb1="5000204A"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EYInterstate" w:hAnsi="EYInterstate"/>
      </w:rPr>
      <w:id w:val="2147388646"/>
      <w:docPartObj>
        <w:docPartGallery w:val="Page Numbers (Bottom of Page)"/>
        <w:docPartUnique/>
      </w:docPartObj>
    </w:sdtPr>
    <w:sdtContent>
      <w:sdt>
        <w:sdtPr>
          <w:rPr>
            <w:rFonts w:ascii="EYInterstate" w:hAnsi="EYInterstate"/>
          </w:rPr>
          <w:id w:val="-1769616900"/>
          <w:docPartObj>
            <w:docPartGallery w:val="Page Numbers (Top of Page)"/>
            <w:docPartUnique/>
          </w:docPartObj>
        </w:sdtPr>
        <w:sdtContent>
          <w:p w:rsidR="0072327C" w:rsidRPr="0072327C" w:rsidRDefault="0072327C">
            <w:pPr>
              <w:pStyle w:val="Footer"/>
              <w:jc w:val="right"/>
              <w:rPr>
                <w:rFonts w:ascii="EYInterstate" w:hAnsi="EYInterstate"/>
              </w:rPr>
            </w:pPr>
            <w:r w:rsidRPr="0072327C">
              <w:rPr>
                <w:rFonts w:ascii="EYInterstate" w:hAnsi="EYInterstate"/>
              </w:rPr>
              <w:t xml:space="preserve">Page </w:t>
            </w:r>
            <w:r w:rsidR="00F37D0D" w:rsidRPr="0072327C">
              <w:rPr>
                <w:rFonts w:ascii="EYInterstate" w:hAnsi="EYInterstate"/>
                <w:b/>
                <w:bCs/>
              </w:rPr>
              <w:fldChar w:fldCharType="begin"/>
            </w:r>
            <w:r w:rsidRPr="0072327C">
              <w:rPr>
                <w:rFonts w:ascii="EYInterstate" w:hAnsi="EYInterstate"/>
                <w:b/>
                <w:bCs/>
              </w:rPr>
              <w:instrText xml:space="preserve"> PAGE </w:instrText>
            </w:r>
            <w:r w:rsidR="00F37D0D" w:rsidRPr="0072327C">
              <w:rPr>
                <w:rFonts w:ascii="EYInterstate" w:hAnsi="EYInterstate"/>
                <w:b/>
                <w:bCs/>
              </w:rPr>
              <w:fldChar w:fldCharType="separate"/>
            </w:r>
            <w:r w:rsidR="009D5F42">
              <w:rPr>
                <w:rFonts w:ascii="EYInterstate" w:hAnsi="EYInterstate"/>
                <w:b/>
                <w:bCs/>
                <w:noProof/>
              </w:rPr>
              <w:t>14</w:t>
            </w:r>
            <w:r w:rsidR="00F37D0D" w:rsidRPr="0072327C">
              <w:rPr>
                <w:rFonts w:ascii="EYInterstate" w:hAnsi="EYInterstate"/>
                <w:b/>
                <w:bCs/>
              </w:rPr>
              <w:fldChar w:fldCharType="end"/>
            </w:r>
            <w:r w:rsidRPr="0072327C">
              <w:rPr>
                <w:rFonts w:ascii="EYInterstate" w:hAnsi="EYInterstate"/>
              </w:rPr>
              <w:t xml:space="preserve"> of </w:t>
            </w:r>
            <w:r w:rsidR="00F37D0D" w:rsidRPr="0072327C">
              <w:rPr>
                <w:rFonts w:ascii="EYInterstate" w:hAnsi="EYInterstate"/>
                <w:b/>
                <w:bCs/>
              </w:rPr>
              <w:fldChar w:fldCharType="begin"/>
            </w:r>
            <w:r w:rsidRPr="0072327C">
              <w:rPr>
                <w:rFonts w:ascii="EYInterstate" w:hAnsi="EYInterstate"/>
                <w:b/>
                <w:bCs/>
              </w:rPr>
              <w:instrText xml:space="preserve"> NUMPAGES  </w:instrText>
            </w:r>
            <w:r w:rsidR="00F37D0D" w:rsidRPr="0072327C">
              <w:rPr>
                <w:rFonts w:ascii="EYInterstate" w:hAnsi="EYInterstate"/>
                <w:b/>
                <w:bCs/>
              </w:rPr>
              <w:fldChar w:fldCharType="separate"/>
            </w:r>
            <w:r w:rsidR="009D5F42">
              <w:rPr>
                <w:rFonts w:ascii="EYInterstate" w:hAnsi="EYInterstate"/>
                <w:b/>
                <w:bCs/>
                <w:noProof/>
              </w:rPr>
              <w:t>14</w:t>
            </w:r>
            <w:r w:rsidR="00F37D0D" w:rsidRPr="0072327C">
              <w:rPr>
                <w:rFonts w:ascii="EYInterstate" w:hAnsi="EYInterstate"/>
                <w:b/>
                <w:bCs/>
              </w:rPr>
              <w:fldChar w:fldCharType="end"/>
            </w:r>
          </w:p>
        </w:sdtContent>
      </w:sdt>
    </w:sdtContent>
  </w:sdt>
  <w:p w:rsidR="0072327C" w:rsidRPr="0072327C" w:rsidRDefault="0072327C">
    <w:pPr>
      <w:pStyle w:val="Footer"/>
      <w:rPr>
        <w:rFonts w:ascii="EYInterstate" w:hAnsi="EYInterstat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FE0" w:rsidRDefault="008D6FE0" w:rsidP="009441FF">
      <w:pPr>
        <w:spacing w:after="0" w:line="240" w:lineRule="auto"/>
      </w:pPr>
      <w:r>
        <w:separator/>
      </w:r>
    </w:p>
  </w:footnote>
  <w:footnote w:type="continuationSeparator" w:id="0">
    <w:p w:rsidR="008D6FE0" w:rsidRDefault="008D6FE0" w:rsidP="009441FF">
      <w:pPr>
        <w:spacing w:after="0" w:line="240" w:lineRule="auto"/>
      </w:pPr>
      <w:r>
        <w:continuationSeparator/>
      </w:r>
    </w:p>
  </w:footnote>
  <w:footnote w:id="1">
    <w:p w:rsidR="00A632AA" w:rsidRPr="00E22364" w:rsidRDefault="00A632AA" w:rsidP="00A632AA">
      <w:pPr>
        <w:pStyle w:val="FootnoteText"/>
        <w:rPr>
          <w:rFonts w:ascii="EYInterstate" w:hAnsi="EYInterstate"/>
        </w:rPr>
      </w:pPr>
      <w:r w:rsidRPr="00E22364">
        <w:rPr>
          <w:rStyle w:val="FootnoteReference"/>
          <w:rFonts w:ascii="EYInterstate" w:hAnsi="EYInterstate"/>
        </w:rPr>
        <w:footnoteRef/>
      </w:r>
      <w:r w:rsidRPr="00E22364">
        <w:rPr>
          <w:rFonts w:ascii="EYInterstate" w:hAnsi="EYInterstate"/>
        </w:rPr>
        <w:t xml:space="preserve"> Ministry of Statistics and Programme Implementation (MOSPI)</w:t>
      </w:r>
    </w:p>
  </w:footnote>
  <w:footnote w:id="2">
    <w:p w:rsidR="00A632AA" w:rsidRPr="00E22364" w:rsidRDefault="00A632AA" w:rsidP="00A632AA">
      <w:pPr>
        <w:pStyle w:val="FootnoteText"/>
        <w:rPr>
          <w:rFonts w:ascii="EYInterstate" w:hAnsi="EYInterstate"/>
        </w:rPr>
      </w:pPr>
      <w:r w:rsidRPr="00E22364">
        <w:rPr>
          <w:rStyle w:val="FootnoteReference"/>
          <w:rFonts w:ascii="EYInterstate" w:hAnsi="EYInterstate"/>
        </w:rPr>
        <w:footnoteRef/>
      </w:r>
      <w:r w:rsidRPr="00E22364">
        <w:rPr>
          <w:rFonts w:ascii="EYInterstate" w:eastAsia="Times New Roman" w:hAnsi="EYInterstate"/>
          <w:szCs w:val="22"/>
          <w:lang w:val="en-US"/>
        </w:rPr>
        <w:t>Finance, Banking, Insurance, Non-Fin / Business, Outsourcing, R&amp;D, Courier, Tech. Testing and Analysis, Other</w:t>
      </w:r>
    </w:p>
  </w:footnote>
  <w:footnote w:id="3">
    <w:p w:rsidR="00A632AA" w:rsidRPr="00E22364" w:rsidRDefault="00A632AA" w:rsidP="00A632AA">
      <w:pPr>
        <w:pStyle w:val="FootnoteText"/>
        <w:rPr>
          <w:rFonts w:ascii="EYInterstate" w:hAnsi="EYInterstate"/>
        </w:rPr>
      </w:pPr>
      <w:r w:rsidRPr="00E22364">
        <w:rPr>
          <w:rStyle w:val="FootnoteReference"/>
          <w:rFonts w:ascii="EYInterstate" w:hAnsi="EYInterstate"/>
        </w:rPr>
        <w:footnoteRef/>
      </w:r>
      <w:r w:rsidRPr="00E22364">
        <w:rPr>
          <w:rFonts w:ascii="EYInterstate" w:hAnsi="EYInterstate"/>
        </w:rPr>
        <w:t xml:space="preserve"> Ministry of Commerce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27C" w:rsidRPr="001B6761" w:rsidRDefault="001B6761" w:rsidP="001B6761">
    <w:pPr>
      <w:pStyle w:val="Header"/>
      <w:ind w:right="-718"/>
      <w:rPr>
        <w:b/>
        <w:bCs/>
        <w:sz w:val="18"/>
        <w:szCs w:val="18"/>
      </w:rPr>
    </w:pPr>
    <w:r w:rsidRPr="001B6761">
      <w:rPr>
        <w:noProof/>
        <w:lang w:val="en-US"/>
      </w:rPr>
      <w:drawing>
        <wp:inline distT="0" distB="0" distL="0" distR="0">
          <wp:extent cx="58102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90525"/>
                  </a:xfrm>
                  <a:prstGeom prst="rect">
                    <a:avLst/>
                  </a:prstGeom>
                  <a:solidFill>
                    <a:srgbClr val="FFFFFF"/>
                  </a:solidFill>
                  <a:ln w="9525">
                    <a:noFill/>
                    <a:miter lim="800000"/>
                    <a:headEnd/>
                    <a:tailEnd/>
                  </a:ln>
                </pic:spPr>
              </pic:pic>
            </a:graphicData>
          </a:graphic>
        </wp:inline>
      </w:drawing>
    </w:r>
    <w:r w:rsidRPr="001B6761">
      <w:rPr>
        <w:rFonts w:cstheme="minorHAnsi"/>
        <w:sz w:val="18"/>
        <w:szCs w:val="18"/>
      </w:rPr>
      <w:t xml:space="preserve"> </w:t>
    </w:r>
    <w:r>
      <w:rPr>
        <w:rFonts w:cstheme="minorHAnsi"/>
        <w:sz w:val="18"/>
        <w:szCs w:val="18"/>
      </w:rPr>
      <w:tab/>
    </w:r>
    <w:r>
      <w:rPr>
        <w:rFonts w:cstheme="minorHAnsi"/>
        <w:sz w:val="18"/>
        <w:szCs w:val="18"/>
      </w:rPr>
      <w:tab/>
      <w:t xml:space="preserve">  </w:t>
    </w:r>
    <w:r w:rsidRPr="00017648">
      <w:rPr>
        <w:rFonts w:cstheme="minorHAnsi"/>
        <w:sz w:val="18"/>
        <w:szCs w:val="18"/>
      </w:rPr>
      <w:t>Bombay Chamber of Commerce and Industry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2289"/>
    <w:multiLevelType w:val="hybridMultilevel"/>
    <w:tmpl w:val="179AD582"/>
    <w:lvl w:ilvl="0" w:tplc="678A903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4E1C2E"/>
    <w:multiLevelType w:val="hybridMultilevel"/>
    <w:tmpl w:val="A8C40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8C4B02"/>
    <w:multiLevelType w:val="hybridMultilevel"/>
    <w:tmpl w:val="A8C40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C67F9B"/>
    <w:multiLevelType w:val="hybridMultilevel"/>
    <w:tmpl w:val="A6F480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60362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B6310FE"/>
    <w:multiLevelType w:val="hybridMultilevel"/>
    <w:tmpl w:val="022EDA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02D0FC6"/>
    <w:multiLevelType w:val="hybridMultilevel"/>
    <w:tmpl w:val="A8C40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5FE1526"/>
    <w:multiLevelType w:val="hybridMultilevel"/>
    <w:tmpl w:val="28D00290"/>
    <w:lvl w:ilvl="0" w:tplc="E78C893C">
      <w:start w:val="1"/>
      <w:numFmt w:val="bullet"/>
      <w:lvlText w:val="►"/>
      <w:lvlJc w:val="left"/>
      <w:pPr>
        <w:ind w:left="1287" w:hanging="360"/>
      </w:pPr>
      <w:rPr>
        <w:rFonts w:ascii="Arial" w:hAnsi="Arial" w:hint="default"/>
        <w:color w:val="FFD200"/>
        <w:sz w:val="16"/>
      </w:rPr>
    </w:lvl>
    <w:lvl w:ilvl="1" w:tplc="40090003">
      <w:start w:val="1"/>
      <w:numFmt w:val="bullet"/>
      <w:lvlText w:val="o"/>
      <w:lvlJc w:val="left"/>
      <w:pPr>
        <w:ind w:left="2007" w:hanging="360"/>
      </w:pPr>
      <w:rPr>
        <w:rFonts w:ascii="Courier New" w:hAnsi="Courier New" w:cs="Courier New" w:hint="default"/>
      </w:rPr>
    </w:lvl>
    <w:lvl w:ilvl="2" w:tplc="40090005">
      <w:start w:val="1"/>
      <w:numFmt w:val="bullet"/>
      <w:lvlText w:val=""/>
      <w:lvlJc w:val="left"/>
      <w:pPr>
        <w:ind w:left="2727" w:hanging="360"/>
      </w:pPr>
      <w:rPr>
        <w:rFonts w:ascii="Wingdings" w:hAnsi="Wingdings" w:hint="default"/>
      </w:rPr>
    </w:lvl>
    <w:lvl w:ilvl="3" w:tplc="4009000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nsid w:val="66673925"/>
    <w:multiLevelType w:val="hybridMultilevel"/>
    <w:tmpl w:val="A8C40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91C26E1"/>
    <w:multiLevelType w:val="hybridMultilevel"/>
    <w:tmpl w:val="9A5E73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717E2BF8"/>
    <w:multiLevelType w:val="hybridMultilevel"/>
    <w:tmpl w:val="253E19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6"/>
  </w:num>
  <w:num w:numId="6">
    <w:abstractNumId w:val="1"/>
  </w:num>
  <w:num w:numId="7">
    <w:abstractNumId w:val="8"/>
  </w:num>
  <w:num w:numId="8">
    <w:abstractNumId w:val="2"/>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9441FF"/>
    <w:rsid w:val="000024BE"/>
    <w:rsid w:val="0000592A"/>
    <w:rsid w:val="00011F0B"/>
    <w:rsid w:val="00012997"/>
    <w:rsid w:val="00016404"/>
    <w:rsid w:val="00024305"/>
    <w:rsid w:val="000268D3"/>
    <w:rsid w:val="00035E4C"/>
    <w:rsid w:val="00041869"/>
    <w:rsid w:val="00054855"/>
    <w:rsid w:val="00075857"/>
    <w:rsid w:val="00077FED"/>
    <w:rsid w:val="00080AD0"/>
    <w:rsid w:val="00091AA5"/>
    <w:rsid w:val="000A4EA0"/>
    <w:rsid w:val="000C0224"/>
    <w:rsid w:val="000D525A"/>
    <w:rsid w:val="000F00A2"/>
    <w:rsid w:val="000F0C46"/>
    <w:rsid w:val="000F5473"/>
    <w:rsid w:val="0011442A"/>
    <w:rsid w:val="00122904"/>
    <w:rsid w:val="00125EDC"/>
    <w:rsid w:val="00141483"/>
    <w:rsid w:val="00144390"/>
    <w:rsid w:val="00147877"/>
    <w:rsid w:val="0015246C"/>
    <w:rsid w:val="0015650A"/>
    <w:rsid w:val="001B038A"/>
    <w:rsid w:val="001B6761"/>
    <w:rsid w:val="001D06FF"/>
    <w:rsid w:val="001D3F45"/>
    <w:rsid w:val="001D446B"/>
    <w:rsid w:val="001E6382"/>
    <w:rsid w:val="001F5867"/>
    <w:rsid w:val="001F7A92"/>
    <w:rsid w:val="00210282"/>
    <w:rsid w:val="00240A18"/>
    <w:rsid w:val="00260BBD"/>
    <w:rsid w:val="00277204"/>
    <w:rsid w:val="002A0DDE"/>
    <w:rsid w:val="002C6BF0"/>
    <w:rsid w:val="002D171F"/>
    <w:rsid w:val="002D3804"/>
    <w:rsid w:val="002D4B79"/>
    <w:rsid w:val="002F2BC9"/>
    <w:rsid w:val="002F40BE"/>
    <w:rsid w:val="002F5AD0"/>
    <w:rsid w:val="00302BE5"/>
    <w:rsid w:val="00311AA8"/>
    <w:rsid w:val="00317333"/>
    <w:rsid w:val="0032172A"/>
    <w:rsid w:val="00333206"/>
    <w:rsid w:val="00343894"/>
    <w:rsid w:val="00354971"/>
    <w:rsid w:val="0037260D"/>
    <w:rsid w:val="003739F2"/>
    <w:rsid w:val="00381EC4"/>
    <w:rsid w:val="00395624"/>
    <w:rsid w:val="00395F33"/>
    <w:rsid w:val="003E2C9C"/>
    <w:rsid w:val="003E3F73"/>
    <w:rsid w:val="003E75D9"/>
    <w:rsid w:val="004166C7"/>
    <w:rsid w:val="004301C1"/>
    <w:rsid w:val="00431EF1"/>
    <w:rsid w:val="004446E2"/>
    <w:rsid w:val="0047469A"/>
    <w:rsid w:val="00474E69"/>
    <w:rsid w:val="00492124"/>
    <w:rsid w:val="004A3F40"/>
    <w:rsid w:val="004E0A73"/>
    <w:rsid w:val="004E2172"/>
    <w:rsid w:val="0051408B"/>
    <w:rsid w:val="005439C8"/>
    <w:rsid w:val="0054421C"/>
    <w:rsid w:val="00546340"/>
    <w:rsid w:val="0055127A"/>
    <w:rsid w:val="005518CF"/>
    <w:rsid w:val="0056584B"/>
    <w:rsid w:val="005700B9"/>
    <w:rsid w:val="005731D8"/>
    <w:rsid w:val="005859DF"/>
    <w:rsid w:val="00590D60"/>
    <w:rsid w:val="00592555"/>
    <w:rsid w:val="005C48F2"/>
    <w:rsid w:val="005C5144"/>
    <w:rsid w:val="005D4714"/>
    <w:rsid w:val="005E5361"/>
    <w:rsid w:val="00602D47"/>
    <w:rsid w:val="006031BE"/>
    <w:rsid w:val="006133E4"/>
    <w:rsid w:val="00617A1A"/>
    <w:rsid w:val="00634517"/>
    <w:rsid w:val="0063657A"/>
    <w:rsid w:val="0064147F"/>
    <w:rsid w:val="00657904"/>
    <w:rsid w:val="00665D1D"/>
    <w:rsid w:val="00680038"/>
    <w:rsid w:val="00680399"/>
    <w:rsid w:val="00680EDE"/>
    <w:rsid w:val="006A72ED"/>
    <w:rsid w:val="006D6E1B"/>
    <w:rsid w:val="006E0706"/>
    <w:rsid w:val="006F11EF"/>
    <w:rsid w:val="006F3F79"/>
    <w:rsid w:val="00703469"/>
    <w:rsid w:val="00714847"/>
    <w:rsid w:val="0072327C"/>
    <w:rsid w:val="00727A8B"/>
    <w:rsid w:val="0073036B"/>
    <w:rsid w:val="007315C5"/>
    <w:rsid w:val="007325F5"/>
    <w:rsid w:val="0073579A"/>
    <w:rsid w:val="007449AF"/>
    <w:rsid w:val="007723D0"/>
    <w:rsid w:val="0079544C"/>
    <w:rsid w:val="007955AF"/>
    <w:rsid w:val="007A6610"/>
    <w:rsid w:val="007B303C"/>
    <w:rsid w:val="007B783D"/>
    <w:rsid w:val="007C7BE3"/>
    <w:rsid w:val="007F7069"/>
    <w:rsid w:val="007F74D4"/>
    <w:rsid w:val="008004ED"/>
    <w:rsid w:val="00842978"/>
    <w:rsid w:val="008434B9"/>
    <w:rsid w:val="00846A12"/>
    <w:rsid w:val="00854AB1"/>
    <w:rsid w:val="008615AA"/>
    <w:rsid w:val="00867117"/>
    <w:rsid w:val="00873EC9"/>
    <w:rsid w:val="00877660"/>
    <w:rsid w:val="00885FD3"/>
    <w:rsid w:val="008964B6"/>
    <w:rsid w:val="008A1F7C"/>
    <w:rsid w:val="008C249D"/>
    <w:rsid w:val="008D2DCC"/>
    <w:rsid w:val="008D6FE0"/>
    <w:rsid w:val="008E555B"/>
    <w:rsid w:val="008F2287"/>
    <w:rsid w:val="008F2449"/>
    <w:rsid w:val="008F47DE"/>
    <w:rsid w:val="00915481"/>
    <w:rsid w:val="0091758C"/>
    <w:rsid w:val="00932F47"/>
    <w:rsid w:val="00934856"/>
    <w:rsid w:val="00937AF2"/>
    <w:rsid w:val="009441FF"/>
    <w:rsid w:val="00946E4E"/>
    <w:rsid w:val="009513E8"/>
    <w:rsid w:val="00954B3B"/>
    <w:rsid w:val="00964A66"/>
    <w:rsid w:val="00991378"/>
    <w:rsid w:val="00993FC6"/>
    <w:rsid w:val="009A1FB2"/>
    <w:rsid w:val="009A74D1"/>
    <w:rsid w:val="009B4E31"/>
    <w:rsid w:val="009D5D06"/>
    <w:rsid w:val="009D5F42"/>
    <w:rsid w:val="009E5D47"/>
    <w:rsid w:val="00A1281D"/>
    <w:rsid w:val="00A20DCD"/>
    <w:rsid w:val="00A266B8"/>
    <w:rsid w:val="00A275A1"/>
    <w:rsid w:val="00A30F3B"/>
    <w:rsid w:val="00A425A9"/>
    <w:rsid w:val="00A456BE"/>
    <w:rsid w:val="00A632AA"/>
    <w:rsid w:val="00A643DE"/>
    <w:rsid w:val="00A765A4"/>
    <w:rsid w:val="00A832FA"/>
    <w:rsid w:val="00A8574C"/>
    <w:rsid w:val="00AA10FB"/>
    <w:rsid w:val="00AA184C"/>
    <w:rsid w:val="00AA69FE"/>
    <w:rsid w:val="00AB0890"/>
    <w:rsid w:val="00AC1993"/>
    <w:rsid w:val="00AC448D"/>
    <w:rsid w:val="00AD6286"/>
    <w:rsid w:val="00AE0062"/>
    <w:rsid w:val="00AE7016"/>
    <w:rsid w:val="00B02615"/>
    <w:rsid w:val="00B049FA"/>
    <w:rsid w:val="00B05B7B"/>
    <w:rsid w:val="00B119E1"/>
    <w:rsid w:val="00B1578C"/>
    <w:rsid w:val="00B21C85"/>
    <w:rsid w:val="00B234D1"/>
    <w:rsid w:val="00B30576"/>
    <w:rsid w:val="00B32D1D"/>
    <w:rsid w:val="00B43B1F"/>
    <w:rsid w:val="00B54B98"/>
    <w:rsid w:val="00B777FE"/>
    <w:rsid w:val="00B93BB9"/>
    <w:rsid w:val="00BB3499"/>
    <w:rsid w:val="00BB4EB2"/>
    <w:rsid w:val="00BB5244"/>
    <w:rsid w:val="00BC4327"/>
    <w:rsid w:val="00BD412E"/>
    <w:rsid w:val="00C10762"/>
    <w:rsid w:val="00C21257"/>
    <w:rsid w:val="00C22D37"/>
    <w:rsid w:val="00C27C3A"/>
    <w:rsid w:val="00C31BB1"/>
    <w:rsid w:val="00C409A0"/>
    <w:rsid w:val="00C6523E"/>
    <w:rsid w:val="00C66DB2"/>
    <w:rsid w:val="00C736E1"/>
    <w:rsid w:val="00C9159B"/>
    <w:rsid w:val="00C91BFA"/>
    <w:rsid w:val="00C940C4"/>
    <w:rsid w:val="00C95286"/>
    <w:rsid w:val="00CA79B0"/>
    <w:rsid w:val="00CB42E8"/>
    <w:rsid w:val="00CB4C80"/>
    <w:rsid w:val="00CC1B61"/>
    <w:rsid w:val="00CD55E2"/>
    <w:rsid w:val="00CE584A"/>
    <w:rsid w:val="00CF14EA"/>
    <w:rsid w:val="00CF2C63"/>
    <w:rsid w:val="00D1751E"/>
    <w:rsid w:val="00D22F71"/>
    <w:rsid w:val="00D263B6"/>
    <w:rsid w:val="00D26892"/>
    <w:rsid w:val="00D30D0A"/>
    <w:rsid w:val="00D319A1"/>
    <w:rsid w:val="00D33D2F"/>
    <w:rsid w:val="00D43BAC"/>
    <w:rsid w:val="00D509D0"/>
    <w:rsid w:val="00D514E5"/>
    <w:rsid w:val="00D62D55"/>
    <w:rsid w:val="00D76B0E"/>
    <w:rsid w:val="00DB109B"/>
    <w:rsid w:val="00DC5233"/>
    <w:rsid w:val="00DC5966"/>
    <w:rsid w:val="00DD33CA"/>
    <w:rsid w:val="00E01D88"/>
    <w:rsid w:val="00E1230B"/>
    <w:rsid w:val="00E20794"/>
    <w:rsid w:val="00E20E6F"/>
    <w:rsid w:val="00E22364"/>
    <w:rsid w:val="00E303D4"/>
    <w:rsid w:val="00E33A14"/>
    <w:rsid w:val="00E476C9"/>
    <w:rsid w:val="00E5613D"/>
    <w:rsid w:val="00E60BBA"/>
    <w:rsid w:val="00E70447"/>
    <w:rsid w:val="00E752D0"/>
    <w:rsid w:val="00E75810"/>
    <w:rsid w:val="00E8645A"/>
    <w:rsid w:val="00E917A7"/>
    <w:rsid w:val="00EA68C5"/>
    <w:rsid w:val="00EC6CCB"/>
    <w:rsid w:val="00ED17E2"/>
    <w:rsid w:val="00ED61A7"/>
    <w:rsid w:val="00EE19EF"/>
    <w:rsid w:val="00EE4C22"/>
    <w:rsid w:val="00F0203E"/>
    <w:rsid w:val="00F03D9C"/>
    <w:rsid w:val="00F04CC4"/>
    <w:rsid w:val="00F126A8"/>
    <w:rsid w:val="00F15CDA"/>
    <w:rsid w:val="00F239CD"/>
    <w:rsid w:val="00F239F0"/>
    <w:rsid w:val="00F301AA"/>
    <w:rsid w:val="00F35741"/>
    <w:rsid w:val="00F37D0D"/>
    <w:rsid w:val="00F41AD1"/>
    <w:rsid w:val="00F44592"/>
    <w:rsid w:val="00F5677B"/>
    <w:rsid w:val="00F7042B"/>
    <w:rsid w:val="00F727C2"/>
    <w:rsid w:val="00F74F6D"/>
    <w:rsid w:val="00F81D45"/>
    <w:rsid w:val="00FA12AD"/>
    <w:rsid w:val="00FA42F8"/>
    <w:rsid w:val="00FB013D"/>
    <w:rsid w:val="00FB35F9"/>
    <w:rsid w:val="00FC78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Straight Arrow Connector 14"/>
        <o:r id="V:Rule5" type="connector" idref="#Straight Arrow Connector 16"/>
        <o:r id="V:Rule6" type="connector" idref="#Straight Arrow Connector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D0"/>
  </w:style>
  <w:style w:type="paragraph" w:styleId="Heading2">
    <w:name w:val="heading 2"/>
    <w:basedOn w:val="Normal"/>
    <w:next w:val="Normal"/>
    <w:link w:val="Heading2Char"/>
    <w:uiPriority w:val="9"/>
    <w:unhideWhenUsed/>
    <w:qFormat/>
    <w:rsid w:val="009441FF"/>
    <w:pPr>
      <w:keepNext/>
      <w:keepLines/>
      <w:spacing w:before="40" w:after="0"/>
      <w:outlineLvl w:val="1"/>
    </w:pPr>
    <w:rPr>
      <w:rFonts w:asciiTheme="majorHAnsi" w:eastAsiaTheme="majorEastAsia" w:hAnsiTheme="majorHAnsi" w:cstheme="majorBidi"/>
      <w:color w:val="2F5496" w:themeColor="accent1" w:themeShade="BF"/>
      <w:sz w:val="26"/>
      <w:szCs w:val="23"/>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41FF"/>
    <w:rPr>
      <w:rFonts w:asciiTheme="majorHAnsi" w:eastAsiaTheme="majorEastAsia" w:hAnsiTheme="majorHAnsi" w:cstheme="majorBidi"/>
      <w:color w:val="2F5496" w:themeColor="accent1" w:themeShade="BF"/>
      <w:sz w:val="26"/>
      <w:szCs w:val="23"/>
      <w:lang w:bidi="hi-IN"/>
    </w:rPr>
  </w:style>
  <w:style w:type="paragraph" w:styleId="ListParagraph">
    <w:name w:val="List Paragraph"/>
    <w:aliases w:val="Bullet List Paragraph,List Paragraph1,Use Case List Paragraph,Paragraph,Resume Title,Citation List,List Paragraph Char Char,Bullet 1,b1,Number_1,SGLText List Paragraph,new,lp1,Normal Sentence,Colorful List - Accent 11,ListPar1,list1,Re,LP"/>
    <w:basedOn w:val="Normal"/>
    <w:link w:val="ListParagraphChar"/>
    <w:uiPriority w:val="34"/>
    <w:qFormat/>
    <w:rsid w:val="009441FF"/>
    <w:pPr>
      <w:ind w:left="720"/>
      <w:contextualSpacing/>
    </w:pPr>
    <w:rPr>
      <w:rFonts w:cs="Mangal"/>
      <w:szCs w:val="20"/>
      <w:lang w:bidi="hi-IN"/>
    </w:rPr>
  </w:style>
  <w:style w:type="character" w:customStyle="1" w:styleId="ListParagraphChar">
    <w:name w:val="List Paragraph Char"/>
    <w:aliases w:val="Bullet List Paragraph Char,List Paragraph1 Char,Use Case List Paragraph Char,Paragraph Char,Resume Title Char,Citation List Char,List Paragraph Char Char Char,Bullet 1 Char,b1 Char,Number_1 Char,SGLText List Paragraph Char,new Char"/>
    <w:link w:val="ListParagraph"/>
    <w:uiPriority w:val="34"/>
    <w:qFormat/>
    <w:locked/>
    <w:rsid w:val="009441FF"/>
    <w:rPr>
      <w:rFonts w:cs="Mangal"/>
      <w:szCs w:val="20"/>
      <w:lang w:bidi="hi-IN"/>
    </w:rPr>
  </w:style>
  <w:style w:type="paragraph" w:styleId="FootnoteText">
    <w:name w:val="footnote text"/>
    <w:basedOn w:val="Normal"/>
    <w:link w:val="FootnoteTextChar"/>
    <w:uiPriority w:val="99"/>
    <w:semiHidden/>
    <w:unhideWhenUsed/>
    <w:rsid w:val="00F445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592"/>
    <w:rPr>
      <w:sz w:val="20"/>
      <w:szCs w:val="20"/>
    </w:rPr>
  </w:style>
  <w:style w:type="character" w:styleId="FootnoteReference">
    <w:name w:val="footnote reference"/>
    <w:basedOn w:val="DefaultParagraphFont"/>
    <w:uiPriority w:val="99"/>
    <w:semiHidden/>
    <w:unhideWhenUsed/>
    <w:rsid w:val="00F44592"/>
    <w:rPr>
      <w:vertAlign w:val="superscript"/>
    </w:rPr>
  </w:style>
  <w:style w:type="paragraph" w:styleId="Header">
    <w:name w:val="header"/>
    <w:basedOn w:val="Normal"/>
    <w:link w:val="HeaderChar"/>
    <w:uiPriority w:val="99"/>
    <w:unhideWhenUsed/>
    <w:rsid w:val="00723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27C"/>
  </w:style>
  <w:style w:type="paragraph" w:styleId="Footer">
    <w:name w:val="footer"/>
    <w:basedOn w:val="Normal"/>
    <w:link w:val="FooterChar"/>
    <w:uiPriority w:val="99"/>
    <w:unhideWhenUsed/>
    <w:rsid w:val="00723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27C"/>
  </w:style>
  <w:style w:type="paragraph" w:styleId="BalloonText">
    <w:name w:val="Balloon Text"/>
    <w:basedOn w:val="Normal"/>
    <w:link w:val="BalloonTextChar"/>
    <w:uiPriority w:val="99"/>
    <w:semiHidden/>
    <w:unhideWhenUsed/>
    <w:rsid w:val="001B6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761"/>
    <w:rPr>
      <w:rFonts w:ascii="Tahoma" w:hAnsi="Tahoma" w:cs="Tahoma"/>
      <w:sz w:val="16"/>
      <w:szCs w:val="16"/>
    </w:rPr>
  </w:style>
  <w:style w:type="table" w:styleId="TableGrid">
    <w:name w:val="Table Grid"/>
    <w:basedOn w:val="TableNormal"/>
    <w:uiPriority w:val="39"/>
    <w:rsid w:val="00F03D9C"/>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C84B-3023-4768-B58D-395B41E3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4627</Words>
  <Characters>26375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 K&amp;S</dc:creator>
  <cp:lastModifiedBy>R Ganesh</cp:lastModifiedBy>
  <cp:revision>2</cp:revision>
  <dcterms:created xsi:type="dcterms:W3CDTF">2022-09-13T05:12:00Z</dcterms:created>
  <dcterms:modified xsi:type="dcterms:W3CDTF">2022-09-13T05:12:00Z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2021-11-23T04:36:19Z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9f00fcd4-e26f-41c1-b57d-030a7a5bbc20</vt:lpwstr>
  </property>
  <property fmtid="{D5CDD505-2E9C-101B-9397-08002B2CF9AE}" pid="8" name="MSIP_Label_ea60d57e-af5b-4752-ac57-3e4f28ca11dc_ContentBits">
    <vt:lpwstr>0</vt:lpwstr>
  </property>
</Properties>
</file>