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3E797" w14:textId="71689F7C" w:rsidR="007D3A5F" w:rsidRPr="004179E6" w:rsidRDefault="007D3A5F" w:rsidP="00AA128D">
      <w:pPr>
        <w:spacing w:after="160" w:line="276" w:lineRule="auto"/>
        <w:jc w:val="center"/>
        <w:rPr>
          <w:rFonts w:asciiTheme="minorHAnsi" w:hAnsiTheme="minorHAnsi" w:cstheme="minorBidi"/>
          <w:b/>
          <w:bCs/>
        </w:rPr>
      </w:pPr>
      <w:r w:rsidRPr="7911ACE2">
        <w:rPr>
          <w:rFonts w:asciiTheme="minorHAnsi" w:hAnsiTheme="minorHAnsi" w:cstheme="minorBidi"/>
          <w:b/>
          <w:bCs/>
        </w:rPr>
        <w:t>MEMORANDUM 202</w:t>
      </w:r>
      <w:r w:rsidR="00E06973" w:rsidRPr="7911ACE2">
        <w:rPr>
          <w:rFonts w:asciiTheme="minorHAnsi" w:hAnsiTheme="minorHAnsi" w:cstheme="minorBidi"/>
          <w:b/>
          <w:bCs/>
        </w:rPr>
        <w:t>6</w:t>
      </w:r>
      <w:r w:rsidRPr="7911ACE2">
        <w:rPr>
          <w:rFonts w:asciiTheme="minorHAnsi" w:hAnsiTheme="minorHAnsi" w:cstheme="minorBidi"/>
          <w:b/>
          <w:bCs/>
        </w:rPr>
        <w:t>-</w:t>
      </w:r>
      <w:r w:rsidR="00F221D0" w:rsidRPr="7911ACE2">
        <w:rPr>
          <w:rFonts w:asciiTheme="minorHAnsi" w:hAnsiTheme="minorHAnsi" w:cstheme="minorBidi"/>
          <w:b/>
          <w:bCs/>
        </w:rPr>
        <w:t>2</w:t>
      </w:r>
      <w:r w:rsidR="00E06973" w:rsidRPr="7911ACE2">
        <w:rPr>
          <w:rFonts w:asciiTheme="minorHAnsi" w:hAnsiTheme="minorHAnsi" w:cstheme="minorBidi"/>
          <w:b/>
          <w:bCs/>
        </w:rPr>
        <w:t>7</w:t>
      </w:r>
      <w:r w:rsidRPr="7911ACE2">
        <w:rPr>
          <w:rFonts w:asciiTheme="minorHAnsi" w:hAnsiTheme="minorHAnsi" w:cstheme="minorBidi"/>
          <w:b/>
          <w:bCs/>
        </w:rPr>
        <w:t xml:space="preserve">: </w:t>
      </w:r>
      <w:r w:rsidR="00E73B12">
        <w:rPr>
          <w:rFonts w:asciiTheme="minorHAnsi" w:hAnsiTheme="minorHAnsi" w:cstheme="minorBidi"/>
          <w:b/>
          <w:bCs/>
        </w:rPr>
        <w:t xml:space="preserve">DRAFT INCOME TAX RULES 2026 </w:t>
      </w:r>
    </w:p>
    <w:p w14:paraId="13488578" w14:textId="4B724466" w:rsidR="007D3A5F" w:rsidRPr="00AA128D" w:rsidRDefault="007D3A5F" w:rsidP="00AA128D">
      <w:pPr>
        <w:spacing w:after="160" w:line="276" w:lineRule="auto"/>
        <w:jc w:val="center"/>
        <w:rPr>
          <w:rFonts w:asciiTheme="minorHAnsi" w:hAnsiTheme="minorHAnsi" w:cstheme="minorHAnsi"/>
          <w:b/>
        </w:rPr>
      </w:pPr>
      <w:r w:rsidRPr="004179E6">
        <w:rPr>
          <w:rFonts w:asciiTheme="minorHAnsi" w:hAnsiTheme="minorHAnsi" w:cstheme="minorHAnsi"/>
          <w:b/>
        </w:rPr>
        <w:t xml:space="preserve">PART </w:t>
      </w:r>
      <w:r w:rsidR="00C27F24">
        <w:rPr>
          <w:rFonts w:asciiTheme="minorHAnsi" w:hAnsiTheme="minorHAnsi" w:cstheme="minorHAnsi"/>
          <w:b/>
        </w:rPr>
        <w:t>C</w:t>
      </w:r>
      <w:r w:rsidRPr="004179E6">
        <w:rPr>
          <w:rFonts w:asciiTheme="minorHAnsi" w:hAnsiTheme="minorHAnsi" w:cstheme="minorHAnsi"/>
          <w:b/>
        </w:rPr>
        <w:t xml:space="preserve"> –</w:t>
      </w:r>
      <w:r w:rsidR="000F32BA">
        <w:rPr>
          <w:rFonts w:asciiTheme="minorHAnsi" w:hAnsiTheme="minorHAnsi" w:cstheme="minorHAnsi"/>
          <w:b/>
        </w:rPr>
        <w:t xml:space="preserve"> </w:t>
      </w:r>
      <w:r w:rsidR="00E73B12">
        <w:rPr>
          <w:rFonts w:asciiTheme="minorHAnsi" w:hAnsiTheme="minorHAnsi" w:cstheme="minorHAnsi"/>
          <w:b/>
        </w:rPr>
        <w:t xml:space="preserve">RECOMMENDATIONS </w:t>
      </w:r>
      <w:r w:rsidR="00885634">
        <w:rPr>
          <w:rFonts w:asciiTheme="minorHAnsi" w:hAnsiTheme="minorHAnsi" w:cstheme="minorHAnsi"/>
          <w:b/>
        </w:rPr>
        <w:t xml:space="preserve">ON </w:t>
      </w:r>
      <w:r w:rsidRPr="004179E6">
        <w:rPr>
          <w:rFonts w:asciiTheme="minorHAnsi" w:hAnsiTheme="minorHAnsi" w:cstheme="minorHAnsi"/>
          <w:b/>
        </w:rPr>
        <w:t xml:space="preserve">ISSUES </w:t>
      </w:r>
      <w:r w:rsidR="00724B49">
        <w:rPr>
          <w:rFonts w:asciiTheme="minorHAnsi" w:hAnsiTheme="minorHAnsi" w:cstheme="minorHAnsi"/>
          <w:b/>
        </w:rPr>
        <w:t xml:space="preserve">IN EXISTING IT RULES 1962 </w:t>
      </w:r>
      <w:r w:rsidRPr="00AA128D">
        <w:rPr>
          <w:rFonts w:asciiTheme="minorHAnsi" w:hAnsiTheme="minorHAnsi" w:cstheme="minorHAnsi"/>
          <w:b/>
        </w:rPr>
        <w:t xml:space="preserve">WHICH </w:t>
      </w:r>
      <w:r w:rsidR="00724B49" w:rsidRPr="00AA128D">
        <w:rPr>
          <w:rFonts w:asciiTheme="minorHAnsi" w:hAnsiTheme="minorHAnsi" w:cstheme="minorHAnsi"/>
          <w:b/>
        </w:rPr>
        <w:t>CONTINUE TO EXIST IN DRAFT IT RULES 2026</w:t>
      </w:r>
      <w:r w:rsidR="00885634" w:rsidRPr="00AA128D">
        <w:rPr>
          <w:rFonts w:asciiTheme="minorHAnsi" w:hAnsiTheme="minorHAnsi" w:cstheme="minorHAnsi"/>
          <w:b/>
        </w:rPr>
        <w:t xml:space="preserve"> IN VIEW OF </w:t>
      </w:r>
      <w:r w:rsidR="00900F8A" w:rsidRPr="00AA128D">
        <w:rPr>
          <w:rFonts w:asciiTheme="minorHAnsi" w:hAnsiTheme="minorHAnsi" w:cstheme="minorHAnsi"/>
          <w:b/>
        </w:rPr>
        <w:t xml:space="preserve">PARITY OF </w:t>
      </w:r>
      <w:r w:rsidR="00873F2A" w:rsidRPr="00AA128D">
        <w:rPr>
          <w:rFonts w:asciiTheme="minorHAnsi" w:hAnsiTheme="minorHAnsi" w:cstheme="minorHAnsi"/>
          <w:b/>
        </w:rPr>
        <w:t>PROVISIONS</w:t>
      </w:r>
    </w:p>
    <w:p w14:paraId="6034F880" w14:textId="083F3F29" w:rsidR="007D3A5F" w:rsidRPr="004179E6" w:rsidRDefault="007D3A5F" w:rsidP="00AA128D">
      <w:pPr>
        <w:spacing w:after="160" w:line="276" w:lineRule="auto"/>
        <w:jc w:val="center"/>
        <w:rPr>
          <w:rFonts w:asciiTheme="minorHAnsi" w:hAnsiTheme="minorHAnsi" w:cstheme="minorHAnsi"/>
          <w:b/>
        </w:rPr>
      </w:pPr>
      <w:r w:rsidRPr="00AA128D">
        <w:rPr>
          <w:rFonts w:asciiTheme="minorHAnsi" w:hAnsiTheme="minorHAnsi" w:cstheme="minorHAnsi"/>
          <w:b/>
        </w:rPr>
        <w:t>INDEX</w:t>
      </w:r>
    </w:p>
    <w:tbl>
      <w:tblPr>
        <w:tblStyle w:val="TableGrid"/>
        <w:tblW w:w="0" w:type="auto"/>
        <w:tblLook w:val="04A0" w:firstRow="1" w:lastRow="0" w:firstColumn="1" w:lastColumn="0" w:noHBand="0" w:noVBand="1"/>
      </w:tblPr>
      <w:tblGrid>
        <w:gridCol w:w="845"/>
        <w:gridCol w:w="12403"/>
        <w:gridCol w:w="700"/>
      </w:tblGrid>
      <w:tr w:rsidR="006A047D" w:rsidRPr="00AA128D" w14:paraId="3566DF44" w14:textId="77777777">
        <w:trPr>
          <w:tblHeader/>
        </w:trPr>
        <w:tc>
          <w:tcPr>
            <w:tcW w:w="845" w:type="dxa"/>
            <w:tcBorders>
              <w:top w:val="single" w:sz="4" w:space="0" w:color="auto"/>
              <w:left w:val="single" w:sz="4" w:space="0" w:color="auto"/>
              <w:bottom w:val="single" w:sz="4" w:space="0" w:color="auto"/>
              <w:right w:val="single" w:sz="4" w:space="0" w:color="auto"/>
            </w:tcBorders>
            <w:shd w:val="clear" w:color="auto" w:fill="BFBFBF"/>
            <w:hideMark/>
          </w:tcPr>
          <w:p w14:paraId="27043788" w14:textId="77777777" w:rsidR="006A047D" w:rsidRPr="00AA128D" w:rsidRDefault="006A047D" w:rsidP="006A047D">
            <w:pPr>
              <w:spacing w:after="160" w:line="276" w:lineRule="auto"/>
              <w:rPr>
                <w:rFonts w:asciiTheme="minorHAnsi" w:hAnsiTheme="minorHAnsi" w:cstheme="minorHAnsi"/>
                <w:b/>
                <w:lang w:val="en-IN"/>
              </w:rPr>
            </w:pPr>
            <w:r w:rsidRPr="00AA128D">
              <w:rPr>
                <w:rFonts w:asciiTheme="minorHAnsi" w:hAnsiTheme="minorHAnsi" w:cstheme="minorHAnsi"/>
                <w:b/>
                <w:lang w:val="en-IN"/>
              </w:rPr>
              <w:t>Sr. No.</w:t>
            </w:r>
          </w:p>
        </w:tc>
        <w:tc>
          <w:tcPr>
            <w:tcW w:w="12407" w:type="dxa"/>
            <w:tcBorders>
              <w:top w:val="single" w:sz="4" w:space="0" w:color="auto"/>
              <w:left w:val="single" w:sz="4" w:space="0" w:color="auto"/>
              <w:bottom w:val="single" w:sz="4" w:space="0" w:color="auto"/>
              <w:right w:val="single" w:sz="4" w:space="0" w:color="auto"/>
            </w:tcBorders>
            <w:shd w:val="clear" w:color="auto" w:fill="BFBFBF"/>
            <w:hideMark/>
          </w:tcPr>
          <w:p w14:paraId="67D3205D" w14:textId="77777777" w:rsidR="006A047D" w:rsidRPr="00AA128D" w:rsidRDefault="006A047D" w:rsidP="006A047D">
            <w:pPr>
              <w:spacing w:after="160" w:line="276" w:lineRule="auto"/>
              <w:rPr>
                <w:rFonts w:asciiTheme="minorHAnsi" w:hAnsiTheme="minorHAnsi" w:cstheme="minorHAnsi"/>
                <w:b/>
                <w:lang w:val="en-IN"/>
              </w:rPr>
            </w:pPr>
            <w:r w:rsidRPr="00AA128D">
              <w:rPr>
                <w:rFonts w:asciiTheme="minorHAnsi" w:hAnsiTheme="minorHAnsi" w:cstheme="minorHAnsi"/>
                <w:b/>
                <w:lang w:val="en-IN"/>
              </w:rPr>
              <w:t>Particulars</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298D8653" w14:textId="0D2748A5" w:rsidR="006A047D" w:rsidRPr="00AA128D" w:rsidRDefault="006A047D" w:rsidP="006A047D">
            <w:pPr>
              <w:spacing w:after="160" w:line="276" w:lineRule="auto"/>
              <w:rPr>
                <w:rFonts w:asciiTheme="minorHAnsi" w:hAnsiTheme="minorHAnsi" w:cstheme="minorHAnsi"/>
                <w:b/>
                <w:lang w:val="en-IN"/>
              </w:rPr>
            </w:pPr>
            <w:r>
              <w:rPr>
                <w:b/>
              </w:rPr>
              <w:t xml:space="preserve">Page No. </w:t>
            </w:r>
          </w:p>
        </w:tc>
      </w:tr>
      <w:tr w:rsidR="006A047D" w:rsidRPr="00AA128D" w14:paraId="6A96574B" w14:textId="77777777">
        <w:tc>
          <w:tcPr>
            <w:tcW w:w="845" w:type="dxa"/>
            <w:tcBorders>
              <w:top w:val="single" w:sz="4" w:space="0" w:color="auto"/>
              <w:left w:val="single" w:sz="4" w:space="0" w:color="auto"/>
              <w:bottom w:val="single" w:sz="4" w:space="0" w:color="auto"/>
              <w:right w:val="single" w:sz="4" w:space="0" w:color="auto"/>
            </w:tcBorders>
          </w:tcPr>
          <w:p w14:paraId="4690079F" w14:textId="77777777" w:rsidR="006A047D" w:rsidRPr="00AA128D" w:rsidRDefault="006A047D" w:rsidP="006A047D">
            <w:pPr>
              <w:spacing w:after="160" w:line="276" w:lineRule="auto"/>
              <w:rPr>
                <w:rFonts w:asciiTheme="minorHAnsi" w:hAnsiTheme="minorHAnsi" w:cstheme="minorHAnsi"/>
                <w:b/>
                <w:lang w:val="en-IN"/>
              </w:rPr>
            </w:pPr>
          </w:p>
        </w:tc>
        <w:tc>
          <w:tcPr>
            <w:tcW w:w="12407" w:type="dxa"/>
            <w:tcBorders>
              <w:top w:val="single" w:sz="4" w:space="0" w:color="auto"/>
              <w:left w:val="single" w:sz="4" w:space="0" w:color="auto"/>
              <w:bottom w:val="single" w:sz="4" w:space="0" w:color="auto"/>
              <w:right w:val="single" w:sz="4" w:space="0" w:color="auto"/>
            </w:tcBorders>
            <w:shd w:val="clear" w:color="auto" w:fill="BFBFBF"/>
            <w:hideMark/>
          </w:tcPr>
          <w:p w14:paraId="1E814963" w14:textId="77777777" w:rsidR="006A047D" w:rsidRPr="00AA128D" w:rsidRDefault="006A047D" w:rsidP="00BB6D0E">
            <w:pPr>
              <w:spacing w:after="160" w:line="276" w:lineRule="auto"/>
              <w:jc w:val="center"/>
              <w:rPr>
                <w:rFonts w:asciiTheme="minorHAnsi" w:hAnsiTheme="minorHAnsi" w:cstheme="minorHAnsi"/>
                <w:b/>
                <w:lang w:val="en-IN"/>
              </w:rPr>
            </w:pPr>
            <w:r w:rsidRPr="00AA128D">
              <w:rPr>
                <w:rFonts w:asciiTheme="minorHAnsi" w:hAnsiTheme="minorHAnsi" w:cstheme="minorHAnsi"/>
                <w:b/>
                <w:lang w:val="en-IN"/>
              </w:rPr>
              <w:t>Corporate Taxation</w:t>
            </w:r>
          </w:p>
        </w:tc>
        <w:tc>
          <w:tcPr>
            <w:tcW w:w="0" w:type="auto"/>
            <w:tcBorders>
              <w:top w:val="single" w:sz="4" w:space="0" w:color="auto"/>
              <w:left w:val="single" w:sz="4" w:space="0" w:color="auto"/>
              <w:bottom w:val="single" w:sz="4" w:space="0" w:color="auto"/>
              <w:right w:val="single" w:sz="4" w:space="0" w:color="auto"/>
            </w:tcBorders>
          </w:tcPr>
          <w:p w14:paraId="60E920A5" w14:textId="77777777" w:rsidR="006A047D" w:rsidRPr="00AA128D" w:rsidRDefault="006A047D" w:rsidP="006A047D">
            <w:pPr>
              <w:spacing w:after="160" w:line="276" w:lineRule="auto"/>
              <w:rPr>
                <w:rFonts w:asciiTheme="minorHAnsi" w:hAnsiTheme="minorHAnsi" w:cstheme="minorHAnsi"/>
                <w:lang w:val="en-IN"/>
              </w:rPr>
            </w:pPr>
          </w:p>
        </w:tc>
      </w:tr>
      <w:tr w:rsidR="006A047D" w:rsidRPr="00AA128D" w14:paraId="7698D1E1" w14:textId="77777777">
        <w:tc>
          <w:tcPr>
            <w:tcW w:w="845" w:type="dxa"/>
            <w:tcBorders>
              <w:top w:val="single" w:sz="4" w:space="0" w:color="auto"/>
              <w:left w:val="single" w:sz="4" w:space="0" w:color="auto"/>
              <w:bottom w:val="single" w:sz="4" w:space="0" w:color="auto"/>
              <w:right w:val="single" w:sz="4" w:space="0" w:color="auto"/>
            </w:tcBorders>
          </w:tcPr>
          <w:p w14:paraId="249FD408"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2295ED15" w14:textId="77777777" w:rsidR="006A047D" w:rsidRPr="00AA128D" w:rsidRDefault="006A047D" w:rsidP="006A047D">
            <w:pPr>
              <w:spacing w:after="160" w:line="276" w:lineRule="auto"/>
              <w:rPr>
                <w:rFonts w:asciiTheme="minorHAnsi" w:hAnsiTheme="minorHAnsi" w:cstheme="minorHAnsi"/>
                <w:bCs/>
              </w:rPr>
            </w:pPr>
            <w:r w:rsidRPr="00AA128D">
              <w:rPr>
                <w:rFonts w:asciiTheme="minorHAnsi" w:hAnsiTheme="minorHAnsi" w:cstheme="minorHAnsi"/>
                <w:bCs/>
              </w:rPr>
              <w:t>Section 44AB (Clause 44 of Form 3CD) of ITA 1961; Section 63 of ITA 2025 (Clause 52 of Part B of Form 26) - break-up of Total Expenses under GST</w:t>
            </w:r>
          </w:p>
        </w:tc>
        <w:tc>
          <w:tcPr>
            <w:tcW w:w="0" w:type="auto"/>
            <w:tcBorders>
              <w:top w:val="single" w:sz="4" w:space="0" w:color="auto"/>
              <w:left w:val="single" w:sz="4" w:space="0" w:color="auto"/>
              <w:bottom w:val="single" w:sz="4" w:space="0" w:color="auto"/>
              <w:right w:val="single" w:sz="4" w:space="0" w:color="auto"/>
            </w:tcBorders>
          </w:tcPr>
          <w:p w14:paraId="6CB4FE9E" w14:textId="371A96FE" w:rsidR="006A047D" w:rsidRPr="00AA128D" w:rsidRDefault="006A047D" w:rsidP="006A047D">
            <w:pPr>
              <w:spacing w:after="160" w:line="276" w:lineRule="auto"/>
              <w:rPr>
                <w:rFonts w:asciiTheme="minorHAnsi" w:hAnsiTheme="minorHAnsi" w:cstheme="minorHAnsi"/>
                <w:lang w:val="en-IN"/>
              </w:rPr>
            </w:pPr>
            <w:r>
              <w:t>5</w:t>
            </w:r>
          </w:p>
        </w:tc>
      </w:tr>
      <w:tr w:rsidR="006A047D" w:rsidRPr="00AA128D" w14:paraId="784E4B77" w14:textId="77777777">
        <w:tc>
          <w:tcPr>
            <w:tcW w:w="845" w:type="dxa"/>
            <w:tcBorders>
              <w:top w:val="single" w:sz="4" w:space="0" w:color="auto"/>
              <w:left w:val="single" w:sz="4" w:space="0" w:color="auto"/>
              <w:bottom w:val="single" w:sz="4" w:space="0" w:color="auto"/>
              <w:right w:val="single" w:sz="4" w:space="0" w:color="auto"/>
            </w:tcBorders>
          </w:tcPr>
          <w:p w14:paraId="5FB8A6E3"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49E73FEF" w14:textId="77777777" w:rsidR="006A047D" w:rsidRPr="00AA128D" w:rsidRDefault="006A047D" w:rsidP="006A047D">
            <w:pPr>
              <w:spacing w:after="160" w:line="276" w:lineRule="auto"/>
              <w:rPr>
                <w:rFonts w:asciiTheme="minorHAnsi" w:hAnsiTheme="minorHAnsi" w:cstheme="minorHAnsi"/>
                <w:bCs/>
                <w:lang w:val="en-IN"/>
              </w:rPr>
            </w:pPr>
            <w:r w:rsidRPr="00AA128D">
              <w:rPr>
                <w:rFonts w:asciiTheme="minorHAnsi" w:hAnsiTheme="minorHAnsi" w:cstheme="minorHAnsi"/>
                <w:bCs/>
                <w:lang w:val="en-IN"/>
              </w:rPr>
              <w:t>Appropriate valuation rules to be prescribed for receipt of VDA as gift or inadequate consideration</w:t>
            </w:r>
          </w:p>
        </w:tc>
        <w:tc>
          <w:tcPr>
            <w:tcW w:w="0" w:type="auto"/>
            <w:tcBorders>
              <w:top w:val="single" w:sz="4" w:space="0" w:color="auto"/>
              <w:left w:val="single" w:sz="4" w:space="0" w:color="auto"/>
              <w:bottom w:val="single" w:sz="4" w:space="0" w:color="auto"/>
              <w:right w:val="single" w:sz="4" w:space="0" w:color="auto"/>
            </w:tcBorders>
          </w:tcPr>
          <w:p w14:paraId="478C9C20" w14:textId="121F58D5" w:rsidR="006A047D" w:rsidRPr="00AA128D" w:rsidRDefault="006A047D" w:rsidP="006A047D">
            <w:pPr>
              <w:spacing w:after="160" w:line="276" w:lineRule="auto"/>
              <w:rPr>
                <w:rFonts w:asciiTheme="minorHAnsi" w:hAnsiTheme="minorHAnsi" w:cstheme="minorHAnsi"/>
                <w:lang w:val="en-IN"/>
              </w:rPr>
            </w:pPr>
            <w:r>
              <w:t>5</w:t>
            </w:r>
          </w:p>
        </w:tc>
      </w:tr>
      <w:tr w:rsidR="006A047D" w:rsidRPr="00AA128D" w14:paraId="2C7CE5F4" w14:textId="77777777">
        <w:tc>
          <w:tcPr>
            <w:tcW w:w="845" w:type="dxa"/>
            <w:tcBorders>
              <w:top w:val="single" w:sz="4" w:space="0" w:color="auto"/>
              <w:left w:val="single" w:sz="4" w:space="0" w:color="auto"/>
              <w:bottom w:val="single" w:sz="4" w:space="0" w:color="auto"/>
              <w:right w:val="single" w:sz="4" w:space="0" w:color="auto"/>
            </w:tcBorders>
          </w:tcPr>
          <w:p w14:paraId="6EB21E3F"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423F4734" w14:textId="77777777" w:rsidR="006A047D" w:rsidRPr="00AA128D" w:rsidRDefault="006A047D" w:rsidP="006A047D">
            <w:pPr>
              <w:spacing w:after="160" w:line="276" w:lineRule="auto"/>
              <w:rPr>
                <w:rFonts w:asciiTheme="minorHAnsi" w:hAnsiTheme="minorHAnsi" w:cstheme="minorHAnsi"/>
                <w:bCs/>
              </w:rPr>
            </w:pPr>
            <w:r w:rsidRPr="00AA128D">
              <w:rPr>
                <w:rFonts w:asciiTheme="minorHAnsi" w:hAnsiTheme="minorHAnsi" w:cstheme="minorHAnsi"/>
                <w:bCs/>
              </w:rPr>
              <w:t>Application for approval of the Offshore Fund as per Rule 10VA(3) and applicability of Rule 10VA(8) of IT Rules 1962</w:t>
            </w:r>
          </w:p>
          <w:p w14:paraId="109B7A86" w14:textId="77777777" w:rsidR="006A047D" w:rsidRPr="00AA128D" w:rsidRDefault="006A047D" w:rsidP="006A047D">
            <w:pPr>
              <w:spacing w:after="160" w:line="276" w:lineRule="auto"/>
              <w:rPr>
                <w:rFonts w:asciiTheme="minorHAnsi" w:hAnsiTheme="minorHAnsi" w:cstheme="minorHAnsi"/>
                <w:bCs/>
                <w:lang w:val="en-IN"/>
              </w:rPr>
            </w:pPr>
            <w:r w:rsidRPr="00AA128D">
              <w:rPr>
                <w:rFonts w:asciiTheme="minorHAnsi" w:hAnsiTheme="minorHAnsi" w:cstheme="minorHAnsi"/>
                <w:bCs/>
              </w:rPr>
              <w:t>(corresponding Rule 275 of the Draft IT Rules, 2026)</w:t>
            </w:r>
          </w:p>
        </w:tc>
        <w:tc>
          <w:tcPr>
            <w:tcW w:w="0" w:type="auto"/>
            <w:tcBorders>
              <w:top w:val="single" w:sz="4" w:space="0" w:color="auto"/>
              <w:left w:val="single" w:sz="4" w:space="0" w:color="auto"/>
              <w:bottom w:val="single" w:sz="4" w:space="0" w:color="auto"/>
              <w:right w:val="single" w:sz="4" w:space="0" w:color="auto"/>
            </w:tcBorders>
          </w:tcPr>
          <w:p w14:paraId="37B817FC" w14:textId="579F8C97" w:rsidR="006A047D" w:rsidRPr="00AA128D" w:rsidRDefault="006A047D" w:rsidP="006A047D">
            <w:pPr>
              <w:spacing w:after="160" w:line="276" w:lineRule="auto"/>
              <w:rPr>
                <w:rFonts w:asciiTheme="minorHAnsi" w:hAnsiTheme="minorHAnsi" w:cstheme="minorHAnsi"/>
                <w:lang w:val="en-IN"/>
              </w:rPr>
            </w:pPr>
            <w:r>
              <w:t>6</w:t>
            </w:r>
          </w:p>
        </w:tc>
      </w:tr>
      <w:tr w:rsidR="006A047D" w:rsidRPr="00AA128D" w14:paraId="619BF7BF" w14:textId="77777777">
        <w:tc>
          <w:tcPr>
            <w:tcW w:w="845" w:type="dxa"/>
            <w:tcBorders>
              <w:top w:val="single" w:sz="4" w:space="0" w:color="auto"/>
              <w:left w:val="single" w:sz="4" w:space="0" w:color="auto"/>
              <w:bottom w:val="single" w:sz="4" w:space="0" w:color="auto"/>
              <w:right w:val="single" w:sz="4" w:space="0" w:color="auto"/>
            </w:tcBorders>
          </w:tcPr>
          <w:p w14:paraId="4E8E9F73"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5087E880" w14:textId="77777777" w:rsidR="006A047D" w:rsidRPr="00AA128D" w:rsidRDefault="006A047D" w:rsidP="006A047D">
            <w:pPr>
              <w:spacing w:after="160" w:line="276" w:lineRule="auto"/>
              <w:rPr>
                <w:rFonts w:asciiTheme="minorHAnsi" w:hAnsiTheme="minorHAnsi" w:cstheme="minorHAnsi"/>
                <w:lang w:val="en-IN"/>
              </w:rPr>
            </w:pPr>
            <w:r w:rsidRPr="00AA128D">
              <w:rPr>
                <w:rFonts w:asciiTheme="minorHAnsi" w:hAnsiTheme="minorHAnsi" w:cstheme="minorHAnsi"/>
                <w:lang w:val="en-IN"/>
              </w:rPr>
              <w:t>Formal guidelines for attributing profits to a PE</w:t>
            </w:r>
          </w:p>
        </w:tc>
        <w:tc>
          <w:tcPr>
            <w:tcW w:w="0" w:type="auto"/>
            <w:tcBorders>
              <w:top w:val="single" w:sz="4" w:space="0" w:color="auto"/>
              <w:left w:val="single" w:sz="4" w:space="0" w:color="auto"/>
              <w:bottom w:val="single" w:sz="4" w:space="0" w:color="auto"/>
              <w:right w:val="single" w:sz="4" w:space="0" w:color="auto"/>
            </w:tcBorders>
          </w:tcPr>
          <w:p w14:paraId="08EF5BA8" w14:textId="1EE152F3" w:rsidR="006A047D" w:rsidRPr="00AA128D" w:rsidRDefault="006A047D" w:rsidP="006A047D">
            <w:pPr>
              <w:spacing w:after="160" w:line="276" w:lineRule="auto"/>
              <w:rPr>
                <w:rFonts w:asciiTheme="minorHAnsi" w:hAnsiTheme="minorHAnsi" w:cstheme="minorHAnsi"/>
                <w:lang w:val="en-IN"/>
              </w:rPr>
            </w:pPr>
            <w:r>
              <w:t>7</w:t>
            </w:r>
          </w:p>
        </w:tc>
      </w:tr>
      <w:tr w:rsidR="006A047D" w:rsidRPr="00AA128D" w14:paraId="485CB06C" w14:textId="77777777">
        <w:tc>
          <w:tcPr>
            <w:tcW w:w="845" w:type="dxa"/>
            <w:tcBorders>
              <w:top w:val="single" w:sz="4" w:space="0" w:color="auto"/>
              <w:left w:val="single" w:sz="4" w:space="0" w:color="auto"/>
              <w:bottom w:val="single" w:sz="4" w:space="0" w:color="auto"/>
              <w:right w:val="single" w:sz="4" w:space="0" w:color="auto"/>
            </w:tcBorders>
          </w:tcPr>
          <w:p w14:paraId="377C51AC"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375613EB" w14:textId="77777777" w:rsidR="006A047D" w:rsidRPr="00AA128D" w:rsidRDefault="006A047D" w:rsidP="006A047D">
            <w:pPr>
              <w:spacing w:after="160" w:line="276" w:lineRule="auto"/>
              <w:rPr>
                <w:rFonts w:asciiTheme="minorHAnsi" w:hAnsiTheme="minorHAnsi" w:cstheme="minorHAnsi"/>
                <w:lang w:val="en-IN"/>
              </w:rPr>
            </w:pPr>
            <w:r w:rsidRPr="00AA128D">
              <w:rPr>
                <w:rFonts w:asciiTheme="minorHAnsi" w:hAnsiTheme="minorHAnsi" w:cstheme="minorHAnsi"/>
                <w:lang w:val="en-IN"/>
              </w:rPr>
              <w:t>Non applicability of General Anti-Avoidance Rules (GAAR) provisions for Foreign Portfolio Investors in the IFSC</w:t>
            </w:r>
          </w:p>
        </w:tc>
        <w:tc>
          <w:tcPr>
            <w:tcW w:w="0" w:type="auto"/>
            <w:tcBorders>
              <w:top w:val="single" w:sz="4" w:space="0" w:color="auto"/>
              <w:left w:val="single" w:sz="4" w:space="0" w:color="auto"/>
              <w:bottom w:val="single" w:sz="4" w:space="0" w:color="auto"/>
              <w:right w:val="single" w:sz="4" w:space="0" w:color="auto"/>
            </w:tcBorders>
          </w:tcPr>
          <w:p w14:paraId="7C46EF71" w14:textId="453802CD" w:rsidR="006A047D" w:rsidRPr="00AA128D" w:rsidRDefault="006A047D" w:rsidP="006A047D">
            <w:pPr>
              <w:spacing w:after="160" w:line="276" w:lineRule="auto"/>
              <w:rPr>
                <w:rFonts w:asciiTheme="minorHAnsi" w:hAnsiTheme="minorHAnsi" w:cstheme="minorHAnsi"/>
                <w:lang w:val="en-IN"/>
              </w:rPr>
            </w:pPr>
            <w:r>
              <w:t>8</w:t>
            </w:r>
          </w:p>
        </w:tc>
      </w:tr>
      <w:tr w:rsidR="006A047D" w:rsidRPr="00AA128D" w14:paraId="609B2325" w14:textId="77777777">
        <w:trPr>
          <w:trHeight w:val="60"/>
        </w:trPr>
        <w:tc>
          <w:tcPr>
            <w:tcW w:w="845" w:type="dxa"/>
            <w:tcBorders>
              <w:top w:val="single" w:sz="4" w:space="0" w:color="auto"/>
              <w:left w:val="single" w:sz="4" w:space="0" w:color="auto"/>
              <w:bottom w:val="single" w:sz="4" w:space="0" w:color="auto"/>
              <w:right w:val="single" w:sz="4" w:space="0" w:color="auto"/>
            </w:tcBorders>
          </w:tcPr>
          <w:p w14:paraId="26E8E824" w14:textId="77777777" w:rsidR="006A047D" w:rsidRPr="00AA128D" w:rsidRDefault="006A047D" w:rsidP="006A047D">
            <w:p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shd w:val="clear" w:color="auto" w:fill="BFBFBF"/>
            <w:hideMark/>
          </w:tcPr>
          <w:p w14:paraId="501E7CCD" w14:textId="77777777" w:rsidR="006A047D" w:rsidRPr="00AA128D" w:rsidRDefault="006A047D" w:rsidP="00BB6D0E">
            <w:pPr>
              <w:spacing w:after="160" w:line="276" w:lineRule="auto"/>
              <w:jc w:val="center"/>
              <w:rPr>
                <w:rFonts w:asciiTheme="minorHAnsi" w:hAnsiTheme="minorHAnsi" w:cstheme="minorHAnsi"/>
                <w:lang w:val="en-IN"/>
              </w:rPr>
            </w:pPr>
            <w:r w:rsidRPr="00AA128D">
              <w:rPr>
                <w:rFonts w:asciiTheme="minorHAnsi" w:hAnsiTheme="minorHAnsi" w:cstheme="minorHAnsi"/>
                <w:b/>
                <w:lang w:val="en-IN"/>
              </w:rPr>
              <w:t>Mergers/Acquisitions and Business reorganization</w:t>
            </w:r>
          </w:p>
        </w:tc>
        <w:tc>
          <w:tcPr>
            <w:tcW w:w="0" w:type="auto"/>
            <w:tcBorders>
              <w:top w:val="single" w:sz="4" w:space="0" w:color="auto"/>
              <w:left w:val="single" w:sz="4" w:space="0" w:color="auto"/>
              <w:bottom w:val="single" w:sz="4" w:space="0" w:color="auto"/>
              <w:right w:val="single" w:sz="4" w:space="0" w:color="auto"/>
            </w:tcBorders>
          </w:tcPr>
          <w:p w14:paraId="3CA6A881" w14:textId="77777777" w:rsidR="006A047D" w:rsidRPr="00AA128D" w:rsidRDefault="006A047D" w:rsidP="006A047D">
            <w:pPr>
              <w:spacing w:after="160" w:line="276" w:lineRule="auto"/>
              <w:rPr>
                <w:rFonts w:asciiTheme="minorHAnsi" w:hAnsiTheme="minorHAnsi" w:cstheme="minorHAnsi"/>
                <w:lang w:val="en-IN"/>
              </w:rPr>
            </w:pPr>
          </w:p>
        </w:tc>
      </w:tr>
      <w:tr w:rsidR="006A047D" w:rsidRPr="00AA128D" w14:paraId="4092D058" w14:textId="77777777">
        <w:tc>
          <w:tcPr>
            <w:tcW w:w="845" w:type="dxa"/>
            <w:tcBorders>
              <w:top w:val="single" w:sz="4" w:space="0" w:color="auto"/>
              <w:left w:val="single" w:sz="4" w:space="0" w:color="auto"/>
              <w:bottom w:val="single" w:sz="4" w:space="0" w:color="auto"/>
              <w:right w:val="single" w:sz="4" w:space="0" w:color="auto"/>
            </w:tcBorders>
          </w:tcPr>
          <w:p w14:paraId="3AA02AD1"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2D976EBE" w14:textId="77777777" w:rsidR="006A047D" w:rsidRPr="00AA128D" w:rsidRDefault="006A047D" w:rsidP="006A047D">
            <w:pPr>
              <w:spacing w:after="160" w:line="276" w:lineRule="auto"/>
              <w:rPr>
                <w:rFonts w:asciiTheme="minorHAnsi" w:hAnsiTheme="minorHAnsi" w:cstheme="minorHAnsi"/>
                <w:lang w:val="en-IN"/>
              </w:rPr>
            </w:pPr>
            <w:r w:rsidRPr="00AA128D">
              <w:rPr>
                <w:rFonts w:asciiTheme="minorHAnsi" w:hAnsiTheme="minorHAnsi" w:cstheme="minorHAnsi"/>
                <w:lang w:val="en-IN"/>
              </w:rPr>
              <w:t>Notify cases to which s.56(2)(x) and s.50CA will not apply [corresponding s.92(2)(m) and 79 of ITA 2025] in draft Rule 58 of ITR 2026</w:t>
            </w:r>
          </w:p>
        </w:tc>
        <w:tc>
          <w:tcPr>
            <w:tcW w:w="0" w:type="auto"/>
            <w:tcBorders>
              <w:top w:val="single" w:sz="4" w:space="0" w:color="auto"/>
              <w:left w:val="single" w:sz="4" w:space="0" w:color="auto"/>
              <w:bottom w:val="single" w:sz="4" w:space="0" w:color="auto"/>
              <w:right w:val="single" w:sz="4" w:space="0" w:color="auto"/>
            </w:tcBorders>
          </w:tcPr>
          <w:p w14:paraId="25802832" w14:textId="10D05A1A" w:rsidR="006A047D" w:rsidRPr="00AA128D" w:rsidRDefault="006A047D" w:rsidP="006A047D">
            <w:pPr>
              <w:spacing w:after="160" w:line="276" w:lineRule="auto"/>
              <w:rPr>
                <w:rFonts w:asciiTheme="minorHAnsi" w:hAnsiTheme="minorHAnsi" w:cstheme="minorHAnsi"/>
                <w:lang w:val="en-IN"/>
              </w:rPr>
            </w:pPr>
            <w:r>
              <w:t>10</w:t>
            </w:r>
          </w:p>
        </w:tc>
      </w:tr>
      <w:tr w:rsidR="006A047D" w:rsidRPr="00AA128D" w14:paraId="1FADC265" w14:textId="77777777">
        <w:tc>
          <w:tcPr>
            <w:tcW w:w="845" w:type="dxa"/>
            <w:tcBorders>
              <w:top w:val="single" w:sz="4" w:space="0" w:color="auto"/>
              <w:left w:val="single" w:sz="4" w:space="0" w:color="auto"/>
              <w:bottom w:val="single" w:sz="4" w:space="0" w:color="auto"/>
              <w:right w:val="single" w:sz="4" w:space="0" w:color="auto"/>
            </w:tcBorders>
          </w:tcPr>
          <w:p w14:paraId="5B4F9310"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16C9B783" w14:textId="77777777" w:rsidR="006A047D" w:rsidRPr="00AA128D" w:rsidRDefault="006A047D" w:rsidP="006A047D">
            <w:pPr>
              <w:spacing w:after="160" w:line="276" w:lineRule="auto"/>
              <w:rPr>
                <w:rFonts w:asciiTheme="minorHAnsi" w:hAnsiTheme="minorHAnsi" w:cstheme="minorHAnsi"/>
                <w:bCs/>
                <w:lang w:val="en-IN"/>
              </w:rPr>
            </w:pPr>
            <w:r w:rsidRPr="00AA128D">
              <w:rPr>
                <w:rFonts w:asciiTheme="minorHAnsi" w:hAnsiTheme="minorHAnsi" w:cstheme="minorHAnsi"/>
                <w:bCs/>
                <w:lang w:val="en-IN"/>
              </w:rPr>
              <w:t>Clarification on non- applicability of anti-abuse provisions of s.56(2)(x) of the ITA, 1961 (corresponding S. 92(2)(m) of the ITA, 2025) on issue of shares where there is no tax abuse</w:t>
            </w:r>
          </w:p>
        </w:tc>
        <w:tc>
          <w:tcPr>
            <w:tcW w:w="0" w:type="auto"/>
            <w:tcBorders>
              <w:top w:val="single" w:sz="4" w:space="0" w:color="auto"/>
              <w:left w:val="single" w:sz="4" w:space="0" w:color="auto"/>
              <w:bottom w:val="single" w:sz="4" w:space="0" w:color="auto"/>
              <w:right w:val="single" w:sz="4" w:space="0" w:color="auto"/>
            </w:tcBorders>
          </w:tcPr>
          <w:p w14:paraId="5391E93E" w14:textId="241D52F1" w:rsidR="006A047D" w:rsidRPr="00AA128D" w:rsidRDefault="006A047D" w:rsidP="006A047D">
            <w:pPr>
              <w:spacing w:after="160" w:line="276" w:lineRule="auto"/>
              <w:rPr>
                <w:rFonts w:asciiTheme="minorHAnsi" w:hAnsiTheme="minorHAnsi" w:cstheme="minorHAnsi"/>
                <w:lang w:val="en-IN"/>
              </w:rPr>
            </w:pPr>
            <w:r>
              <w:t>13</w:t>
            </w:r>
          </w:p>
        </w:tc>
      </w:tr>
      <w:tr w:rsidR="006A047D" w:rsidRPr="00AA128D" w14:paraId="12EBE150" w14:textId="77777777">
        <w:tc>
          <w:tcPr>
            <w:tcW w:w="845" w:type="dxa"/>
            <w:tcBorders>
              <w:top w:val="single" w:sz="4" w:space="0" w:color="auto"/>
              <w:left w:val="single" w:sz="4" w:space="0" w:color="auto"/>
              <w:bottom w:val="single" w:sz="4" w:space="0" w:color="auto"/>
              <w:right w:val="single" w:sz="4" w:space="0" w:color="auto"/>
            </w:tcBorders>
          </w:tcPr>
          <w:p w14:paraId="6807727B"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00BFD811" w14:textId="77777777" w:rsidR="006A047D" w:rsidRPr="00AA128D" w:rsidRDefault="006A047D" w:rsidP="006A047D">
            <w:pPr>
              <w:spacing w:after="160" w:line="276" w:lineRule="auto"/>
              <w:rPr>
                <w:rFonts w:asciiTheme="minorHAnsi" w:hAnsiTheme="minorHAnsi" w:cstheme="minorHAnsi"/>
                <w:bCs/>
                <w:lang w:val="en-IN"/>
              </w:rPr>
            </w:pPr>
            <w:r w:rsidRPr="00AA128D">
              <w:rPr>
                <w:rFonts w:asciiTheme="minorHAnsi" w:hAnsiTheme="minorHAnsi" w:cstheme="minorHAnsi"/>
                <w:bCs/>
              </w:rPr>
              <w:t>Section 50B of ITA 1961 and Rule 11UAE of IT Rules 1962 (Corresponding S. 77 in ITA 2025 and Rule 53 of Draft IT Rules 2026)</w:t>
            </w:r>
          </w:p>
        </w:tc>
        <w:tc>
          <w:tcPr>
            <w:tcW w:w="0" w:type="auto"/>
            <w:tcBorders>
              <w:top w:val="single" w:sz="4" w:space="0" w:color="auto"/>
              <w:left w:val="single" w:sz="4" w:space="0" w:color="auto"/>
              <w:bottom w:val="single" w:sz="4" w:space="0" w:color="auto"/>
              <w:right w:val="single" w:sz="4" w:space="0" w:color="auto"/>
            </w:tcBorders>
          </w:tcPr>
          <w:p w14:paraId="5AD0AF8F" w14:textId="1403A392" w:rsidR="006A047D" w:rsidRPr="00AA128D" w:rsidRDefault="006A047D" w:rsidP="006A047D">
            <w:pPr>
              <w:spacing w:after="160" w:line="276" w:lineRule="auto"/>
              <w:rPr>
                <w:rFonts w:asciiTheme="minorHAnsi" w:hAnsiTheme="minorHAnsi" w:cstheme="minorHAnsi"/>
                <w:lang w:val="en-IN"/>
              </w:rPr>
            </w:pPr>
            <w:r>
              <w:t>14</w:t>
            </w:r>
          </w:p>
        </w:tc>
      </w:tr>
      <w:tr w:rsidR="006A047D" w:rsidRPr="00AA128D" w14:paraId="14D89818" w14:textId="77777777">
        <w:tc>
          <w:tcPr>
            <w:tcW w:w="845" w:type="dxa"/>
            <w:tcBorders>
              <w:top w:val="single" w:sz="4" w:space="0" w:color="auto"/>
              <w:left w:val="single" w:sz="4" w:space="0" w:color="auto"/>
              <w:bottom w:val="single" w:sz="4" w:space="0" w:color="auto"/>
              <w:right w:val="single" w:sz="4" w:space="0" w:color="auto"/>
            </w:tcBorders>
          </w:tcPr>
          <w:p w14:paraId="7E2F6944"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7BE6402C" w14:textId="77777777" w:rsidR="006A047D" w:rsidRPr="00AA128D" w:rsidRDefault="006A047D" w:rsidP="006A047D">
            <w:pPr>
              <w:spacing w:after="160" w:line="276" w:lineRule="auto"/>
              <w:rPr>
                <w:rFonts w:asciiTheme="minorHAnsi" w:hAnsiTheme="minorHAnsi" w:cstheme="minorHAnsi"/>
                <w:bCs/>
              </w:rPr>
            </w:pPr>
            <w:r w:rsidRPr="00AA128D">
              <w:rPr>
                <w:rFonts w:asciiTheme="minorHAnsi" w:hAnsiTheme="minorHAnsi" w:cstheme="minorHAnsi"/>
                <w:bCs/>
              </w:rPr>
              <w:t>Rule 11UA, Rule 11UAA of the IT Rules 1962, r.w. Section 56(2)(x) and Section 50CA of ITA 1961</w:t>
            </w:r>
          </w:p>
          <w:p w14:paraId="4B38DC88" w14:textId="77777777" w:rsidR="006A047D" w:rsidRPr="00AA128D" w:rsidRDefault="006A047D" w:rsidP="006A047D">
            <w:pPr>
              <w:spacing w:after="160" w:line="276" w:lineRule="auto"/>
              <w:rPr>
                <w:rFonts w:asciiTheme="minorHAnsi" w:hAnsiTheme="minorHAnsi" w:cstheme="minorHAnsi"/>
                <w:bCs/>
              </w:rPr>
            </w:pPr>
            <w:r w:rsidRPr="00AA128D">
              <w:rPr>
                <w:rFonts w:asciiTheme="minorHAnsi" w:hAnsiTheme="minorHAnsi" w:cstheme="minorHAnsi"/>
                <w:bCs/>
              </w:rPr>
              <w:t>[corresponding s.92(2)(m) and 79 of ITA 2025] (corresponding Rule 57 of the Draft IT, Rules 2026)</w:t>
            </w:r>
          </w:p>
        </w:tc>
        <w:tc>
          <w:tcPr>
            <w:tcW w:w="0" w:type="auto"/>
            <w:tcBorders>
              <w:top w:val="single" w:sz="4" w:space="0" w:color="auto"/>
              <w:left w:val="single" w:sz="4" w:space="0" w:color="auto"/>
              <w:bottom w:val="single" w:sz="4" w:space="0" w:color="auto"/>
              <w:right w:val="single" w:sz="4" w:space="0" w:color="auto"/>
            </w:tcBorders>
          </w:tcPr>
          <w:p w14:paraId="5F7133AF" w14:textId="6AA6DE78" w:rsidR="006A047D" w:rsidRPr="00AA128D" w:rsidRDefault="006A047D" w:rsidP="006A047D">
            <w:pPr>
              <w:spacing w:after="160" w:line="276" w:lineRule="auto"/>
              <w:rPr>
                <w:rFonts w:asciiTheme="minorHAnsi" w:hAnsiTheme="minorHAnsi" w:cstheme="minorHAnsi"/>
                <w:lang w:val="en-IN"/>
              </w:rPr>
            </w:pPr>
            <w:r>
              <w:t>15</w:t>
            </w:r>
          </w:p>
        </w:tc>
      </w:tr>
      <w:tr w:rsidR="006A047D" w:rsidRPr="00AA128D" w14:paraId="54F2A709" w14:textId="77777777">
        <w:tc>
          <w:tcPr>
            <w:tcW w:w="845" w:type="dxa"/>
            <w:tcBorders>
              <w:top w:val="single" w:sz="4" w:space="0" w:color="auto"/>
              <w:left w:val="single" w:sz="4" w:space="0" w:color="auto"/>
              <w:bottom w:val="single" w:sz="4" w:space="0" w:color="auto"/>
              <w:right w:val="single" w:sz="4" w:space="0" w:color="auto"/>
            </w:tcBorders>
          </w:tcPr>
          <w:p w14:paraId="544F8A30"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0A75397E" w14:textId="77777777" w:rsidR="006A047D" w:rsidRPr="00AA128D" w:rsidRDefault="006A047D" w:rsidP="006A047D">
            <w:pPr>
              <w:spacing w:after="160" w:line="276" w:lineRule="auto"/>
              <w:rPr>
                <w:rFonts w:asciiTheme="minorHAnsi" w:hAnsiTheme="minorHAnsi" w:cstheme="minorHAnsi"/>
                <w:bCs/>
                <w:lang w:val="en-IN"/>
              </w:rPr>
            </w:pPr>
            <w:r w:rsidRPr="00AA128D">
              <w:rPr>
                <w:rFonts w:asciiTheme="minorHAnsi" w:hAnsiTheme="minorHAnsi" w:cstheme="minorHAnsi"/>
                <w:bCs/>
                <w:lang w:val="en-IN"/>
              </w:rPr>
              <w:t xml:space="preserve">Fair Market Valuation (FMV) of unquoted shares under Rule 11UA/11UAA read with Rule 11U of the Income-tax Rules 1962 </w:t>
            </w:r>
          </w:p>
          <w:p w14:paraId="4E2B5962" w14:textId="77777777" w:rsidR="006A047D" w:rsidRPr="00AA128D" w:rsidRDefault="006A047D" w:rsidP="006A047D">
            <w:pPr>
              <w:spacing w:after="160" w:line="276" w:lineRule="auto"/>
              <w:rPr>
                <w:rFonts w:asciiTheme="minorHAnsi" w:hAnsiTheme="minorHAnsi" w:cstheme="minorHAnsi"/>
                <w:bCs/>
                <w:lang w:val="en-IN"/>
              </w:rPr>
            </w:pPr>
            <w:r w:rsidRPr="00AA128D">
              <w:rPr>
                <w:rFonts w:asciiTheme="minorHAnsi" w:hAnsiTheme="minorHAnsi" w:cstheme="minorHAnsi"/>
                <w:bCs/>
                <w:lang w:val="en-IN"/>
              </w:rPr>
              <w:t>(New Rule 56 &amp; 57 of the Draft IT Rules, 2026)</w:t>
            </w:r>
          </w:p>
        </w:tc>
        <w:tc>
          <w:tcPr>
            <w:tcW w:w="0" w:type="auto"/>
            <w:tcBorders>
              <w:top w:val="single" w:sz="4" w:space="0" w:color="auto"/>
              <w:left w:val="single" w:sz="4" w:space="0" w:color="auto"/>
              <w:bottom w:val="single" w:sz="4" w:space="0" w:color="auto"/>
              <w:right w:val="single" w:sz="4" w:space="0" w:color="auto"/>
            </w:tcBorders>
          </w:tcPr>
          <w:p w14:paraId="7010F0CC" w14:textId="1EB197E8" w:rsidR="006A047D" w:rsidRPr="00AA128D" w:rsidRDefault="006A047D" w:rsidP="006A047D">
            <w:pPr>
              <w:spacing w:after="160" w:line="276" w:lineRule="auto"/>
              <w:rPr>
                <w:rFonts w:asciiTheme="minorHAnsi" w:hAnsiTheme="minorHAnsi" w:cstheme="minorHAnsi"/>
                <w:lang w:val="en-IN"/>
              </w:rPr>
            </w:pPr>
            <w:r>
              <w:t>17</w:t>
            </w:r>
          </w:p>
        </w:tc>
      </w:tr>
      <w:tr w:rsidR="006A047D" w:rsidRPr="00AA128D" w14:paraId="2F52F7B7" w14:textId="77777777">
        <w:tc>
          <w:tcPr>
            <w:tcW w:w="845" w:type="dxa"/>
            <w:tcBorders>
              <w:top w:val="single" w:sz="4" w:space="0" w:color="auto"/>
              <w:left w:val="single" w:sz="4" w:space="0" w:color="auto"/>
              <w:bottom w:val="single" w:sz="4" w:space="0" w:color="auto"/>
              <w:right w:val="single" w:sz="4" w:space="0" w:color="auto"/>
            </w:tcBorders>
          </w:tcPr>
          <w:p w14:paraId="7BFEF7E1" w14:textId="77777777" w:rsidR="006A047D" w:rsidRPr="00AA128D" w:rsidRDefault="006A047D" w:rsidP="006A047D">
            <w:p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shd w:val="clear" w:color="auto" w:fill="BFBFBF"/>
            <w:hideMark/>
          </w:tcPr>
          <w:p w14:paraId="7F787D5A" w14:textId="77777777" w:rsidR="006A047D" w:rsidRPr="00AA128D" w:rsidRDefault="006A047D" w:rsidP="00BB6D0E">
            <w:pPr>
              <w:spacing w:after="160" w:line="276" w:lineRule="auto"/>
              <w:jc w:val="center"/>
              <w:rPr>
                <w:rFonts w:asciiTheme="minorHAnsi" w:hAnsiTheme="minorHAnsi" w:cstheme="minorHAnsi"/>
                <w:b/>
                <w:lang w:val="en-IN"/>
              </w:rPr>
            </w:pPr>
            <w:r w:rsidRPr="00AA128D">
              <w:rPr>
                <w:rFonts w:asciiTheme="minorHAnsi" w:hAnsiTheme="minorHAnsi" w:cstheme="minorHAnsi"/>
                <w:b/>
                <w:lang w:val="en-IN"/>
              </w:rPr>
              <w:t>Tax deducted at source</w:t>
            </w:r>
          </w:p>
        </w:tc>
        <w:tc>
          <w:tcPr>
            <w:tcW w:w="0" w:type="auto"/>
            <w:tcBorders>
              <w:top w:val="single" w:sz="4" w:space="0" w:color="auto"/>
              <w:left w:val="single" w:sz="4" w:space="0" w:color="auto"/>
              <w:bottom w:val="single" w:sz="4" w:space="0" w:color="auto"/>
              <w:right w:val="single" w:sz="4" w:space="0" w:color="auto"/>
            </w:tcBorders>
          </w:tcPr>
          <w:p w14:paraId="4C6DE765" w14:textId="77777777" w:rsidR="006A047D" w:rsidRPr="00AA128D" w:rsidRDefault="006A047D" w:rsidP="006A047D">
            <w:pPr>
              <w:spacing w:after="160" w:line="276" w:lineRule="auto"/>
              <w:rPr>
                <w:rFonts w:asciiTheme="minorHAnsi" w:hAnsiTheme="minorHAnsi" w:cstheme="minorHAnsi"/>
                <w:lang w:val="en-IN"/>
              </w:rPr>
            </w:pPr>
          </w:p>
        </w:tc>
      </w:tr>
      <w:tr w:rsidR="006A047D" w:rsidRPr="00AA128D" w14:paraId="2AE0C46F" w14:textId="77777777">
        <w:tc>
          <w:tcPr>
            <w:tcW w:w="845" w:type="dxa"/>
            <w:tcBorders>
              <w:top w:val="single" w:sz="4" w:space="0" w:color="auto"/>
              <w:left w:val="single" w:sz="4" w:space="0" w:color="auto"/>
              <w:bottom w:val="single" w:sz="4" w:space="0" w:color="auto"/>
              <w:right w:val="single" w:sz="4" w:space="0" w:color="auto"/>
            </w:tcBorders>
          </w:tcPr>
          <w:p w14:paraId="1CF60225"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24BD170A" w14:textId="77777777" w:rsidR="006A047D" w:rsidRPr="00AA128D" w:rsidRDefault="006A047D" w:rsidP="006A047D">
            <w:pPr>
              <w:spacing w:after="160" w:line="276" w:lineRule="auto"/>
              <w:rPr>
                <w:rFonts w:asciiTheme="minorHAnsi" w:hAnsiTheme="minorHAnsi" w:cstheme="minorHAnsi"/>
                <w:bCs/>
                <w:lang w:val="en-IN"/>
              </w:rPr>
            </w:pPr>
            <w:r w:rsidRPr="00AA128D">
              <w:rPr>
                <w:rFonts w:asciiTheme="minorHAnsi" w:hAnsiTheme="minorHAnsi" w:cstheme="minorHAnsi"/>
                <w:bCs/>
                <w:lang w:val="en-IN"/>
              </w:rPr>
              <w:t>Form 26AS /Annual Information Statement (AIS) to include PAN of deductor, Unique TDS Certificate Number and Invoice-wise break for Sales data</w:t>
            </w:r>
          </w:p>
        </w:tc>
        <w:tc>
          <w:tcPr>
            <w:tcW w:w="0" w:type="auto"/>
            <w:tcBorders>
              <w:top w:val="single" w:sz="4" w:space="0" w:color="auto"/>
              <w:left w:val="single" w:sz="4" w:space="0" w:color="auto"/>
              <w:bottom w:val="single" w:sz="4" w:space="0" w:color="auto"/>
              <w:right w:val="single" w:sz="4" w:space="0" w:color="auto"/>
            </w:tcBorders>
          </w:tcPr>
          <w:p w14:paraId="0529AD0F" w14:textId="1E1D71DB" w:rsidR="006A047D" w:rsidRPr="00AA128D" w:rsidRDefault="006A047D" w:rsidP="006A047D">
            <w:pPr>
              <w:spacing w:after="160" w:line="276" w:lineRule="auto"/>
              <w:rPr>
                <w:rFonts w:asciiTheme="minorHAnsi" w:hAnsiTheme="minorHAnsi" w:cstheme="minorHAnsi"/>
                <w:lang w:val="en-IN"/>
              </w:rPr>
            </w:pPr>
            <w:r>
              <w:t>18</w:t>
            </w:r>
          </w:p>
        </w:tc>
      </w:tr>
      <w:tr w:rsidR="006A047D" w:rsidRPr="00AA128D" w14:paraId="2933054A" w14:textId="77777777">
        <w:tc>
          <w:tcPr>
            <w:tcW w:w="845" w:type="dxa"/>
            <w:tcBorders>
              <w:top w:val="single" w:sz="4" w:space="0" w:color="auto"/>
              <w:left w:val="single" w:sz="4" w:space="0" w:color="auto"/>
              <w:bottom w:val="single" w:sz="4" w:space="0" w:color="auto"/>
              <w:right w:val="single" w:sz="4" w:space="0" w:color="auto"/>
            </w:tcBorders>
          </w:tcPr>
          <w:p w14:paraId="0BDCA1B5"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2A3445E4" w14:textId="77777777" w:rsidR="006A047D" w:rsidRPr="00AA128D" w:rsidRDefault="006A047D" w:rsidP="006A047D">
            <w:pPr>
              <w:spacing w:after="160" w:line="276" w:lineRule="auto"/>
              <w:rPr>
                <w:rFonts w:asciiTheme="minorHAnsi" w:hAnsiTheme="minorHAnsi" w:cstheme="minorHAnsi"/>
                <w:bCs/>
                <w:lang w:val="en-IN"/>
              </w:rPr>
            </w:pPr>
            <w:r w:rsidRPr="00AA128D">
              <w:rPr>
                <w:rFonts w:asciiTheme="minorHAnsi" w:hAnsiTheme="minorHAnsi" w:cstheme="minorHAnsi"/>
                <w:bCs/>
                <w:lang w:val="en-IN"/>
              </w:rPr>
              <w:t>TDS credit to be allowed solely based on Annual Tax Statement / Form 26AS and issue of TDS/TCS certificates be dispensed (barring a few exceptions)</w:t>
            </w:r>
          </w:p>
        </w:tc>
        <w:tc>
          <w:tcPr>
            <w:tcW w:w="0" w:type="auto"/>
            <w:tcBorders>
              <w:top w:val="single" w:sz="4" w:space="0" w:color="auto"/>
              <w:left w:val="single" w:sz="4" w:space="0" w:color="auto"/>
              <w:bottom w:val="single" w:sz="4" w:space="0" w:color="auto"/>
              <w:right w:val="single" w:sz="4" w:space="0" w:color="auto"/>
            </w:tcBorders>
          </w:tcPr>
          <w:p w14:paraId="326A0AF4" w14:textId="6AA5987A" w:rsidR="006A047D" w:rsidRPr="00AA128D" w:rsidRDefault="006A047D" w:rsidP="006A047D">
            <w:pPr>
              <w:spacing w:after="160" w:line="276" w:lineRule="auto"/>
              <w:rPr>
                <w:rFonts w:asciiTheme="minorHAnsi" w:hAnsiTheme="minorHAnsi" w:cstheme="minorHAnsi"/>
                <w:lang w:val="en-IN"/>
              </w:rPr>
            </w:pPr>
            <w:r>
              <w:t>19</w:t>
            </w:r>
          </w:p>
        </w:tc>
      </w:tr>
      <w:tr w:rsidR="006A047D" w:rsidRPr="00AA128D" w14:paraId="259638B2" w14:textId="77777777">
        <w:tc>
          <w:tcPr>
            <w:tcW w:w="845" w:type="dxa"/>
            <w:tcBorders>
              <w:top w:val="single" w:sz="4" w:space="0" w:color="auto"/>
              <w:left w:val="single" w:sz="4" w:space="0" w:color="auto"/>
              <w:bottom w:val="single" w:sz="4" w:space="0" w:color="auto"/>
              <w:right w:val="single" w:sz="4" w:space="0" w:color="auto"/>
            </w:tcBorders>
          </w:tcPr>
          <w:p w14:paraId="255EA8C6"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3B7D72F2" w14:textId="77777777" w:rsidR="006A047D" w:rsidRPr="00AA128D" w:rsidRDefault="006A047D" w:rsidP="006A047D">
            <w:pPr>
              <w:spacing w:after="160" w:line="276" w:lineRule="auto"/>
              <w:rPr>
                <w:rFonts w:asciiTheme="minorHAnsi" w:hAnsiTheme="minorHAnsi" w:cstheme="minorHAnsi"/>
                <w:bCs/>
                <w:lang w:val="en-IN"/>
              </w:rPr>
            </w:pPr>
            <w:r w:rsidRPr="00AA128D">
              <w:rPr>
                <w:rFonts w:asciiTheme="minorHAnsi" w:hAnsiTheme="minorHAnsi" w:cstheme="minorHAnsi"/>
                <w:bCs/>
              </w:rPr>
              <w:t>Liberalise Rule 30(3) of the ITR, 1962 by expanding scope coverage and laying down transparent guidelines prescribing circumstances in which such facility can be availed (Rule 218(4) of the Draft IT Rules, 2026)</w:t>
            </w:r>
          </w:p>
        </w:tc>
        <w:tc>
          <w:tcPr>
            <w:tcW w:w="0" w:type="auto"/>
            <w:tcBorders>
              <w:top w:val="single" w:sz="4" w:space="0" w:color="auto"/>
              <w:left w:val="single" w:sz="4" w:space="0" w:color="auto"/>
              <w:bottom w:val="single" w:sz="4" w:space="0" w:color="auto"/>
              <w:right w:val="single" w:sz="4" w:space="0" w:color="auto"/>
            </w:tcBorders>
          </w:tcPr>
          <w:p w14:paraId="56AF7E89" w14:textId="6DD769D1" w:rsidR="006A047D" w:rsidRPr="00AA128D" w:rsidRDefault="006A047D" w:rsidP="006A047D">
            <w:pPr>
              <w:spacing w:after="160" w:line="276" w:lineRule="auto"/>
              <w:rPr>
                <w:rFonts w:asciiTheme="minorHAnsi" w:hAnsiTheme="minorHAnsi" w:cstheme="minorHAnsi"/>
                <w:lang w:val="en-IN"/>
              </w:rPr>
            </w:pPr>
            <w:r>
              <w:t>22</w:t>
            </w:r>
          </w:p>
        </w:tc>
      </w:tr>
      <w:tr w:rsidR="006A047D" w:rsidRPr="00AA128D" w14:paraId="029A3931" w14:textId="77777777">
        <w:tc>
          <w:tcPr>
            <w:tcW w:w="845" w:type="dxa"/>
            <w:tcBorders>
              <w:top w:val="single" w:sz="4" w:space="0" w:color="auto"/>
              <w:left w:val="single" w:sz="4" w:space="0" w:color="auto"/>
              <w:bottom w:val="single" w:sz="4" w:space="0" w:color="auto"/>
              <w:right w:val="single" w:sz="4" w:space="0" w:color="auto"/>
            </w:tcBorders>
          </w:tcPr>
          <w:p w14:paraId="0F09BFDC"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0412216F" w14:textId="77777777" w:rsidR="006A047D" w:rsidRPr="00AA128D" w:rsidRDefault="006A047D" w:rsidP="006A047D">
            <w:pPr>
              <w:spacing w:after="160" w:line="276" w:lineRule="auto"/>
              <w:rPr>
                <w:rFonts w:asciiTheme="minorHAnsi" w:hAnsiTheme="minorHAnsi" w:cstheme="minorHAnsi"/>
                <w:bCs/>
              </w:rPr>
            </w:pPr>
            <w:r w:rsidRPr="00AA128D">
              <w:rPr>
                <w:rFonts w:asciiTheme="minorHAnsi" w:hAnsiTheme="minorHAnsi" w:cstheme="minorHAnsi"/>
                <w:bCs/>
              </w:rPr>
              <w:t>Section 197 - Lower Withholding Tax Certificate</w:t>
            </w:r>
          </w:p>
        </w:tc>
        <w:tc>
          <w:tcPr>
            <w:tcW w:w="0" w:type="auto"/>
            <w:tcBorders>
              <w:top w:val="single" w:sz="4" w:space="0" w:color="auto"/>
              <w:left w:val="single" w:sz="4" w:space="0" w:color="auto"/>
              <w:bottom w:val="single" w:sz="4" w:space="0" w:color="auto"/>
              <w:right w:val="single" w:sz="4" w:space="0" w:color="auto"/>
            </w:tcBorders>
          </w:tcPr>
          <w:p w14:paraId="46994FE1" w14:textId="7C036D89" w:rsidR="006A047D" w:rsidRPr="00AA128D" w:rsidRDefault="006A047D" w:rsidP="006A047D">
            <w:pPr>
              <w:spacing w:after="160" w:line="276" w:lineRule="auto"/>
              <w:rPr>
                <w:rFonts w:asciiTheme="minorHAnsi" w:hAnsiTheme="minorHAnsi" w:cstheme="minorHAnsi"/>
                <w:lang w:val="en-IN"/>
              </w:rPr>
            </w:pPr>
            <w:r>
              <w:t>23</w:t>
            </w:r>
          </w:p>
        </w:tc>
      </w:tr>
      <w:tr w:rsidR="006A047D" w:rsidRPr="00AA128D" w14:paraId="22506FBD" w14:textId="77777777">
        <w:tc>
          <w:tcPr>
            <w:tcW w:w="845" w:type="dxa"/>
            <w:tcBorders>
              <w:top w:val="single" w:sz="4" w:space="0" w:color="auto"/>
              <w:left w:val="single" w:sz="4" w:space="0" w:color="auto"/>
              <w:bottom w:val="single" w:sz="4" w:space="0" w:color="auto"/>
              <w:right w:val="single" w:sz="4" w:space="0" w:color="auto"/>
            </w:tcBorders>
          </w:tcPr>
          <w:p w14:paraId="7190C718"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5A32C9B2" w14:textId="77777777" w:rsidR="006A047D" w:rsidRPr="00AA128D" w:rsidRDefault="006A047D" w:rsidP="006A047D">
            <w:pPr>
              <w:spacing w:after="160" w:line="276" w:lineRule="auto"/>
              <w:rPr>
                <w:rFonts w:asciiTheme="minorHAnsi" w:hAnsiTheme="minorHAnsi" w:cstheme="minorHAnsi"/>
                <w:bCs/>
                <w:lang w:val="en-IN"/>
              </w:rPr>
            </w:pPr>
            <w:r w:rsidRPr="00AA128D">
              <w:rPr>
                <w:rFonts w:asciiTheme="minorHAnsi" w:hAnsiTheme="minorHAnsi" w:cstheme="minorHAnsi"/>
                <w:bCs/>
                <w:lang w:val="en-IN"/>
              </w:rPr>
              <w:t>Unutilized / unconsumed TDS Challans</w:t>
            </w:r>
          </w:p>
        </w:tc>
        <w:tc>
          <w:tcPr>
            <w:tcW w:w="0" w:type="auto"/>
            <w:tcBorders>
              <w:top w:val="single" w:sz="4" w:space="0" w:color="auto"/>
              <w:left w:val="single" w:sz="4" w:space="0" w:color="auto"/>
              <w:bottom w:val="single" w:sz="4" w:space="0" w:color="auto"/>
              <w:right w:val="single" w:sz="4" w:space="0" w:color="auto"/>
            </w:tcBorders>
          </w:tcPr>
          <w:p w14:paraId="6970AAAC" w14:textId="2A8E0F4A" w:rsidR="006A047D" w:rsidRPr="00AA128D" w:rsidRDefault="006A047D" w:rsidP="006A047D">
            <w:pPr>
              <w:spacing w:after="160" w:line="276" w:lineRule="auto"/>
              <w:rPr>
                <w:rFonts w:asciiTheme="minorHAnsi" w:hAnsiTheme="minorHAnsi" w:cstheme="minorHAnsi"/>
                <w:lang w:val="en-IN"/>
              </w:rPr>
            </w:pPr>
            <w:r>
              <w:t>23</w:t>
            </w:r>
          </w:p>
        </w:tc>
      </w:tr>
      <w:tr w:rsidR="006A047D" w:rsidRPr="00AA128D" w14:paraId="34593065" w14:textId="77777777">
        <w:tc>
          <w:tcPr>
            <w:tcW w:w="845" w:type="dxa"/>
            <w:tcBorders>
              <w:top w:val="single" w:sz="4" w:space="0" w:color="auto"/>
              <w:left w:val="single" w:sz="4" w:space="0" w:color="auto"/>
              <w:bottom w:val="single" w:sz="4" w:space="0" w:color="auto"/>
              <w:right w:val="single" w:sz="4" w:space="0" w:color="auto"/>
            </w:tcBorders>
          </w:tcPr>
          <w:p w14:paraId="02DB64AE"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35B21179" w14:textId="77777777" w:rsidR="006A047D" w:rsidRPr="00AA128D" w:rsidRDefault="006A047D" w:rsidP="006A047D">
            <w:pPr>
              <w:spacing w:after="160" w:line="276" w:lineRule="auto"/>
              <w:rPr>
                <w:rFonts w:asciiTheme="minorHAnsi" w:hAnsiTheme="minorHAnsi" w:cstheme="minorHAnsi"/>
                <w:bCs/>
              </w:rPr>
            </w:pPr>
            <w:r w:rsidRPr="00AA128D">
              <w:rPr>
                <w:rFonts w:asciiTheme="minorHAnsi" w:hAnsiTheme="minorHAnsi" w:cstheme="minorHAnsi"/>
                <w:bCs/>
              </w:rPr>
              <w:t>Amendment in Rule 29B to align with amended provisions of section 195 of ITA 1961</w:t>
            </w:r>
          </w:p>
          <w:p w14:paraId="0B551386" w14:textId="77777777" w:rsidR="006A047D" w:rsidRPr="00AA128D" w:rsidRDefault="006A047D" w:rsidP="006A047D">
            <w:pPr>
              <w:spacing w:after="160" w:line="276" w:lineRule="auto"/>
              <w:rPr>
                <w:rFonts w:asciiTheme="minorHAnsi" w:hAnsiTheme="minorHAnsi" w:cstheme="minorHAnsi"/>
                <w:bCs/>
                <w:lang w:val="en-IN"/>
              </w:rPr>
            </w:pPr>
            <w:r w:rsidRPr="00AA128D">
              <w:rPr>
                <w:rFonts w:asciiTheme="minorHAnsi" w:hAnsiTheme="minorHAnsi" w:cstheme="minorHAnsi"/>
                <w:bCs/>
              </w:rPr>
              <w:t>(Corresponding Rule 209 of the draft IT Rules, 2026 and S. 393 of the ITA, 2025)</w:t>
            </w:r>
          </w:p>
        </w:tc>
        <w:tc>
          <w:tcPr>
            <w:tcW w:w="0" w:type="auto"/>
            <w:tcBorders>
              <w:top w:val="single" w:sz="4" w:space="0" w:color="auto"/>
              <w:left w:val="single" w:sz="4" w:space="0" w:color="auto"/>
              <w:bottom w:val="single" w:sz="4" w:space="0" w:color="auto"/>
              <w:right w:val="single" w:sz="4" w:space="0" w:color="auto"/>
            </w:tcBorders>
          </w:tcPr>
          <w:p w14:paraId="59DAA783" w14:textId="26ED60BA" w:rsidR="006A047D" w:rsidRPr="00AA128D" w:rsidRDefault="006A047D" w:rsidP="006A047D">
            <w:pPr>
              <w:spacing w:after="160" w:line="276" w:lineRule="auto"/>
              <w:rPr>
                <w:rFonts w:asciiTheme="minorHAnsi" w:hAnsiTheme="minorHAnsi" w:cstheme="minorHAnsi"/>
                <w:lang w:val="en-IN"/>
              </w:rPr>
            </w:pPr>
            <w:r>
              <w:t>24</w:t>
            </w:r>
          </w:p>
        </w:tc>
      </w:tr>
      <w:tr w:rsidR="006A047D" w:rsidRPr="00AA128D" w14:paraId="01E2D495" w14:textId="77777777">
        <w:tc>
          <w:tcPr>
            <w:tcW w:w="845" w:type="dxa"/>
            <w:tcBorders>
              <w:top w:val="single" w:sz="4" w:space="0" w:color="auto"/>
              <w:left w:val="single" w:sz="4" w:space="0" w:color="auto"/>
              <w:bottom w:val="single" w:sz="4" w:space="0" w:color="auto"/>
              <w:right w:val="single" w:sz="4" w:space="0" w:color="auto"/>
            </w:tcBorders>
          </w:tcPr>
          <w:p w14:paraId="5CA26A6E"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5DD9F2B3" w14:textId="77777777" w:rsidR="006A047D" w:rsidRPr="00AA128D" w:rsidRDefault="006A047D" w:rsidP="006A047D">
            <w:pPr>
              <w:spacing w:after="160" w:line="276" w:lineRule="auto"/>
              <w:rPr>
                <w:rFonts w:asciiTheme="minorHAnsi" w:hAnsiTheme="minorHAnsi" w:cstheme="minorHAnsi"/>
                <w:bCs/>
                <w:lang w:val="en-IN"/>
              </w:rPr>
            </w:pPr>
            <w:r w:rsidRPr="00AA128D">
              <w:rPr>
                <w:rFonts w:asciiTheme="minorHAnsi" w:hAnsiTheme="minorHAnsi" w:cstheme="minorHAnsi"/>
                <w:bCs/>
                <w:lang w:val="en-IN"/>
              </w:rPr>
              <w:t>Representation for relief from tax withholding in case of multiple small ticket transactions</w:t>
            </w:r>
          </w:p>
        </w:tc>
        <w:tc>
          <w:tcPr>
            <w:tcW w:w="0" w:type="auto"/>
            <w:tcBorders>
              <w:top w:val="single" w:sz="4" w:space="0" w:color="auto"/>
              <w:left w:val="single" w:sz="4" w:space="0" w:color="auto"/>
              <w:bottom w:val="single" w:sz="4" w:space="0" w:color="auto"/>
              <w:right w:val="single" w:sz="4" w:space="0" w:color="auto"/>
            </w:tcBorders>
          </w:tcPr>
          <w:p w14:paraId="0D4096B8" w14:textId="7BA4870C" w:rsidR="006A047D" w:rsidRPr="00AA128D" w:rsidRDefault="006A047D" w:rsidP="006A047D">
            <w:pPr>
              <w:spacing w:after="160" w:line="276" w:lineRule="auto"/>
              <w:rPr>
                <w:rFonts w:asciiTheme="minorHAnsi" w:hAnsiTheme="minorHAnsi" w:cstheme="minorHAnsi"/>
                <w:lang w:val="en-IN"/>
              </w:rPr>
            </w:pPr>
            <w:r>
              <w:t>27</w:t>
            </w:r>
          </w:p>
        </w:tc>
      </w:tr>
      <w:tr w:rsidR="006A047D" w:rsidRPr="00AA128D" w14:paraId="6C7F7AE1" w14:textId="77777777">
        <w:tc>
          <w:tcPr>
            <w:tcW w:w="845" w:type="dxa"/>
            <w:tcBorders>
              <w:top w:val="single" w:sz="4" w:space="0" w:color="auto"/>
              <w:left w:val="single" w:sz="4" w:space="0" w:color="auto"/>
              <w:bottom w:val="single" w:sz="4" w:space="0" w:color="auto"/>
              <w:right w:val="single" w:sz="4" w:space="0" w:color="auto"/>
            </w:tcBorders>
          </w:tcPr>
          <w:p w14:paraId="76021365"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48AEFD88" w14:textId="77777777" w:rsidR="006A047D" w:rsidRPr="00AA128D" w:rsidRDefault="006A047D" w:rsidP="006A047D">
            <w:pPr>
              <w:spacing w:after="160" w:line="276" w:lineRule="auto"/>
              <w:rPr>
                <w:rFonts w:asciiTheme="minorHAnsi" w:hAnsiTheme="minorHAnsi" w:cstheme="minorHAnsi"/>
                <w:lang w:val="en-IN"/>
              </w:rPr>
            </w:pPr>
            <w:r w:rsidRPr="00AA128D">
              <w:rPr>
                <w:rFonts w:asciiTheme="minorHAnsi" w:hAnsiTheme="minorHAnsi" w:cstheme="minorHAnsi"/>
                <w:lang w:val="en-IN"/>
              </w:rPr>
              <w:t>Application for obtaining Tax Deduction and collection Account number (TAN) by non-residents</w:t>
            </w:r>
          </w:p>
        </w:tc>
        <w:tc>
          <w:tcPr>
            <w:tcW w:w="0" w:type="auto"/>
            <w:tcBorders>
              <w:top w:val="single" w:sz="4" w:space="0" w:color="auto"/>
              <w:left w:val="single" w:sz="4" w:space="0" w:color="auto"/>
              <w:bottom w:val="single" w:sz="4" w:space="0" w:color="auto"/>
              <w:right w:val="single" w:sz="4" w:space="0" w:color="auto"/>
            </w:tcBorders>
          </w:tcPr>
          <w:p w14:paraId="7C413447" w14:textId="71DDE280" w:rsidR="006A047D" w:rsidRPr="00AA128D" w:rsidRDefault="006A047D" w:rsidP="006A047D">
            <w:pPr>
              <w:spacing w:after="160" w:line="276" w:lineRule="auto"/>
              <w:rPr>
                <w:rFonts w:asciiTheme="minorHAnsi" w:hAnsiTheme="minorHAnsi" w:cstheme="minorHAnsi"/>
                <w:lang w:val="en-IN"/>
              </w:rPr>
            </w:pPr>
            <w:r>
              <w:t>34</w:t>
            </w:r>
          </w:p>
        </w:tc>
      </w:tr>
      <w:tr w:rsidR="006A047D" w:rsidRPr="00AA128D" w14:paraId="51DFFF11" w14:textId="77777777">
        <w:tc>
          <w:tcPr>
            <w:tcW w:w="845" w:type="dxa"/>
            <w:tcBorders>
              <w:top w:val="single" w:sz="4" w:space="0" w:color="auto"/>
              <w:left w:val="single" w:sz="4" w:space="0" w:color="auto"/>
              <w:bottom w:val="single" w:sz="4" w:space="0" w:color="auto"/>
              <w:right w:val="single" w:sz="4" w:space="0" w:color="auto"/>
            </w:tcBorders>
          </w:tcPr>
          <w:p w14:paraId="719A09F0"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3D7C344C" w14:textId="77777777" w:rsidR="006A047D" w:rsidRPr="00AA128D" w:rsidRDefault="006A047D" w:rsidP="006A047D">
            <w:pPr>
              <w:spacing w:after="160" w:line="276" w:lineRule="auto"/>
              <w:rPr>
                <w:rFonts w:asciiTheme="minorHAnsi" w:hAnsiTheme="minorHAnsi" w:cstheme="minorHAnsi"/>
                <w:lang w:val="en-IN"/>
              </w:rPr>
            </w:pPr>
            <w:r w:rsidRPr="00AA128D">
              <w:rPr>
                <w:rFonts w:asciiTheme="minorHAnsi" w:hAnsiTheme="minorHAnsi" w:cstheme="minorHAnsi"/>
                <w:lang w:val="en-IN"/>
              </w:rPr>
              <w:t>Rate of exchange for the purpose of deduction of tax at source on income payable in foreign currency</w:t>
            </w:r>
          </w:p>
        </w:tc>
        <w:tc>
          <w:tcPr>
            <w:tcW w:w="0" w:type="auto"/>
            <w:tcBorders>
              <w:top w:val="single" w:sz="4" w:space="0" w:color="auto"/>
              <w:left w:val="single" w:sz="4" w:space="0" w:color="auto"/>
              <w:bottom w:val="single" w:sz="4" w:space="0" w:color="auto"/>
              <w:right w:val="single" w:sz="4" w:space="0" w:color="auto"/>
            </w:tcBorders>
          </w:tcPr>
          <w:p w14:paraId="60EF280A" w14:textId="68472E2D" w:rsidR="006A047D" w:rsidRPr="00AA128D" w:rsidRDefault="006A047D" w:rsidP="006A047D">
            <w:pPr>
              <w:spacing w:after="160" w:line="276" w:lineRule="auto"/>
              <w:rPr>
                <w:rFonts w:asciiTheme="minorHAnsi" w:hAnsiTheme="minorHAnsi" w:cstheme="minorHAnsi"/>
                <w:lang w:val="en-IN"/>
              </w:rPr>
            </w:pPr>
            <w:r>
              <w:t>35</w:t>
            </w:r>
          </w:p>
        </w:tc>
      </w:tr>
      <w:tr w:rsidR="006A047D" w:rsidRPr="00AA128D" w14:paraId="423BCA38" w14:textId="77777777">
        <w:tc>
          <w:tcPr>
            <w:tcW w:w="845" w:type="dxa"/>
            <w:tcBorders>
              <w:top w:val="single" w:sz="4" w:space="0" w:color="auto"/>
              <w:left w:val="single" w:sz="4" w:space="0" w:color="auto"/>
              <w:bottom w:val="single" w:sz="4" w:space="0" w:color="auto"/>
              <w:right w:val="single" w:sz="4" w:space="0" w:color="auto"/>
            </w:tcBorders>
          </w:tcPr>
          <w:p w14:paraId="19491D8C"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24FF4CB1" w14:textId="77777777" w:rsidR="006A047D" w:rsidRPr="00AA128D" w:rsidRDefault="006A047D" w:rsidP="006A047D">
            <w:pPr>
              <w:spacing w:after="160" w:line="276" w:lineRule="auto"/>
              <w:rPr>
                <w:rFonts w:asciiTheme="minorHAnsi" w:hAnsiTheme="minorHAnsi" w:cstheme="minorHAnsi"/>
                <w:lang w:val="en-IN"/>
              </w:rPr>
            </w:pPr>
            <w:r w:rsidRPr="00AA128D">
              <w:rPr>
                <w:rFonts w:asciiTheme="minorHAnsi" w:hAnsiTheme="minorHAnsi" w:cstheme="minorHAnsi"/>
                <w:lang w:val="en-IN"/>
              </w:rPr>
              <w:t xml:space="preserve">Form 15CA and 15CB compliance on Dividend payments </w:t>
            </w:r>
          </w:p>
          <w:p w14:paraId="712DEB0E" w14:textId="77777777" w:rsidR="006A047D" w:rsidRPr="00AA128D" w:rsidRDefault="006A047D" w:rsidP="006A047D">
            <w:pPr>
              <w:spacing w:after="160" w:line="276" w:lineRule="auto"/>
              <w:rPr>
                <w:rFonts w:asciiTheme="minorHAnsi" w:hAnsiTheme="minorHAnsi" w:cstheme="minorHAnsi"/>
                <w:bCs/>
              </w:rPr>
            </w:pPr>
            <w:r w:rsidRPr="00AA128D">
              <w:rPr>
                <w:rFonts w:asciiTheme="minorHAnsi" w:hAnsiTheme="minorHAnsi" w:cstheme="minorHAnsi"/>
                <w:bCs/>
              </w:rPr>
              <w:t>Section 393(2)[Table: S.No.17] of ITA 2025 [corresponding to S. 195 of ITA, 1961]</w:t>
            </w:r>
          </w:p>
        </w:tc>
        <w:tc>
          <w:tcPr>
            <w:tcW w:w="0" w:type="auto"/>
            <w:tcBorders>
              <w:top w:val="single" w:sz="4" w:space="0" w:color="auto"/>
              <w:left w:val="single" w:sz="4" w:space="0" w:color="auto"/>
              <w:bottom w:val="single" w:sz="4" w:space="0" w:color="auto"/>
              <w:right w:val="single" w:sz="4" w:space="0" w:color="auto"/>
            </w:tcBorders>
          </w:tcPr>
          <w:p w14:paraId="099F603D" w14:textId="0DC360EC" w:rsidR="006A047D" w:rsidRPr="00AA128D" w:rsidRDefault="006A047D" w:rsidP="006A047D">
            <w:pPr>
              <w:spacing w:after="160" w:line="276" w:lineRule="auto"/>
              <w:rPr>
                <w:rFonts w:asciiTheme="minorHAnsi" w:hAnsiTheme="minorHAnsi" w:cstheme="minorHAnsi"/>
                <w:lang w:val="en-IN"/>
              </w:rPr>
            </w:pPr>
            <w:r>
              <w:t>36</w:t>
            </w:r>
          </w:p>
        </w:tc>
      </w:tr>
      <w:tr w:rsidR="006A047D" w:rsidRPr="00AA128D" w14:paraId="33A87349" w14:textId="77777777">
        <w:tc>
          <w:tcPr>
            <w:tcW w:w="845" w:type="dxa"/>
            <w:tcBorders>
              <w:top w:val="single" w:sz="4" w:space="0" w:color="auto"/>
              <w:left w:val="single" w:sz="4" w:space="0" w:color="auto"/>
              <w:bottom w:val="single" w:sz="4" w:space="0" w:color="auto"/>
              <w:right w:val="single" w:sz="4" w:space="0" w:color="auto"/>
            </w:tcBorders>
          </w:tcPr>
          <w:p w14:paraId="0AC999D1" w14:textId="77777777" w:rsidR="006A047D" w:rsidRPr="00AA128D" w:rsidRDefault="006A047D" w:rsidP="006A047D">
            <w:p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shd w:val="clear" w:color="auto" w:fill="BFBFBF"/>
            <w:hideMark/>
          </w:tcPr>
          <w:p w14:paraId="731EA7BC" w14:textId="77777777" w:rsidR="006A047D" w:rsidRPr="00AA128D" w:rsidRDefault="006A047D" w:rsidP="00BB6D0E">
            <w:pPr>
              <w:spacing w:after="160" w:line="276" w:lineRule="auto"/>
              <w:jc w:val="center"/>
              <w:rPr>
                <w:rFonts w:asciiTheme="minorHAnsi" w:hAnsiTheme="minorHAnsi" w:cstheme="minorHAnsi"/>
                <w:b/>
                <w:bCs/>
                <w:lang w:val="en-IN"/>
              </w:rPr>
            </w:pPr>
            <w:r w:rsidRPr="00AA128D">
              <w:rPr>
                <w:rFonts w:asciiTheme="minorHAnsi" w:hAnsiTheme="minorHAnsi" w:cstheme="minorHAnsi"/>
                <w:b/>
                <w:bCs/>
                <w:lang w:val="en-IN"/>
              </w:rPr>
              <w:t>Assessment related issues</w:t>
            </w:r>
          </w:p>
        </w:tc>
        <w:tc>
          <w:tcPr>
            <w:tcW w:w="0" w:type="auto"/>
            <w:tcBorders>
              <w:top w:val="single" w:sz="4" w:space="0" w:color="auto"/>
              <w:left w:val="single" w:sz="4" w:space="0" w:color="auto"/>
              <w:bottom w:val="single" w:sz="4" w:space="0" w:color="auto"/>
              <w:right w:val="single" w:sz="4" w:space="0" w:color="auto"/>
            </w:tcBorders>
          </w:tcPr>
          <w:p w14:paraId="7A15DC11" w14:textId="77777777" w:rsidR="006A047D" w:rsidRPr="00AA128D" w:rsidRDefault="006A047D" w:rsidP="006A047D">
            <w:pPr>
              <w:spacing w:after="160" w:line="276" w:lineRule="auto"/>
              <w:rPr>
                <w:rFonts w:asciiTheme="minorHAnsi" w:hAnsiTheme="minorHAnsi" w:cstheme="minorHAnsi"/>
                <w:lang w:val="en-IN"/>
              </w:rPr>
            </w:pPr>
          </w:p>
        </w:tc>
      </w:tr>
      <w:tr w:rsidR="006A047D" w:rsidRPr="00AA128D" w14:paraId="2A80B800" w14:textId="77777777">
        <w:tc>
          <w:tcPr>
            <w:tcW w:w="845" w:type="dxa"/>
            <w:tcBorders>
              <w:top w:val="single" w:sz="4" w:space="0" w:color="auto"/>
              <w:left w:val="single" w:sz="4" w:space="0" w:color="auto"/>
              <w:bottom w:val="single" w:sz="4" w:space="0" w:color="auto"/>
              <w:right w:val="single" w:sz="4" w:space="0" w:color="auto"/>
            </w:tcBorders>
          </w:tcPr>
          <w:p w14:paraId="605B7BC7"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30A86D57" w14:textId="77777777" w:rsidR="006A047D" w:rsidRPr="00AA128D" w:rsidRDefault="006A047D" w:rsidP="006A047D">
            <w:pPr>
              <w:spacing w:after="160" w:line="276" w:lineRule="auto"/>
              <w:rPr>
                <w:rFonts w:asciiTheme="minorHAnsi" w:hAnsiTheme="minorHAnsi" w:cstheme="minorHAnsi"/>
                <w:bCs/>
                <w:lang w:val="en-IN"/>
              </w:rPr>
            </w:pPr>
            <w:r w:rsidRPr="00AA128D">
              <w:rPr>
                <w:rFonts w:asciiTheme="minorHAnsi" w:hAnsiTheme="minorHAnsi" w:cstheme="minorHAnsi"/>
                <w:bCs/>
                <w:lang w:val="en-IN"/>
              </w:rPr>
              <w:t xml:space="preserve">Section 139 of ITA 1961 (S. 263 of ITA 2025) read with Rule 12 of IT Rules 1962 (Rule 164 of Draft IT Rules 2026/Section 92E of ITA 1961 (S. 172 of ITA 2025) read with Rule 10E of IT Rules 1962 (Rule 85 of Draft IT Rules 2026) [ITR and Form 3CEB (New Form 48)] – No scope of Disclosure in ITR and Form 3CEB </w:t>
            </w:r>
          </w:p>
        </w:tc>
        <w:tc>
          <w:tcPr>
            <w:tcW w:w="0" w:type="auto"/>
            <w:tcBorders>
              <w:top w:val="single" w:sz="4" w:space="0" w:color="auto"/>
              <w:left w:val="single" w:sz="4" w:space="0" w:color="auto"/>
              <w:bottom w:val="single" w:sz="4" w:space="0" w:color="auto"/>
              <w:right w:val="single" w:sz="4" w:space="0" w:color="auto"/>
            </w:tcBorders>
          </w:tcPr>
          <w:p w14:paraId="48777999" w14:textId="1B69F8C8" w:rsidR="006A047D" w:rsidRPr="00AA128D" w:rsidRDefault="006A047D" w:rsidP="006A047D">
            <w:pPr>
              <w:spacing w:after="160" w:line="276" w:lineRule="auto"/>
              <w:rPr>
                <w:rFonts w:asciiTheme="minorHAnsi" w:hAnsiTheme="minorHAnsi" w:cstheme="minorHAnsi"/>
                <w:lang w:val="en-IN"/>
              </w:rPr>
            </w:pPr>
            <w:r>
              <w:t>37</w:t>
            </w:r>
          </w:p>
        </w:tc>
      </w:tr>
      <w:tr w:rsidR="006A047D" w:rsidRPr="00AA128D" w14:paraId="7BABF418" w14:textId="77777777">
        <w:tc>
          <w:tcPr>
            <w:tcW w:w="845" w:type="dxa"/>
            <w:tcBorders>
              <w:top w:val="single" w:sz="4" w:space="0" w:color="auto"/>
              <w:left w:val="single" w:sz="4" w:space="0" w:color="auto"/>
              <w:bottom w:val="single" w:sz="4" w:space="0" w:color="auto"/>
              <w:right w:val="single" w:sz="4" w:space="0" w:color="auto"/>
            </w:tcBorders>
          </w:tcPr>
          <w:p w14:paraId="271FB48A"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065DD220" w14:textId="77777777" w:rsidR="006A047D" w:rsidRPr="00AA128D" w:rsidRDefault="006A047D" w:rsidP="006A047D">
            <w:pPr>
              <w:spacing w:after="160" w:line="276" w:lineRule="auto"/>
              <w:rPr>
                <w:rFonts w:asciiTheme="minorHAnsi" w:hAnsiTheme="minorHAnsi" w:cstheme="minorHAnsi"/>
                <w:bCs/>
                <w:lang w:val="en-IN"/>
              </w:rPr>
            </w:pPr>
            <w:r w:rsidRPr="00AA128D">
              <w:rPr>
                <w:rFonts w:asciiTheme="minorHAnsi" w:hAnsiTheme="minorHAnsi" w:cstheme="minorHAnsi"/>
                <w:bCs/>
                <w:lang w:val="en-IN"/>
              </w:rPr>
              <w:t>Section 43B (S. 37 of ITA 2025) - Expense provisions disallowed in earlier year(s) cannot be taxed again in subsequent year when such provisions are reversed and credited to P/L Account – changes required in Tax Audit Report utility</w:t>
            </w:r>
          </w:p>
        </w:tc>
        <w:tc>
          <w:tcPr>
            <w:tcW w:w="0" w:type="auto"/>
            <w:tcBorders>
              <w:top w:val="single" w:sz="4" w:space="0" w:color="auto"/>
              <w:left w:val="single" w:sz="4" w:space="0" w:color="auto"/>
              <w:bottom w:val="single" w:sz="4" w:space="0" w:color="auto"/>
              <w:right w:val="single" w:sz="4" w:space="0" w:color="auto"/>
            </w:tcBorders>
          </w:tcPr>
          <w:p w14:paraId="5852CDBF" w14:textId="4B79C93A" w:rsidR="006A047D" w:rsidRPr="00AA128D" w:rsidRDefault="006A047D" w:rsidP="006A047D">
            <w:pPr>
              <w:spacing w:after="160" w:line="276" w:lineRule="auto"/>
              <w:rPr>
                <w:rFonts w:asciiTheme="minorHAnsi" w:hAnsiTheme="minorHAnsi" w:cstheme="minorHAnsi"/>
                <w:lang w:val="en-IN"/>
              </w:rPr>
            </w:pPr>
            <w:r>
              <w:t>37</w:t>
            </w:r>
          </w:p>
        </w:tc>
      </w:tr>
      <w:tr w:rsidR="006A047D" w:rsidRPr="00AA128D" w14:paraId="2E65D82B" w14:textId="77777777">
        <w:tc>
          <w:tcPr>
            <w:tcW w:w="845" w:type="dxa"/>
            <w:tcBorders>
              <w:top w:val="single" w:sz="4" w:space="0" w:color="auto"/>
              <w:left w:val="single" w:sz="4" w:space="0" w:color="auto"/>
              <w:bottom w:val="single" w:sz="4" w:space="0" w:color="auto"/>
              <w:right w:val="single" w:sz="4" w:space="0" w:color="auto"/>
            </w:tcBorders>
          </w:tcPr>
          <w:p w14:paraId="0EC04983"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01D0E5C2" w14:textId="77777777" w:rsidR="006A047D" w:rsidRPr="00AA128D" w:rsidRDefault="006A047D" w:rsidP="006A047D">
            <w:pPr>
              <w:spacing w:after="160" w:line="276" w:lineRule="auto"/>
              <w:rPr>
                <w:rFonts w:asciiTheme="minorHAnsi" w:hAnsiTheme="minorHAnsi" w:cstheme="minorHAnsi"/>
                <w:bCs/>
                <w:lang w:val="en-IN"/>
              </w:rPr>
            </w:pPr>
            <w:r w:rsidRPr="00AA128D">
              <w:rPr>
                <w:rFonts w:asciiTheme="minorHAnsi" w:hAnsiTheme="minorHAnsi" w:cstheme="minorHAnsi"/>
                <w:bCs/>
                <w:lang w:val="en-IN"/>
              </w:rPr>
              <w:t xml:space="preserve">Clause 34(a) of Form 3CD (Schedule – TDS/TCS of Part B of Form 26) (Expenses as per P/L vis-a-vis TDS against same) </w:t>
            </w:r>
          </w:p>
        </w:tc>
        <w:tc>
          <w:tcPr>
            <w:tcW w:w="0" w:type="auto"/>
            <w:tcBorders>
              <w:top w:val="single" w:sz="4" w:space="0" w:color="auto"/>
              <w:left w:val="single" w:sz="4" w:space="0" w:color="auto"/>
              <w:bottom w:val="single" w:sz="4" w:space="0" w:color="auto"/>
              <w:right w:val="single" w:sz="4" w:space="0" w:color="auto"/>
            </w:tcBorders>
          </w:tcPr>
          <w:p w14:paraId="460AFBAC" w14:textId="1A29953B" w:rsidR="006A047D" w:rsidRPr="00AA128D" w:rsidRDefault="006A047D" w:rsidP="006A047D">
            <w:pPr>
              <w:spacing w:after="160" w:line="276" w:lineRule="auto"/>
              <w:rPr>
                <w:rFonts w:asciiTheme="minorHAnsi" w:hAnsiTheme="minorHAnsi" w:cstheme="minorHAnsi"/>
                <w:lang w:val="en-IN"/>
              </w:rPr>
            </w:pPr>
            <w:r>
              <w:t>38</w:t>
            </w:r>
          </w:p>
        </w:tc>
      </w:tr>
      <w:tr w:rsidR="006A047D" w:rsidRPr="00AA128D" w14:paraId="56646A40" w14:textId="77777777">
        <w:tc>
          <w:tcPr>
            <w:tcW w:w="845" w:type="dxa"/>
            <w:tcBorders>
              <w:top w:val="single" w:sz="4" w:space="0" w:color="auto"/>
              <w:left w:val="single" w:sz="4" w:space="0" w:color="auto"/>
              <w:bottom w:val="single" w:sz="4" w:space="0" w:color="auto"/>
              <w:right w:val="single" w:sz="4" w:space="0" w:color="auto"/>
            </w:tcBorders>
          </w:tcPr>
          <w:p w14:paraId="1422BC92"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13A8E371" w14:textId="77777777" w:rsidR="006A047D" w:rsidRPr="00AA128D" w:rsidRDefault="006A047D" w:rsidP="006A047D">
            <w:pPr>
              <w:spacing w:after="160" w:line="276" w:lineRule="auto"/>
              <w:rPr>
                <w:rFonts w:asciiTheme="minorHAnsi" w:hAnsiTheme="minorHAnsi" w:cstheme="minorHAnsi"/>
                <w:bCs/>
              </w:rPr>
            </w:pPr>
            <w:r w:rsidRPr="00AA128D">
              <w:rPr>
                <w:rFonts w:asciiTheme="minorHAnsi" w:hAnsiTheme="minorHAnsi" w:cstheme="minorHAnsi"/>
                <w:bCs/>
              </w:rPr>
              <w:t>Section 41(1) of ITA 1961 (s.38(1)(a) of ITA 2025) - Expense provisions disallowed in earlier year(s) cannot be taxed again in subsequent year when such provisions are reversed and credited to P/L Account- changes required in Tax Audit Report utility</w:t>
            </w:r>
          </w:p>
        </w:tc>
        <w:tc>
          <w:tcPr>
            <w:tcW w:w="0" w:type="auto"/>
            <w:tcBorders>
              <w:top w:val="single" w:sz="4" w:space="0" w:color="auto"/>
              <w:left w:val="single" w:sz="4" w:space="0" w:color="auto"/>
              <w:bottom w:val="single" w:sz="4" w:space="0" w:color="auto"/>
              <w:right w:val="single" w:sz="4" w:space="0" w:color="auto"/>
            </w:tcBorders>
          </w:tcPr>
          <w:p w14:paraId="512A1495" w14:textId="484EC622" w:rsidR="006A047D" w:rsidRPr="00AA128D" w:rsidRDefault="006A047D" w:rsidP="006A047D">
            <w:pPr>
              <w:spacing w:after="160" w:line="276" w:lineRule="auto"/>
              <w:rPr>
                <w:rFonts w:asciiTheme="minorHAnsi" w:hAnsiTheme="minorHAnsi" w:cstheme="minorHAnsi"/>
                <w:lang w:val="en-IN"/>
              </w:rPr>
            </w:pPr>
            <w:r>
              <w:t>39</w:t>
            </w:r>
          </w:p>
        </w:tc>
      </w:tr>
      <w:tr w:rsidR="006A047D" w:rsidRPr="00AA128D" w14:paraId="62797B29" w14:textId="77777777">
        <w:tc>
          <w:tcPr>
            <w:tcW w:w="845" w:type="dxa"/>
            <w:tcBorders>
              <w:top w:val="single" w:sz="4" w:space="0" w:color="auto"/>
              <w:left w:val="single" w:sz="4" w:space="0" w:color="auto"/>
              <w:bottom w:val="single" w:sz="4" w:space="0" w:color="auto"/>
              <w:right w:val="single" w:sz="4" w:space="0" w:color="auto"/>
            </w:tcBorders>
          </w:tcPr>
          <w:p w14:paraId="654CF616"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548985DA" w14:textId="77777777" w:rsidR="006A047D" w:rsidRPr="00AA128D" w:rsidRDefault="006A047D" w:rsidP="006A047D">
            <w:pPr>
              <w:spacing w:after="160" w:line="276" w:lineRule="auto"/>
              <w:rPr>
                <w:rFonts w:asciiTheme="minorHAnsi" w:hAnsiTheme="minorHAnsi" w:cstheme="minorHAnsi"/>
                <w:bCs/>
                <w:lang w:val="en-IN"/>
              </w:rPr>
            </w:pPr>
            <w:r w:rsidRPr="00AA128D">
              <w:rPr>
                <w:rFonts w:asciiTheme="minorHAnsi" w:hAnsiTheme="minorHAnsi" w:cstheme="minorHAnsi"/>
                <w:bCs/>
                <w:lang w:val="en-IN"/>
              </w:rPr>
              <w:t>Rule 26, Rule 128 of IT Rules 1962 (Rule 207 and 76 of Draft IT Rules 2026) requiring SBI TT Buy rate for conversion</w:t>
            </w:r>
          </w:p>
        </w:tc>
        <w:tc>
          <w:tcPr>
            <w:tcW w:w="0" w:type="auto"/>
            <w:tcBorders>
              <w:top w:val="single" w:sz="4" w:space="0" w:color="auto"/>
              <w:left w:val="single" w:sz="4" w:space="0" w:color="auto"/>
              <w:bottom w:val="single" w:sz="4" w:space="0" w:color="auto"/>
              <w:right w:val="single" w:sz="4" w:space="0" w:color="auto"/>
            </w:tcBorders>
          </w:tcPr>
          <w:p w14:paraId="3AE0F08F" w14:textId="1113EE0E" w:rsidR="006A047D" w:rsidRPr="00AA128D" w:rsidRDefault="006A047D" w:rsidP="006A047D">
            <w:pPr>
              <w:spacing w:after="160" w:line="276" w:lineRule="auto"/>
              <w:rPr>
                <w:rFonts w:asciiTheme="minorHAnsi" w:hAnsiTheme="minorHAnsi" w:cstheme="minorHAnsi"/>
                <w:lang w:val="en-IN"/>
              </w:rPr>
            </w:pPr>
            <w:r>
              <w:t>40</w:t>
            </w:r>
          </w:p>
        </w:tc>
      </w:tr>
      <w:tr w:rsidR="006A047D" w:rsidRPr="00AA128D" w14:paraId="5D373C37" w14:textId="77777777">
        <w:tc>
          <w:tcPr>
            <w:tcW w:w="845" w:type="dxa"/>
            <w:tcBorders>
              <w:top w:val="single" w:sz="4" w:space="0" w:color="auto"/>
              <w:left w:val="single" w:sz="4" w:space="0" w:color="auto"/>
              <w:bottom w:val="single" w:sz="4" w:space="0" w:color="auto"/>
              <w:right w:val="single" w:sz="4" w:space="0" w:color="auto"/>
            </w:tcBorders>
          </w:tcPr>
          <w:p w14:paraId="6976AC3C" w14:textId="77777777" w:rsidR="006A047D" w:rsidRPr="00AA128D" w:rsidRDefault="006A047D" w:rsidP="006A047D">
            <w:p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shd w:val="clear" w:color="auto" w:fill="BFBFBF"/>
            <w:hideMark/>
          </w:tcPr>
          <w:p w14:paraId="08BA598F" w14:textId="77777777" w:rsidR="006A047D" w:rsidRPr="00AA128D" w:rsidRDefault="006A047D" w:rsidP="00BB6D0E">
            <w:pPr>
              <w:spacing w:after="160" w:line="276" w:lineRule="auto"/>
              <w:jc w:val="center"/>
              <w:rPr>
                <w:rFonts w:asciiTheme="minorHAnsi" w:hAnsiTheme="minorHAnsi" w:cstheme="minorHAnsi"/>
                <w:lang w:val="en-IN"/>
              </w:rPr>
            </w:pPr>
            <w:r w:rsidRPr="00AA128D">
              <w:rPr>
                <w:rFonts w:asciiTheme="minorHAnsi" w:hAnsiTheme="minorHAnsi" w:cstheme="minorHAnsi"/>
                <w:b/>
                <w:lang w:val="en-IN"/>
              </w:rPr>
              <w:t>International taxation</w:t>
            </w:r>
          </w:p>
        </w:tc>
        <w:tc>
          <w:tcPr>
            <w:tcW w:w="0" w:type="auto"/>
            <w:tcBorders>
              <w:top w:val="single" w:sz="4" w:space="0" w:color="auto"/>
              <w:left w:val="single" w:sz="4" w:space="0" w:color="auto"/>
              <w:bottom w:val="single" w:sz="4" w:space="0" w:color="auto"/>
              <w:right w:val="single" w:sz="4" w:space="0" w:color="auto"/>
            </w:tcBorders>
          </w:tcPr>
          <w:p w14:paraId="700A7BAB" w14:textId="77777777" w:rsidR="006A047D" w:rsidRPr="00AA128D" w:rsidRDefault="006A047D" w:rsidP="006A047D">
            <w:pPr>
              <w:spacing w:after="160" w:line="276" w:lineRule="auto"/>
              <w:rPr>
                <w:rFonts w:asciiTheme="minorHAnsi" w:hAnsiTheme="minorHAnsi" w:cstheme="minorHAnsi"/>
                <w:lang w:val="en-IN"/>
              </w:rPr>
            </w:pPr>
          </w:p>
        </w:tc>
      </w:tr>
      <w:tr w:rsidR="006A047D" w:rsidRPr="00AA128D" w14:paraId="3D0FEF5E" w14:textId="77777777">
        <w:tc>
          <w:tcPr>
            <w:tcW w:w="845" w:type="dxa"/>
            <w:tcBorders>
              <w:top w:val="single" w:sz="4" w:space="0" w:color="auto"/>
              <w:left w:val="single" w:sz="4" w:space="0" w:color="auto"/>
              <w:bottom w:val="single" w:sz="4" w:space="0" w:color="auto"/>
              <w:right w:val="single" w:sz="4" w:space="0" w:color="auto"/>
            </w:tcBorders>
          </w:tcPr>
          <w:p w14:paraId="2B0DF5CE"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519BA1EC" w14:textId="77777777" w:rsidR="006A047D" w:rsidRPr="00AA128D" w:rsidRDefault="006A047D" w:rsidP="006A047D">
            <w:pPr>
              <w:spacing w:after="160" w:line="276" w:lineRule="auto"/>
              <w:rPr>
                <w:rFonts w:asciiTheme="minorHAnsi" w:hAnsiTheme="minorHAnsi" w:cstheme="minorHAnsi"/>
                <w:lang w:val="en-IN"/>
              </w:rPr>
            </w:pPr>
            <w:r w:rsidRPr="00AA128D">
              <w:rPr>
                <w:rFonts w:asciiTheme="minorHAnsi" w:hAnsiTheme="minorHAnsi" w:cstheme="minorHAnsi"/>
                <w:lang w:val="en-IN"/>
              </w:rPr>
              <w:t>Raising the threshold for Form 15CB under Rule 37BB of ITR 1962 (Rule 220 of Draft IT Rules 2026)</w:t>
            </w:r>
          </w:p>
        </w:tc>
        <w:tc>
          <w:tcPr>
            <w:tcW w:w="0" w:type="auto"/>
            <w:tcBorders>
              <w:top w:val="single" w:sz="4" w:space="0" w:color="auto"/>
              <w:left w:val="single" w:sz="4" w:space="0" w:color="auto"/>
              <w:bottom w:val="single" w:sz="4" w:space="0" w:color="auto"/>
              <w:right w:val="single" w:sz="4" w:space="0" w:color="auto"/>
            </w:tcBorders>
          </w:tcPr>
          <w:p w14:paraId="5A9FBC84" w14:textId="44A0518C" w:rsidR="006A047D" w:rsidRPr="00AA128D" w:rsidRDefault="006A047D" w:rsidP="006A047D">
            <w:pPr>
              <w:spacing w:after="160" w:line="276" w:lineRule="auto"/>
              <w:rPr>
                <w:rFonts w:asciiTheme="minorHAnsi" w:hAnsiTheme="minorHAnsi" w:cstheme="minorHAnsi"/>
                <w:lang w:val="en-IN"/>
              </w:rPr>
            </w:pPr>
            <w:r>
              <w:t>41</w:t>
            </w:r>
          </w:p>
        </w:tc>
      </w:tr>
      <w:tr w:rsidR="006A047D" w:rsidRPr="00AA128D" w14:paraId="1513C941" w14:textId="77777777">
        <w:tc>
          <w:tcPr>
            <w:tcW w:w="845" w:type="dxa"/>
            <w:tcBorders>
              <w:top w:val="single" w:sz="4" w:space="0" w:color="auto"/>
              <w:left w:val="single" w:sz="4" w:space="0" w:color="auto"/>
              <w:bottom w:val="single" w:sz="4" w:space="0" w:color="auto"/>
              <w:right w:val="single" w:sz="4" w:space="0" w:color="auto"/>
            </w:tcBorders>
          </w:tcPr>
          <w:p w14:paraId="275EB3B4"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7720CFF6" w14:textId="77777777" w:rsidR="006A047D" w:rsidRPr="00AA128D" w:rsidRDefault="006A047D" w:rsidP="006A047D">
            <w:pPr>
              <w:spacing w:after="160" w:line="276" w:lineRule="auto"/>
              <w:rPr>
                <w:rFonts w:asciiTheme="minorHAnsi" w:hAnsiTheme="minorHAnsi" w:cstheme="minorHAnsi"/>
                <w:lang w:val="en-IN"/>
              </w:rPr>
            </w:pPr>
            <w:r w:rsidRPr="00AA128D">
              <w:rPr>
                <w:rFonts w:asciiTheme="minorHAnsi" w:hAnsiTheme="minorHAnsi" w:cstheme="minorHAnsi"/>
                <w:lang w:val="en-IN"/>
              </w:rPr>
              <w:t>Foreign Tax Credit on aggregate basis - Rule 128 of IT Rules 1962 (Rule 76 of Draft IT Rules 2026)</w:t>
            </w:r>
          </w:p>
        </w:tc>
        <w:tc>
          <w:tcPr>
            <w:tcW w:w="0" w:type="auto"/>
            <w:tcBorders>
              <w:top w:val="single" w:sz="4" w:space="0" w:color="auto"/>
              <w:left w:val="single" w:sz="4" w:space="0" w:color="auto"/>
              <w:bottom w:val="single" w:sz="4" w:space="0" w:color="auto"/>
              <w:right w:val="single" w:sz="4" w:space="0" w:color="auto"/>
            </w:tcBorders>
          </w:tcPr>
          <w:p w14:paraId="40D70CD3" w14:textId="5565461E" w:rsidR="006A047D" w:rsidRPr="00AA128D" w:rsidRDefault="006A047D" w:rsidP="006A047D">
            <w:pPr>
              <w:spacing w:after="160" w:line="276" w:lineRule="auto"/>
              <w:rPr>
                <w:rFonts w:asciiTheme="minorHAnsi" w:hAnsiTheme="minorHAnsi" w:cstheme="minorHAnsi"/>
                <w:lang w:val="en-IN"/>
              </w:rPr>
            </w:pPr>
            <w:r>
              <w:t>42</w:t>
            </w:r>
          </w:p>
        </w:tc>
      </w:tr>
      <w:tr w:rsidR="006A047D" w:rsidRPr="00AA128D" w14:paraId="0C854A38" w14:textId="77777777">
        <w:tc>
          <w:tcPr>
            <w:tcW w:w="845" w:type="dxa"/>
            <w:tcBorders>
              <w:top w:val="single" w:sz="4" w:space="0" w:color="auto"/>
              <w:left w:val="single" w:sz="4" w:space="0" w:color="auto"/>
              <w:bottom w:val="single" w:sz="4" w:space="0" w:color="auto"/>
              <w:right w:val="single" w:sz="4" w:space="0" w:color="auto"/>
            </w:tcBorders>
          </w:tcPr>
          <w:p w14:paraId="331C8AD8"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69075E34" w14:textId="77777777" w:rsidR="006A047D" w:rsidRPr="00AA128D" w:rsidRDefault="006A047D" w:rsidP="006A047D">
            <w:pPr>
              <w:spacing w:after="160" w:line="276" w:lineRule="auto"/>
              <w:rPr>
                <w:rFonts w:asciiTheme="minorHAnsi" w:hAnsiTheme="minorHAnsi" w:cstheme="minorHAnsi"/>
                <w:lang w:val="en-IN"/>
              </w:rPr>
            </w:pPr>
            <w:r w:rsidRPr="00AA128D">
              <w:rPr>
                <w:rFonts w:asciiTheme="minorHAnsi" w:hAnsiTheme="minorHAnsi" w:cstheme="minorHAnsi"/>
                <w:lang w:val="en-IN"/>
              </w:rPr>
              <w:t>Carry-forward of excess Foreign Tax Credit -Rule 128 of IT Rules 1962 (Rule 76 of Draft IT Rules 2026)</w:t>
            </w:r>
          </w:p>
        </w:tc>
        <w:tc>
          <w:tcPr>
            <w:tcW w:w="0" w:type="auto"/>
            <w:tcBorders>
              <w:top w:val="single" w:sz="4" w:space="0" w:color="auto"/>
              <w:left w:val="single" w:sz="4" w:space="0" w:color="auto"/>
              <w:bottom w:val="single" w:sz="4" w:space="0" w:color="auto"/>
              <w:right w:val="single" w:sz="4" w:space="0" w:color="auto"/>
            </w:tcBorders>
          </w:tcPr>
          <w:p w14:paraId="5AB5D3A5" w14:textId="293FDA12" w:rsidR="006A047D" w:rsidRPr="00AA128D" w:rsidRDefault="006A047D" w:rsidP="006A047D">
            <w:pPr>
              <w:spacing w:after="160" w:line="276" w:lineRule="auto"/>
              <w:rPr>
                <w:rFonts w:asciiTheme="minorHAnsi" w:hAnsiTheme="minorHAnsi" w:cstheme="minorHAnsi"/>
                <w:lang w:val="en-IN"/>
              </w:rPr>
            </w:pPr>
            <w:r>
              <w:t>43</w:t>
            </w:r>
          </w:p>
        </w:tc>
      </w:tr>
      <w:tr w:rsidR="006A047D" w:rsidRPr="00AA128D" w14:paraId="462FF1DD" w14:textId="77777777">
        <w:tc>
          <w:tcPr>
            <w:tcW w:w="845" w:type="dxa"/>
            <w:tcBorders>
              <w:top w:val="single" w:sz="4" w:space="0" w:color="auto"/>
              <w:left w:val="single" w:sz="4" w:space="0" w:color="auto"/>
              <w:bottom w:val="single" w:sz="4" w:space="0" w:color="auto"/>
              <w:right w:val="single" w:sz="4" w:space="0" w:color="auto"/>
            </w:tcBorders>
          </w:tcPr>
          <w:p w14:paraId="707D01AF"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06B69163" w14:textId="77777777" w:rsidR="006A047D" w:rsidRPr="00AA128D" w:rsidRDefault="006A047D" w:rsidP="006A047D">
            <w:pPr>
              <w:spacing w:after="160" w:line="276" w:lineRule="auto"/>
              <w:rPr>
                <w:rFonts w:asciiTheme="minorHAnsi" w:hAnsiTheme="minorHAnsi" w:cstheme="minorHAnsi"/>
                <w:lang w:val="en-IN"/>
              </w:rPr>
            </w:pPr>
            <w:r w:rsidRPr="00AA128D">
              <w:rPr>
                <w:rFonts w:asciiTheme="minorHAnsi" w:hAnsiTheme="minorHAnsi" w:cstheme="minorHAnsi"/>
                <w:lang w:val="en-IN"/>
              </w:rPr>
              <w:t xml:space="preserve">Request in relation to Rule 10V of IT Rules 1962 (Rule 274 of Draft IT Rules 2026) - Manner of calculation of minimum remuneration to </w:t>
            </w:r>
            <w:r w:rsidRPr="00AA128D">
              <w:rPr>
                <w:rFonts w:asciiTheme="minorHAnsi" w:hAnsiTheme="minorHAnsi" w:cstheme="minorHAnsi"/>
                <w:lang w:val="en-IN"/>
              </w:rPr>
              <w:lastRenderedPageBreak/>
              <w:t>be paid to fund manager</w:t>
            </w:r>
          </w:p>
        </w:tc>
        <w:tc>
          <w:tcPr>
            <w:tcW w:w="0" w:type="auto"/>
            <w:tcBorders>
              <w:top w:val="single" w:sz="4" w:space="0" w:color="auto"/>
              <w:left w:val="single" w:sz="4" w:space="0" w:color="auto"/>
              <w:bottom w:val="single" w:sz="4" w:space="0" w:color="auto"/>
              <w:right w:val="single" w:sz="4" w:space="0" w:color="auto"/>
            </w:tcBorders>
          </w:tcPr>
          <w:p w14:paraId="24F42B5A" w14:textId="119DB0F8" w:rsidR="006A047D" w:rsidRPr="00AA128D" w:rsidRDefault="006A047D" w:rsidP="006A047D">
            <w:pPr>
              <w:spacing w:after="160" w:line="276" w:lineRule="auto"/>
              <w:rPr>
                <w:rFonts w:asciiTheme="minorHAnsi" w:hAnsiTheme="minorHAnsi" w:cstheme="minorHAnsi"/>
                <w:lang w:val="en-IN"/>
              </w:rPr>
            </w:pPr>
            <w:r>
              <w:lastRenderedPageBreak/>
              <w:t>44</w:t>
            </w:r>
          </w:p>
        </w:tc>
      </w:tr>
      <w:tr w:rsidR="006A047D" w:rsidRPr="00AA128D" w14:paraId="421CA977" w14:textId="77777777">
        <w:tc>
          <w:tcPr>
            <w:tcW w:w="845" w:type="dxa"/>
            <w:tcBorders>
              <w:top w:val="single" w:sz="4" w:space="0" w:color="auto"/>
              <w:left w:val="single" w:sz="4" w:space="0" w:color="auto"/>
              <w:bottom w:val="single" w:sz="4" w:space="0" w:color="auto"/>
              <w:right w:val="single" w:sz="4" w:space="0" w:color="auto"/>
            </w:tcBorders>
          </w:tcPr>
          <w:p w14:paraId="385E80C7"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1C7F35CD" w14:textId="77777777" w:rsidR="006A047D" w:rsidRPr="00AA128D" w:rsidRDefault="006A047D" w:rsidP="006A047D">
            <w:pPr>
              <w:spacing w:after="160" w:line="276" w:lineRule="auto"/>
              <w:rPr>
                <w:rFonts w:asciiTheme="minorHAnsi" w:hAnsiTheme="minorHAnsi" w:cstheme="minorHAnsi"/>
              </w:rPr>
            </w:pPr>
            <w:r w:rsidRPr="00AA128D">
              <w:rPr>
                <w:rFonts w:asciiTheme="minorHAnsi" w:hAnsiTheme="minorHAnsi" w:cstheme="minorHAnsi"/>
              </w:rPr>
              <w:t xml:space="preserve">Challenges emanating from electronic filing of Form 10F for non-resident (New Form 41) </w:t>
            </w:r>
          </w:p>
        </w:tc>
        <w:tc>
          <w:tcPr>
            <w:tcW w:w="0" w:type="auto"/>
            <w:tcBorders>
              <w:top w:val="single" w:sz="4" w:space="0" w:color="auto"/>
              <w:left w:val="single" w:sz="4" w:space="0" w:color="auto"/>
              <w:bottom w:val="single" w:sz="4" w:space="0" w:color="auto"/>
              <w:right w:val="single" w:sz="4" w:space="0" w:color="auto"/>
            </w:tcBorders>
          </w:tcPr>
          <w:p w14:paraId="573FB557" w14:textId="699AD80F" w:rsidR="006A047D" w:rsidRPr="00AA128D" w:rsidRDefault="006A047D" w:rsidP="006A047D">
            <w:pPr>
              <w:spacing w:after="160" w:line="276" w:lineRule="auto"/>
              <w:rPr>
                <w:rFonts w:asciiTheme="minorHAnsi" w:hAnsiTheme="minorHAnsi" w:cstheme="minorHAnsi"/>
                <w:lang w:val="en-IN"/>
              </w:rPr>
            </w:pPr>
            <w:r>
              <w:t>45</w:t>
            </w:r>
          </w:p>
        </w:tc>
      </w:tr>
      <w:tr w:rsidR="006A047D" w:rsidRPr="00AA128D" w14:paraId="44E36D46" w14:textId="77777777">
        <w:tc>
          <w:tcPr>
            <w:tcW w:w="845" w:type="dxa"/>
            <w:tcBorders>
              <w:top w:val="single" w:sz="4" w:space="0" w:color="auto"/>
              <w:left w:val="single" w:sz="4" w:space="0" w:color="auto"/>
              <w:bottom w:val="single" w:sz="4" w:space="0" w:color="auto"/>
              <w:right w:val="single" w:sz="4" w:space="0" w:color="auto"/>
            </w:tcBorders>
          </w:tcPr>
          <w:p w14:paraId="609E126B"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2B358B0F" w14:textId="77777777" w:rsidR="006A047D" w:rsidRPr="00AA128D" w:rsidRDefault="006A047D" w:rsidP="006A047D">
            <w:pPr>
              <w:spacing w:after="160" w:line="276" w:lineRule="auto"/>
              <w:rPr>
                <w:rFonts w:asciiTheme="minorHAnsi" w:hAnsiTheme="minorHAnsi" w:cstheme="minorHAnsi"/>
              </w:rPr>
            </w:pPr>
            <w:r w:rsidRPr="00AA128D">
              <w:rPr>
                <w:rFonts w:asciiTheme="minorHAnsi" w:hAnsiTheme="minorHAnsi" w:cstheme="minorHAnsi"/>
              </w:rPr>
              <w:t>Relaxation of Basic Documentation Requirement (Form 10F, TRC, No PE) for Pure Supply of Material Transactions</w:t>
            </w:r>
          </w:p>
          <w:p w14:paraId="40247F6A" w14:textId="77777777" w:rsidR="006A047D" w:rsidRPr="00AA128D" w:rsidRDefault="006A047D" w:rsidP="006A047D">
            <w:pPr>
              <w:spacing w:after="160" w:line="276" w:lineRule="auto"/>
              <w:rPr>
                <w:rFonts w:asciiTheme="minorHAnsi" w:hAnsiTheme="minorHAnsi" w:cstheme="minorHAnsi"/>
              </w:rPr>
            </w:pPr>
            <w:r w:rsidRPr="00AA128D">
              <w:rPr>
                <w:rFonts w:asciiTheme="minorHAnsi" w:hAnsiTheme="minorHAnsi" w:cstheme="minorHAnsi"/>
              </w:rPr>
              <w:t>S. 90(4) and S. 90(5) of ITA 1961 (S. 159(8) of ITA 2025) r/w Rule 21AB of ITR 1962 (Rule 75 of Draft IT Rules 2026)</w:t>
            </w:r>
          </w:p>
        </w:tc>
        <w:tc>
          <w:tcPr>
            <w:tcW w:w="0" w:type="auto"/>
            <w:tcBorders>
              <w:top w:val="single" w:sz="4" w:space="0" w:color="auto"/>
              <w:left w:val="single" w:sz="4" w:space="0" w:color="auto"/>
              <w:bottom w:val="single" w:sz="4" w:space="0" w:color="auto"/>
              <w:right w:val="single" w:sz="4" w:space="0" w:color="auto"/>
            </w:tcBorders>
          </w:tcPr>
          <w:p w14:paraId="5338CB7D" w14:textId="745F999A" w:rsidR="006A047D" w:rsidRPr="00AA128D" w:rsidRDefault="006A047D" w:rsidP="006A047D">
            <w:pPr>
              <w:spacing w:after="160" w:line="276" w:lineRule="auto"/>
              <w:rPr>
                <w:rFonts w:asciiTheme="minorHAnsi" w:hAnsiTheme="minorHAnsi" w:cstheme="minorHAnsi"/>
                <w:lang w:val="en-IN"/>
              </w:rPr>
            </w:pPr>
            <w:r>
              <w:t>47</w:t>
            </w:r>
          </w:p>
        </w:tc>
      </w:tr>
      <w:tr w:rsidR="006A047D" w:rsidRPr="00AA128D" w14:paraId="22AAD432" w14:textId="77777777">
        <w:tc>
          <w:tcPr>
            <w:tcW w:w="845" w:type="dxa"/>
            <w:tcBorders>
              <w:top w:val="single" w:sz="4" w:space="0" w:color="auto"/>
              <w:left w:val="single" w:sz="4" w:space="0" w:color="auto"/>
              <w:bottom w:val="single" w:sz="4" w:space="0" w:color="auto"/>
              <w:right w:val="single" w:sz="4" w:space="0" w:color="auto"/>
            </w:tcBorders>
          </w:tcPr>
          <w:p w14:paraId="63E401BA" w14:textId="77777777" w:rsidR="006A047D" w:rsidRPr="00AA128D" w:rsidRDefault="006A047D" w:rsidP="006A047D">
            <w:p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shd w:val="clear" w:color="auto" w:fill="A6A6A6"/>
            <w:hideMark/>
          </w:tcPr>
          <w:p w14:paraId="3D231A9B" w14:textId="77777777" w:rsidR="006A047D" w:rsidRPr="00AA128D" w:rsidRDefault="006A047D" w:rsidP="00BB6D0E">
            <w:pPr>
              <w:spacing w:after="160" w:line="276" w:lineRule="auto"/>
              <w:jc w:val="center"/>
              <w:rPr>
                <w:rFonts w:asciiTheme="minorHAnsi" w:hAnsiTheme="minorHAnsi" w:cstheme="minorHAnsi"/>
                <w:b/>
                <w:bCs/>
                <w:lang w:val="en-IN"/>
              </w:rPr>
            </w:pPr>
            <w:r w:rsidRPr="00AA128D">
              <w:rPr>
                <w:rFonts w:asciiTheme="minorHAnsi" w:hAnsiTheme="minorHAnsi" w:cstheme="minorHAnsi"/>
                <w:b/>
                <w:bCs/>
                <w:lang w:val="en-IN"/>
              </w:rPr>
              <w:t>Personal Taxation</w:t>
            </w:r>
          </w:p>
        </w:tc>
        <w:tc>
          <w:tcPr>
            <w:tcW w:w="0" w:type="auto"/>
            <w:tcBorders>
              <w:top w:val="single" w:sz="4" w:space="0" w:color="auto"/>
              <w:left w:val="single" w:sz="4" w:space="0" w:color="auto"/>
              <w:bottom w:val="single" w:sz="4" w:space="0" w:color="auto"/>
              <w:right w:val="single" w:sz="4" w:space="0" w:color="auto"/>
            </w:tcBorders>
          </w:tcPr>
          <w:p w14:paraId="06C08494" w14:textId="77777777" w:rsidR="006A047D" w:rsidRPr="00AA128D" w:rsidRDefault="006A047D" w:rsidP="006A047D">
            <w:pPr>
              <w:spacing w:after="160" w:line="276" w:lineRule="auto"/>
              <w:rPr>
                <w:rFonts w:asciiTheme="minorHAnsi" w:hAnsiTheme="minorHAnsi" w:cstheme="minorHAnsi"/>
                <w:lang w:val="en-IN"/>
              </w:rPr>
            </w:pPr>
          </w:p>
        </w:tc>
      </w:tr>
      <w:tr w:rsidR="006A047D" w:rsidRPr="00AA128D" w14:paraId="22AEFE88" w14:textId="77777777">
        <w:tc>
          <w:tcPr>
            <w:tcW w:w="845" w:type="dxa"/>
            <w:tcBorders>
              <w:top w:val="single" w:sz="4" w:space="0" w:color="auto"/>
              <w:left w:val="single" w:sz="4" w:space="0" w:color="auto"/>
              <w:bottom w:val="single" w:sz="4" w:space="0" w:color="auto"/>
              <w:right w:val="single" w:sz="4" w:space="0" w:color="auto"/>
            </w:tcBorders>
          </w:tcPr>
          <w:p w14:paraId="0E9B3F02"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74CCF615" w14:textId="77777777" w:rsidR="006A047D" w:rsidRPr="00AA128D" w:rsidRDefault="006A047D" w:rsidP="006A047D">
            <w:pPr>
              <w:spacing w:after="160" w:line="276" w:lineRule="auto"/>
              <w:rPr>
                <w:rFonts w:asciiTheme="minorHAnsi" w:hAnsiTheme="minorHAnsi" w:cstheme="minorHAnsi"/>
                <w:bCs/>
              </w:rPr>
            </w:pPr>
            <w:r w:rsidRPr="00AA128D">
              <w:rPr>
                <w:rFonts w:asciiTheme="minorHAnsi" w:hAnsiTheme="minorHAnsi" w:cstheme="minorHAnsi"/>
                <w:bCs/>
              </w:rPr>
              <w:t>Seeking a proper valuation base for housing accommodation perquisite valuation [S.17(2)(i)/(ii) of ITA 1961]</w:t>
            </w:r>
          </w:p>
          <w:p w14:paraId="760972F8" w14:textId="77777777" w:rsidR="006A047D" w:rsidRPr="00AA128D" w:rsidRDefault="006A047D" w:rsidP="006A047D">
            <w:pPr>
              <w:spacing w:after="160" w:line="276" w:lineRule="auto"/>
              <w:rPr>
                <w:rFonts w:asciiTheme="minorHAnsi" w:hAnsiTheme="minorHAnsi" w:cstheme="minorHAnsi"/>
                <w:bCs/>
                <w:lang w:val="en-IN"/>
              </w:rPr>
            </w:pPr>
            <w:r w:rsidRPr="00AA128D">
              <w:rPr>
                <w:rFonts w:asciiTheme="minorHAnsi" w:hAnsiTheme="minorHAnsi" w:cstheme="minorHAnsi"/>
                <w:bCs/>
              </w:rPr>
              <w:t>[Corresponding S.17(1)(a) and S.17(1)(b) of ITA 2025]</w:t>
            </w:r>
          </w:p>
        </w:tc>
        <w:tc>
          <w:tcPr>
            <w:tcW w:w="0" w:type="auto"/>
            <w:tcBorders>
              <w:top w:val="single" w:sz="4" w:space="0" w:color="auto"/>
              <w:left w:val="single" w:sz="4" w:space="0" w:color="auto"/>
              <w:bottom w:val="single" w:sz="4" w:space="0" w:color="auto"/>
              <w:right w:val="single" w:sz="4" w:space="0" w:color="auto"/>
            </w:tcBorders>
          </w:tcPr>
          <w:p w14:paraId="638C914C" w14:textId="1294A734" w:rsidR="006A047D" w:rsidRPr="00AA128D" w:rsidRDefault="006A047D" w:rsidP="006A047D">
            <w:pPr>
              <w:spacing w:after="160" w:line="276" w:lineRule="auto"/>
              <w:rPr>
                <w:rFonts w:asciiTheme="minorHAnsi" w:hAnsiTheme="minorHAnsi" w:cstheme="minorHAnsi"/>
                <w:lang w:val="en-IN"/>
              </w:rPr>
            </w:pPr>
            <w:r>
              <w:t>48</w:t>
            </w:r>
          </w:p>
        </w:tc>
      </w:tr>
      <w:tr w:rsidR="006A047D" w:rsidRPr="00AA128D" w14:paraId="45AF8065" w14:textId="77777777">
        <w:tc>
          <w:tcPr>
            <w:tcW w:w="845" w:type="dxa"/>
            <w:tcBorders>
              <w:top w:val="single" w:sz="4" w:space="0" w:color="auto"/>
              <w:left w:val="single" w:sz="4" w:space="0" w:color="auto"/>
              <w:bottom w:val="single" w:sz="4" w:space="0" w:color="auto"/>
              <w:right w:val="single" w:sz="4" w:space="0" w:color="auto"/>
            </w:tcBorders>
          </w:tcPr>
          <w:p w14:paraId="2E676CCB" w14:textId="77777777" w:rsidR="006A047D" w:rsidRPr="00AA128D" w:rsidRDefault="006A047D" w:rsidP="006A047D">
            <w:pPr>
              <w:numPr>
                <w:ilvl w:val="0"/>
                <w:numId w:val="171"/>
              </w:numPr>
              <w:spacing w:after="160" w:line="276" w:lineRule="auto"/>
              <w:rPr>
                <w:rFonts w:asciiTheme="minorHAnsi" w:hAnsiTheme="minorHAnsi" w:cstheme="minorHAnsi"/>
                <w:lang w:val="en-IN"/>
              </w:rPr>
            </w:pPr>
          </w:p>
        </w:tc>
        <w:tc>
          <w:tcPr>
            <w:tcW w:w="12407" w:type="dxa"/>
            <w:tcBorders>
              <w:top w:val="single" w:sz="4" w:space="0" w:color="auto"/>
              <w:left w:val="single" w:sz="4" w:space="0" w:color="auto"/>
              <w:bottom w:val="single" w:sz="4" w:space="0" w:color="auto"/>
              <w:right w:val="single" w:sz="4" w:space="0" w:color="auto"/>
            </w:tcBorders>
            <w:hideMark/>
          </w:tcPr>
          <w:p w14:paraId="50C562DD" w14:textId="77777777" w:rsidR="006A047D" w:rsidRPr="00AA128D" w:rsidRDefault="006A047D" w:rsidP="006A047D">
            <w:pPr>
              <w:spacing w:after="160" w:line="276" w:lineRule="auto"/>
              <w:rPr>
                <w:rFonts w:asciiTheme="minorHAnsi" w:hAnsiTheme="minorHAnsi" w:cstheme="minorHAnsi"/>
                <w:bCs/>
              </w:rPr>
            </w:pPr>
            <w:r w:rsidRPr="00AA128D">
              <w:rPr>
                <w:rFonts w:asciiTheme="minorHAnsi" w:hAnsiTheme="minorHAnsi" w:cstheme="minorHAnsi"/>
                <w:bCs/>
              </w:rPr>
              <w:t>Perquisite valuation for use of employer-owned electric motor cars by employees</w:t>
            </w:r>
          </w:p>
          <w:p w14:paraId="3F6E9E30" w14:textId="77777777" w:rsidR="006A047D" w:rsidRPr="00AA128D" w:rsidRDefault="006A047D" w:rsidP="006A047D">
            <w:pPr>
              <w:spacing w:after="160" w:line="276" w:lineRule="auto"/>
              <w:rPr>
                <w:rFonts w:asciiTheme="minorHAnsi" w:hAnsiTheme="minorHAnsi" w:cstheme="minorHAnsi"/>
                <w:bCs/>
                <w:lang w:val="en-IN"/>
              </w:rPr>
            </w:pPr>
            <w:r w:rsidRPr="00AA128D">
              <w:rPr>
                <w:rFonts w:asciiTheme="minorHAnsi" w:hAnsiTheme="minorHAnsi" w:cstheme="minorHAnsi"/>
                <w:bCs/>
              </w:rPr>
              <w:t>Section in Income Tax Act, 1961 – 17(1), Corresponding section in Income Tax Act, 2025 – 16</w:t>
            </w:r>
          </w:p>
        </w:tc>
        <w:tc>
          <w:tcPr>
            <w:tcW w:w="0" w:type="auto"/>
            <w:tcBorders>
              <w:top w:val="single" w:sz="4" w:space="0" w:color="auto"/>
              <w:left w:val="single" w:sz="4" w:space="0" w:color="auto"/>
              <w:bottom w:val="single" w:sz="4" w:space="0" w:color="auto"/>
              <w:right w:val="single" w:sz="4" w:space="0" w:color="auto"/>
            </w:tcBorders>
          </w:tcPr>
          <w:p w14:paraId="11B7727B" w14:textId="6BDF2BE9" w:rsidR="006A047D" w:rsidRPr="00AA128D" w:rsidRDefault="006A047D" w:rsidP="006A047D">
            <w:pPr>
              <w:spacing w:after="160" w:line="276" w:lineRule="auto"/>
              <w:rPr>
                <w:rFonts w:asciiTheme="minorHAnsi" w:hAnsiTheme="minorHAnsi" w:cstheme="minorHAnsi"/>
                <w:lang w:val="en-IN"/>
              </w:rPr>
            </w:pPr>
            <w:r>
              <w:t>50</w:t>
            </w:r>
          </w:p>
        </w:tc>
      </w:tr>
    </w:tbl>
    <w:p w14:paraId="6B2E3145" w14:textId="77777777" w:rsidR="004546B2" w:rsidRPr="004179E6" w:rsidRDefault="004546B2" w:rsidP="00AA128D">
      <w:pPr>
        <w:spacing w:after="160" w:line="276" w:lineRule="auto"/>
        <w:rPr>
          <w:rFonts w:asciiTheme="minorHAnsi" w:hAnsiTheme="minorHAnsi" w:cstheme="minorHAnsi"/>
        </w:rPr>
      </w:pPr>
    </w:p>
    <w:p w14:paraId="79790D28" w14:textId="77777777" w:rsidR="004546B2" w:rsidRPr="004179E6" w:rsidRDefault="004546B2" w:rsidP="00AA128D">
      <w:pPr>
        <w:widowControl/>
        <w:autoSpaceDE/>
        <w:autoSpaceDN/>
        <w:spacing w:after="160" w:line="276" w:lineRule="auto"/>
        <w:rPr>
          <w:rFonts w:asciiTheme="minorHAnsi" w:hAnsiTheme="minorHAnsi" w:cstheme="minorHAnsi"/>
        </w:rPr>
      </w:pPr>
    </w:p>
    <w:p w14:paraId="33FABF01" w14:textId="77777777" w:rsidR="00C51EAA" w:rsidRPr="004179E6" w:rsidRDefault="00C51EAA" w:rsidP="00AA128D">
      <w:pPr>
        <w:widowControl/>
        <w:autoSpaceDE/>
        <w:autoSpaceDN/>
        <w:spacing w:after="160" w:line="276" w:lineRule="auto"/>
        <w:rPr>
          <w:rFonts w:asciiTheme="minorHAnsi" w:hAnsiTheme="minorHAnsi" w:cstheme="minorHAnsi"/>
        </w:rPr>
      </w:pPr>
    </w:p>
    <w:p w14:paraId="357E4C6D" w14:textId="77777777" w:rsidR="008D27BD" w:rsidRPr="004179E6" w:rsidRDefault="008D27BD" w:rsidP="00AA128D">
      <w:pPr>
        <w:widowControl/>
        <w:autoSpaceDE/>
        <w:autoSpaceDN/>
        <w:spacing w:after="160" w:line="276" w:lineRule="auto"/>
        <w:rPr>
          <w:rFonts w:asciiTheme="minorHAnsi" w:hAnsiTheme="minorHAnsi" w:cstheme="minorHAnsi"/>
        </w:rPr>
      </w:pPr>
      <w:r w:rsidRPr="004179E6">
        <w:rPr>
          <w:rFonts w:asciiTheme="minorHAnsi" w:hAnsiTheme="minorHAnsi" w:cstheme="minorHAnsi"/>
        </w:rPr>
        <w:br w:type="page"/>
      </w:r>
    </w:p>
    <w:p w14:paraId="4946BAE1" w14:textId="77777777" w:rsidR="00C51EAA" w:rsidRPr="004179E6" w:rsidRDefault="00C51EAA" w:rsidP="00AA128D">
      <w:pPr>
        <w:widowControl/>
        <w:autoSpaceDE/>
        <w:autoSpaceDN/>
        <w:spacing w:after="160" w:line="276" w:lineRule="auto"/>
        <w:rPr>
          <w:rFonts w:asciiTheme="minorHAnsi" w:hAnsiTheme="minorHAnsi" w:cstheme="minorHAnsi"/>
        </w:rPr>
      </w:pPr>
    </w:p>
    <w:tbl>
      <w:tblPr>
        <w:tblStyle w:val="TableGrid"/>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2956"/>
        <w:gridCol w:w="10986"/>
      </w:tblGrid>
      <w:tr w:rsidR="003C3299" w:rsidRPr="004179E6" w14:paraId="5C208896" w14:textId="77777777" w:rsidTr="00210D4C">
        <w:trPr>
          <w:trHeight w:val="20"/>
          <w:tblHeader/>
        </w:trPr>
        <w:tc>
          <w:tcPr>
            <w:tcW w:w="512" w:type="dxa"/>
            <w:shd w:val="clear" w:color="auto" w:fill="A6A6A6" w:themeFill="background1" w:themeFillShade="A6"/>
          </w:tcPr>
          <w:p w14:paraId="397C15F1" w14:textId="7BA55488" w:rsidR="00D220DA" w:rsidRPr="004179E6" w:rsidRDefault="00197A65" w:rsidP="00AA128D">
            <w:pPr>
              <w:spacing w:after="160" w:line="276" w:lineRule="auto"/>
              <w:jc w:val="center"/>
              <w:rPr>
                <w:rFonts w:asciiTheme="minorHAnsi" w:hAnsiTheme="minorHAnsi" w:cstheme="minorHAnsi"/>
              </w:rPr>
            </w:pPr>
            <w:r w:rsidRPr="004179E6">
              <w:rPr>
                <w:rFonts w:asciiTheme="minorHAnsi" w:hAnsiTheme="minorHAnsi" w:cstheme="minorHAnsi"/>
              </w:rPr>
              <w:br w:type="column"/>
            </w:r>
            <w:r w:rsidR="00D220DA" w:rsidRPr="004179E6">
              <w:rPr>
                <w:rFonts w:asciiTheme="minorHAnsi" w:hAnsiTheme="minorHAnsi" w:cstheme="minorHAnsi"/>
              </w:rPr>
              <w:br w:type="page"/>
            </w:r>
            <w:r w:rsidR="00D220DA" w:rsidRPr="004179E6">
              <w:rPr>
                <w:rFonts w:asciiTheme="minorHAnsi" w:hAnsiTheme="minorHAnsi" w:cstheme="minorHAnsi"/>
                <w:b/>
              </w:rPr>
              <w:t>S</w:t>
            </w:r>
            <w:r w:rsidR="00BA14C5" w:rsidRPr="004179E6">
              <w:rPr>
                <w:rFonts w:asciiTheme="minorHAnsi" w:hAnsiTheme="minorHAnsi" w:cstheme="minorHAnsi"/>
                <w:b/>
              </w:rPr>
              <w:t>r.</w:t>
            </w:r>
            <w:r w:rsidR="00D220DA" w:rsidRPr="004179E6">
              <w:rPr>
                <w:rFonts w:asciiTheme="minorHAnsi" w:hAnsiTheme="minorHAnsi" w:cstheme="minorHAnsi"/>
                <w:b/>
              </w:rPr>
              <w:t xml:space="preserve"> no.</w:t>
            </w:r>
          </w:p>
        </w:tc>
        <w:tc>
          <w:tcPr>
            <w:tcW w:w="2956" w:type="dxa"/>
            <w:shd w:val="clear" w:color="auto" w:fill="A6A6A6" w:themeFill="background1" w:themeFillShade="A6"/>
          </w:tcPr>
          <w:p w14:paraId="68628DF9" w14:textId="77777777" w:rsidR="00D220DA" w:rsidRPr="006A70DB" w:rsidRDefault="00D220DA" w:rsidP="00AA128D">
            <w:pPr>
              <w:spacing w:after="160" w:line="276" w:lineRule="auto"/>
              <w:jc w:val="center"/>
              <w:rPr>
                <w:rFonts w:asciiTheme="minorHAnsi" w:hAnsiTheme="minorHAnsi" w:cstheme="minorHAnsi"/>
                <w:b/>
              </w:rPr>
            </w:pPr>
            <w:r w:rsidRPr="006A70DB">
              <w:rPr>
                <w:rFonts w:asciiTheme="minorHAnsi" w:hAnsiTheme="minorHAnsi" w:cstheme="minorHAnsi"/>
                <w:b/>
              </w:rPr>
              <w:t>Subject</w:t>
            </w:r>
          </w:p>
        </w:tc>
        <w:tc>
          <w:tcPr>
            <w:tcW w:w="10986" w:type="dxa"/>
            <w:shd w:val="clear" w:color="auto" w:fill="A6A6A6" w:themeFill="background1" w:themeFillShade="A6"/>
          </w:tcPr>
          <w:p w14:paraId="27ED77FA" w14:textId="77777777" w:rsidR="00D220DA" w:rsidRPr="004179E6" w:rsidRDefault="00D220DA" w:rsidP="00AA128D">
            <w:pPr>
              <w:spacing w:after="160" w:line="276" w:lineRule="auto"/>
              <w:jc w:val="both"/>
              <w:rPr>
                <w:rFonts w:asciiTheme="minorHAnsi" w:hAnsiTheme="minorHAnsi" w:cstheme="minorHAnsi"/>
              </w:rPr>
            </w:pPr>
            <w:r w:rsidRPr="004179E6">
              <w:rPr>
                <w:rFonts w:asciiTheme="minorHAnsi" w:hAnsiTheme="minorHAnsi" w:cstheme="minorHAnsi"/>
                <w:b/>
              </w:rPr>
              <w:t>Comments / Recommendations</w:t>
            </w:r>
          </w:p>
        </w:tc>
      </w:tr>
      <w:tr w:rsidR="003C3299" w:rsidRPr="004179E6" w14:paraId="094E040D" w14:textId="77777777" w:rsidTr="00210D4C">
        <w:trPr>
          <w:trHeight w:val="20"/>
        </w:trPr>
        <w:tc>
          <w:tcPr>
            <w:tcW w:w="14454" w:type="dxa"/>
            <w:gridSpan w:val="3"/>
            <w:shd w:val="clear" w:color="auto" w:fill="D0CECE" w:themeFill="background2" w:themeFillShade="E6"/>
          </w:tcPr>
          <w:p w14:paraId="6724C95E" w14:textId="77777777" w:rsidR="00D220DA" w:rsidRPr="006A70DB" w:rsidRDefault="00D220DA" w:rsidP="00AA128D">
            <w:pPr>
              <w:spacing w:after="160" w:line="276" w:lineRule="auto"/>
              <w:jc w:val="center"/>
              <w:rPr>
                <w:rFonts w:asciiTheme="minorHAnsi" w:hAnsiTheme="minorHAnsi" w:cstheme="minorHAnsi"/>
                <w:b/>
              </w:rPr>
            </w:pPr>
            <w:r w:rsidRPr="006A70DB">
              <w:rPr>
                <w:rFonts w:asciiTheme="minorHAnsi" w:hAnsiTheme="minorHAnsi" w:cstheme="minorHAnsi"/>
                <w:b/>
              </w:rPr>
              <w:t>Corporate Taxation</w:t>
            </w:r>
          </w:p>
        </w:tc>
      </w:tr>
      <w:tr w:rsidR="003C3299" w:rsidRPr="004179E6" w14:paraId="473CAFE3" w14:textId="77777777" w:rsidTr="00210D4C">
        <w:trPr>
          <w:trHeight w:val="20"/>
        </w:trPr>
        <w:tc>
          <w:tcPr>
            <w:tcW w:w="512" w:type="dxa"/>
          </w:tcPr>
          <w:p w14:paraId="21993A5D" w14:textId="77777777" w:rsidR="00600977" w:rsidRPr="004179E6" w:rsidRDefault="00600977"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1A6F6BF0" w14:textId="373548FA" w:rsidR="006F5536" w:rsidRPr="006A70DB" w:rsidRDefault="00600977" w:rsidP="00AA128D">
            <w:pPr>
              <w:spacing w:after="160" w:line="276" w:lineRule="auto"/>
              <w:rPr>
                <w:rFonts w:asciiTheme="minorHAnsi" w:hAnsiTheme="minorHAnsi" w:cstheme="minorHAnsi"/>
                <w:b/>
              </w:rPr>
            </w:pPr>
            <w:r w:rsidRPr="006A70DB">
              <w:rPr>
                <w:rFonts w:asciiTheme="minorHAnsi" w:hAnsiTheme="minorHAnsi" w:cstheme="minorHAnsi"/>
                <w:b/>
              </w:rPr>
              <w:t>Section 44AB (Clause</w:t>
            </w:r>
            <w:r w:rsidR="002B0820" w:rsidRPr="006A70DB">
              <w:rPr>
                <w:rFonts w:asciiTheme="minorHAnsi" w:hAnsiTheme="minorHAnsi" w:cstheme="minorHAnsi"/>
                <w:b/>
              </w:rPr>
              <w:t xml:space="preserve"> </w:t>
            </w:r>
            <w:r w:rsidRPr="006A70DB">
              <w:rPr>
                <w:rFonts w:asciiTheme="minorHAnsi" w:hAnsiTheme="minorHAnsi" w:cstheme="minorHAnsi"/>
                <w:b/>
              </w:rPr>
              <w:t xml:space="preserve">44 of Form 3CD) </w:t>
            </w:r>
            <w:r w:rsidR="003D2F15" w:rsidRPr="006A70DB">
              <w:rPr>
                <w:rFonts w:asciiTheme="minorHAnsi" w:hAnsiTheme="minorHAnsi" w:cstheme="minorHAnsi"/>
                <w:b/>
              </w:rPr>
              <w:t>of ITA 1961</w:t>
            </w:r>
          </w:p>
          <w:p w14:paraId="5D0C10B4" w14:textId="1551CEF0" w:rsidR="006F5536" w:rsidRPr="006A70DB" w:rsidRDefault="006F5536" w:rsidP="00AA128D">
            <w:pPr>
              <w:spacing w:after="160" w:line="276" w:lineRule="auto"/>
              <w:rPr>
                <w:rFonts w:asciiTheme="minorHAnsi" w:hAnsiTheme="minorHAnsi" w:cstheme="minorHAnsi"/>
                <w:b/>
              </w:rPr>
            </w:pPr>
            <w:r w:rsidRPr="006A70DB">
              <w:rPr>
                <w:rFonts w:asciiTheme="minorHAnsi" w:hAnsiTheme="minorHAnsi" w:cstheme="minorHAnsi"/>
                <w:b/>
              </w:rPr>
              <w:t>Section</w:t>
            </w:r>
            <w:r w:rsidR="003D2F15" w:rsidRPr="006A70DB">
              <w:rPr>
                <w:rFonts w:asciiTheme="minorHAnsi" w:hAnsiTheme="minorHAnsi" w:cstheme="minorHAnsi"/>
                <w:b/>
              </w:rPr>
              <w:t xml:space="preserve"> 63 of ITA 2025 </w:t>
            </w:r>
            <w:r w:rsidRPr="006A70DB">
              <w:rPr>
                <w:rFonts w:asciiTheme="minorHAnsi" w:hAnsiTheme="minorHAnsi" w:cstheme="minorHAnsi"/>
                <w:b/>
              </w:rPr>
              <w:t>(Clause 52 of Part B of Form 26</w:t>
            </w:r>
            <w:r w:rsidR="003D2F15" w:rsidRPr="006A70DB">
              <w:rPr>
                <w:rFonts w:asciiTheme="minorHAnsi" w:hAnsiTheme="minorHAnsi" w:cstheme="minorHAnsi"/>
                <w:b/>
              </w:rPr>
              <w:t>)</w:t>
            </w:r>
          </w:p>
          <w:p w14:paraId="0E60BF14" w14:textId="4EF4B9FA" w:rsidR="00600977" w:rsidRPr="006A70DB" w:rsidRDefault="00600977" w:rsidP="00AA128D">
            <w:pPr>
              <w:spacing w:after="160" w:line="276" w:lineRule="auto"/>
              <w:rPr>
                <w:rFonts w:asciiTheme="minorHAnsi" w:hAnsiTheme="minorHAnsi" w:cstheme="minorHAnsi"/>
                <w:b/>
              </w:rPr>
            </w:pPr>
            <w:r w:rsidRPr="006A70DB">
              <w:rPr>
                <w:rFonts w:asciiTheme="minorHAnsi" w:hAnsiTheme="minorHAnsi" w:cstheme="minorHAnsi"/>
                <w:b/>
              </w:rPr>
              <w:t xml:space="preserve">- </w:t>
            </w:r>
            <w:r w:rsidR="00CC5713" w:rsidRPr="006A70DB">
              <w:rPr>
                <w:rFonts w:asciiTheme="minorHAnsi" w:hAnsiTheme="minorHAnsi" w:cstheme="minorHAnsi"/>
                <w:b/>
              </w:rPr>
              <w:t>b</w:t>
            </w:r>
            <w:r w:rsidRPr="006A70DB">
              <w:rPr>
                <w:rFonts w:asciiTheme="minorHAnsi" w:hAnsiTheme="minorHAnsi" w:cstheme="minorHAnsi"/>
                <w:b/>
              </w:rPr>
              <w:t>reak-up of Total Expenses under GST</w:t>
            </w:r>
          </w:p>
          <w:p w14:paraId="308F2C12" w14:textId="029D2192" w:rsidR="00FB57B1" w:rsidRPr="006A70DB" w:rsidRDefault="00FB57B1" w:rsidP="00AA128D">
            <w:pPr>
              <w:spacing w:after="160" w:line="276" w:lineRule="auto"/>
              <w:rPr>
                <w:rFonts w:asciiTheme="minorHAnsi" w:hAnsiTheme="minorHAnsi" w:cstheme="minorHAnsi"/>
                <w:b/>
              </w:rPr>
            </w:pPr>
          </w:p>
          <w:p w14:paraId="7F9A8527" w14:textId="77777777" w:rsidR="00FB57B1" w:rsidRPr="006A70DB" w:rsidRDefault="00FB57B1" w:rsidP="00AA128D">
            <w:pPr>
              <w:spacing w:after="160" w:line="276" w:lineRule="auto"/>
              <w:rPr>
                <w:rFonts w:asciiTheme="minorHAnsi" w:hAnsiTheme="minorHAnsi" w:cstheme="minorHAnsi"/>
                <w:b/>
              </w:rPr>
            </w:pPr>
          </w:p>
        </w:tc>
        <w:tc>
          <w:tcPr>
            <w:tcW w:w="10986" w:type="dxa"/>
          </w:tcPr>
          <w:p w14:paraId="65F32878" w14:textId="4CBDDBBE" w:rsidR="00600977" w:rsidRPr="004179E6" w:rsidRDefault="00600977" w:rsidP="00AA128D">
            <w:pPr>
              <w:widowControl/>
              <w:autoSpaceDE/>
              <w:spacing w:after="160" w:line="276" w:lineRule="auto"/>
              <w:jc w:val="both"/>
              <w:rPr>
                <w:rFonts w:asciiTheme="minorHAnsi" w:hAnsiTheme="minorHAnsi" w:cstheme="minorHAnsi"/>
                <w:b/>
                <w:bCs/>
              </w:rPr>
            </w:pPr>
            <w:r w:rsidRPr="004179E6">
              <w:rPr>
                <w:rFonts w:asciiTheme="minorHAnsi" w:hAnsiTheme="minorHAnsi" w:cstheme="minorHAnsi"/>
                <w:b/>
                <w:bCs/>
              </w:rPr>
              <w:t>Rationale:</w:t>
            </w:r>
          </w:p>
          <w:p w14:paraId="3C6474D0" w14:textId="6C40348E" w:rsidR="00600977" w:rsidRPr="004179E6" w:rsidRDefault="006F5536" w:rsidP="00AA128D">
            <w:pPr>
              <w:pStyle w:val="ListParagraph"/>
              <w:widowControl/>
              <w:numPr>
                <w:ilvl w:val="0"/>
                <w:numId w:val="1"/>
              </w:numPr>
              <w:autoSpaceDE/>
              <w:spacing w:after="160" w:line="276" w:lineRule="auto"/>
              <w:ind w:left="360"/>
              <w:jc w:val="both"/>
              <w:rPr>
                <w:rFonts w:asciiTheme="minorHAnsi" w:hAnsiTheme="minorHAnsi" w:cstheme="minorHAnsi"/>
              </w:rPr>
            </w:pPr>
            <w:r>
              <w:rPr>
                <w:rFonts w:asciiTheme="minorHAnsi" w:hAnsiTheme="minorHAnsi" w:cstheme="minorHAnsi"/>
              </w:rPr>
              <w:t xml:space="preserve">Clause 52 of Part B of Form 26 requires furnishing if </w:t>
            </w:r>
            <w:r w:rsidR="00600977" w:rsidRPr="004179E6">
              <w:rPr>
                <w:rFonts w:asciiTheme="minorHAnsi" w:hAnsiTheme="minorHAnsi" w:cstheme="minorHAnsi"/>
              </w:rPr>
              <w:t xml:space="preserve">GST related expense details </w:t>
            </w:r>
          </w:p>
          <w:p w14:paraId="74E214A5" w14:textId="3555FE6E" w:rsidR="00600977" w:rsidRPr="004179E6" w:rsidRDefault="00600977" w:rsidP="00AA128D">
            <w:pPr>
              <w:pStyle w:val="ListParagraph"/>
              <w:widowControl/>
              <w:numPr>
                <w:ilvl w:val="0"/>
                <w:numId w:val="1"/>
              </w:numPr>
              <w:autoSpaceDE/>
              <w:spacing w:after="160" w:line="276" w:lineRule="auto"/>
              <w:ind w:left="360"/>
              <w:jc w:val="both"/>
              <w:rPr>
                <w:rFonts w:asciiTheme="minorHAnsi" w:hAnsiTheme="minorHAnsi" w:cstheme="minorHAnsi"/>
              </w:rPr>
            </w:pPr>
            <w:r w:rsidRPr="004179E6">
              <w:rPr>
                <w:rFonts w:asciiTheme="minorHAnsi" w:hAnsiTheme="minorHAnsi" w:cstheme="minorHAnsi"/>
              </w:rPr>
              <w:t>As per the said clause, Tax Auditor has to report break-up of total expenditure in respect of the entities registered or not registered under GST</w:t>
            </w:r>
          </w:p>
          <w:p w14:paraId="203EE9EA" w14:textId="28B123F4" w:rsidR="00600977" w:rsidRPr="004179E6" w:rsidRDefault="00600977" w:rsidP="00AA128D">
            <w:pPr>
              <w:pStyle w:val="ListParagraph"/>
              <w:widowControl/>
              <w:numPr>
                <w:ilvl w:val="0"/>
                <w:numId w:val="1"/>
              </w:numPr>
              <w:autoSpaceDE/>
              <w:spacing w:after="160" w:line="276" w:lineRule="auto"/>
              <w:ind w:left="360"/>
              <w:jc w:val="both"/>
              <w:rPr>
                <w:rFonts w:asciiTheme="minorHAnsi" w:hAnsiTheme="minorHAnsi" w:cstheme="minorHAnsi"/>
              </w:rPr>
            </w:pPr>
            <w:r w:rsidRPr="004179E6">
              <w:rPr>
                <w:rFonts w:asciiTheme="minorHAnsi" w:hAnsiTheme="minorHAnsi" w:cstheme="minorHAnsi"/>
              </w:rPr>
              <w:t xml:space="preserve">This is a voluminous exercise with lot of reconciliations and may not be even feasible for large </w:t>
            </w:r>
            <w:r w:rsidR="004C03B3" w:rsidRPr="004179E6">
              <w:rPr>
                <w:rFonts w:asciiTheme="minorHAnsi" w:hAnsiTheme="minorHAnsi" w:cstheme="minorHAnsi"/>
              </w:rPr>
              <w:t>organizations</w:t>
            </w:r>
            <w:r w:rsidRPr="004179E6">
              <w:rPr>
                <w:rFonts w:asciiTheme="minorHAnsi" w:hAnsiTheme="minorHAnsi" w:cstheme="minorHAnsi"/>
              </w:rPr>
              <w:t>.</w:t>
            </w:r>
            <w:r w:rsidR="0074555B" w:rsidRPr="004179E6">
              <w:rPr>
                <w:rFonts w:asciiTheme="minorHAnsi" w:hAnsiTheme="minorHAnsi" w:cstheme="minorHAnsi"/>
              </w:rPr>
              <w:t xml:space="preserve"> Even inter-branch supply which is liable to GST needs to be eliminated. </w:t>
            </w:r>
          </w:p>
          <w:p w14:paraId="27EFF1FC" w14:textId="2B3FB056" w:rsidR="00D67A78" w:rsidRPr="004179E6" w:rsidRDefault="00BD11DC" w:rsidP="00AA128D">
            <w:pPr>
              <w:pStyle w:val="ListParagraph"/>
              <w:widowControl/>
              <w:numPr>
                <w:ilvl w:val="0"/>
                <w:numId w:val="1"/>
              </w:numPr>
              <w:autoSpaceDE/>
              <w:spacing w:after="160" w:line="276" w:lineRule="auto"/>
              <w:ind w:left="360"/>
              <w:jc w:val="both"/>
              <w:rPr>
                <w:rFonts w:asciiTheme="minorHAnsi" w:hAnsiTheme="minorHAnsi" w:cstheme="minorHAnsi"/>
              </w:rPr>
            </w:pPr>
            <w:r>
              <w:rPr>
                <w:rFonts w:asciiTheme="minorHAnsi" w:hAnsiTheme="minorHAnsi" w:cstheme="minorHAnsi"/>
              </w:rPr>
              <w:t>In</w:t>
            </w:r>
            <w:r w:rsidR="009379CC">
              <w:rPr>
                <w:rFonts w:asciiTheme="minorHAnsi" w:hAnsiTheme="minorHAnsi" w:cstheme="minorHAnsi"/>
              </w:rPr>
              <w:t xml:space="preserve"> </w:t>
            </w:r>
            <w:r>
              <w:rPr>
                <w:rFonts w:asciiTheme="minorHAnsi" w:hAnsiTheme="minorHAnsi" w:cstheme="minorHAnsi"/>
              </w:rPr>
              <w:t>fact</w:t>
            </w:r>
            <w:r w:rsidR="002A6CCD" w:rsidRPr="004179E6">
              <w:rPr>
                <w:rFonts w:asciiTheme="minorHAnsi" w:hAnsiTheme="minorHAnsi" w:cstheme="minorHAnsi"/>
              </w:rPr>
              <w:t xml:space="preserve">, </w:t>
            </w:r>
            <w:r w:rsidR="006822EE" w:rsidRPr="004179E6">
              <w:rPr>
                <w:rFonts w:asciiTheme="minorHAnsi" w:hAnsiTheme="minorHAnsi" w:cstheme="minorHAnsi"/>
              </w:rPr>
              <w:t>p</w:t>
            </w:r>
            <w:r w:rsidR="002A6CCD" w:rsidRPr="004179E6">
              <w:rPr>
                <w:rFonts w:asciiTheme="minorHAnsi" w:hAnsiTheme="minorHAnsi" w:cstheme="minorHAnsi"/>
              </w:rPr>
              <w:t>ost introduction of E-invoice, substantial GST data</w:t>
            </w:r>
            <w:r w:rsidR="006822EE" w:rsidRPr="004179E6">
              <w:rPr>
                <w:rFonts w:asciiTheme="minorHAnsi" w:hAnsiTheme="minorHAnsi" w:cstheme="minorHAnsi"/>
              </w:rPr>
              <w:t xml:space="preserve"> is already</w:t>
            </w:r>
            <w:r w:rsidR="002A6CCD" w:rsidRPr="004179E6">
              <w:rPr>
                <w:rFonts w:asciiTheme="minorHAnsi" w:hAnsiTheme="minorHAnsi" w:cstheme="minorHAnsi"/>
              </w:rPr>
              <w:t xml:space="preserve"> available with Government</w:t>
            </w:r>
          </w:p>
          <w:p w14:paraId="563DED77" w14:textId="5B7D450A" w:rsidR="00600977" w:rsidRPr="004179E6" w:rsidRDefault="00600977" w:rsidP="00AA128D">
            <w:pPr>
              <w:widowControl/>
              <w:autoSpaceDE/>
              <w:spacing w:after="160" w:line="276" w:lineRule="auto"/>
              <w:jc w:val="both"/>
              <w:rPr>
                <w:rFonts w:asciiTheme="minorHAnsi" w:hAnsiTheme="minorHAnsi" w:cstheme="minorHAnsi"/>
                <w:b/>
                <w:bCs/>
              </w:rPr>
            </w:pPr>
            <w:r w:rsidRPr="004179E6">
              <w:rPr>
                <w:rFonts w:asciiTheme="minorHAnsi" w:hAnsiTheme="minorHAnsi" w:cstheme="minorHAnsi"/>
                <w:b/>
                <w:bCs/>
              </w:rPr>
              <w:t>Recommendation:</w:t>
            </w:r>
          </w:p>
          <w:p w14:paraId="20CBD87B" w14:textId="388EEE16" w:rsidR="002B0820" w:rsidRPr="000F32BA" w:rsidRDefault="00600977" w:rsidP="00AA128D">
            <w:pPr>
              <w:pStyle w:val="ListParagraph"/>
              <w:widowControl/>
              <w:numPr>
                <w:ilvl w:val="0"/>
                <w:numId w:val="1"/>
              </w:numPr>
              <w:autoSpaceDE/>
              <w:spacing w:after="160" w:line="276" w:lineRule="auto"/>
              <w:ind w:left="360"/>
              <w:jc w:val="both"/>
              <w:rPr>
                <w:rFonts w:asciiTheme="minorHAnsi" w:hAnsiTheme="minorHAnsi" w:cstheme="minorHAnsi"/>
                <w:b/>
              </w:rPr>
            </w:pPr>
            <w:r w:rsidRPr="004179E6">
              <w:rPr>
                <w:rFonts w:asciiTheme="minorHAnsi" w:hAnsiTheme="minorHAnsi" w:cstheme="minorHAnsi"/>
              </w:rPr>
              <w:t>Therefore, it is suggested to kindly appreciate all the concerns/issues of the industry as well as the tax auditors and accordingly omit Clause 44 of Form 3CD.</w:t>
            </w:r>
          </w:p>
        </w:tc>
      </w:tr>
      <w:tr w:rsidR="003C3299" w:rsidRPr="004179E6" w14:paraId="52E91A15" w14:textId="77777777" w:rsidTr="00210D4C">
        <w:trPr>
          <w:trHeight w:val="20"/>
        </w:trPr>
        <w:tc>
          <w:tcPr>
            <w:tcW w:w="512" w:type="dxa"/>
          </w:tcPr>
          <w:p w14:paraId="7E34830F" w14:textId="77777777" w:rsidR="00B620E1" w:rsidRPr="004179E6" w:rsidRDefault="00B620E1"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3F94D05C" w14:textId="47DB0142" w:rsidR="00B620E1" w:rsidRPr="006A70DB" w:rsidDel="009A78BD" w:rsidRDefault="00B620E1" w:rsidP="00AA128D">
            <w:pPr>
              <w:spacing w:after="160" w:line="276" w:lineRule="auto"/>
              <w:rPr>
                <w:rFonts w:asciiTheme="minorHAnsi" w:hAnsiTheme="minorHAnsi" w:cstheme="minorHAnsi"/>
                <w:b/>
              </w:rPr>
            </w:pPr>
            <w:r w:rsidRPr="006A70DB">
              <w:rPr>
                <w:rFonts w:asciiTheme="minorHAnsi" w:hAnsiTheme="minorHAnsi" w:cstheme="minorHAnsi"/>
                <w:b/>
              </w:rPr>
              <w:t>Appropriate valuation rules to be prescribed for receipt of VDA as gift or inadequate consideration</w:t>
            </w:r>
          </w:p>
        </w:tc>
        <w:tc>
          <w:tcPr>
            <w:tcW w:w="10986" w:type="dxa"/>
          </w:tcPr>
          <w:p w14:paraId="4B0A2147" w14:textId="77777777" w:rsidR="00B620E1" w:rsidRPr="004179E6" w:rsidRDefault="00B620E1" w:rsidP="00AA128D">
            <w:pPr>
              <w:widowControl/>
              <w:autoSpaceDE/>
              <w:spacing w:after="160" w:line="276" w:lineRule="auto"/>
              <w:jc w:val="both"/>
              <w:rPr>
                <w:rFonts w:asciiTheme="minorHAnsi" w:hAnsiTheme="minorHAnsi" w:cstheme="minorHAnsi"/>
                <w:b/>
                <w:bCs/>
              </w:rPr>
            </w:pPr>
            <w:r w:rsidRPr="004179E6">
              <w:rPr>
                <w:rFonts w:asciiTheme="minorHAnsi" w:hAnsiTheme="minorHAnsi" w:cstheme="minorHAnsi"/>
                <w:b/>
                <w:bCs/>
              </w:rPr>
              <w:t>Rationale</w:t>
            </w:r>
          </w:p>
          <w:p w14:paraId="5EAB820C" w14:textId="485B51C5" w:rsidR="00B620E1" w:rsidRPr="004179E6" w:rsidRDefault="00B620E1" w:rsidP="00AA128D">
            <w:pPr>
              <w:pStyle w:val="ListParagraph"/>
              <w:widowControl/>
              <w:numPr>
                <w:ilvl w:val="0"/>
                <w:numId w:val="13"/>
              </w:numPr>
              <w:autoSpaceDE/>
              <w:spacing w:after="160" w:line="276" w:lineRule="auto"/>
              <w:ind w:left="360"/>
              <w:jc w:val="both"/>
              <w:rPr>
                <w:rFonts w:asciiTheme="minorHAnsi" w:hAnsiTheme="minorHAnsi" w:cstheme="minorHAnsi"/>
                <w:b/>
                <w:bCs/>
              </w:rPr>
            </w:pPr>
            <w:r w:rsidRPr="004179E6">
              <w:rPr>
                <w:rFonts w:asciiTheme="minorHAnsi" w:hAnsiTheme="minorHAnsi" w:cstheme="minorHAnsi"/>
              </w:rPr>
              <w:t xml:space="preserve">Finance Act 2022 has amended definition of “property” under clause (d) of Explanation to S.56(2)(vii) </w:t>
            </w:r>
            <w:r w:rsidR="00583D35" w:rsidRPr="004179E6">
              <w:rPr>
                <w:rFonts w:asciiTheme="minorHAnsi" w:hAnsiTheme="minorHAnsi" w:cstheme="minorHAnsi"/>
              </w:rPr>
              <w:t>of the ITA, 1961</w:t>
            </w:r>
            <w:r w:rsidR="004A7B0F" w:rsidRPr="004179E6">
              <w:rPr>
                <w:rFonts w:asciiTheme="minorHAnsi" w:hAnsiTheme="minorHAnsi" w:cstheme="minorHAnsi"/>
              </w:rPr>
              <w:t xml:space="preserve"> </w:t>
            </w:r>
            <w:r w:rsidRPr="004179E6">
              <w:rPr>
                <w:rFonts w:asciiTheme="minorHAnsi" w:hAnsiTheme="minorHAnsi" w:cstheme="minorHAnsi"/>
              </w:rPr>
              <w:t>to include VDA. Such definition of “property” is applicable in case of S.56(2)(x) by virtue of Explanation to S.56(2)(x)</w:t>
            </w:r>
            <w:r w:rsidR="00750011" w:rsidRPr="004179E6">
              <w:rPr>
                <w:rFonts w:asciiTheme="minorHAnsi" w:hAnsiTheme="minorHAnsi" w:cstheme="minorHAnsi"/>
              </w:rPr>
              <w:t xml:space="preserve"> (corresponding to s.92(2)(m) of ITA 2025 r. w. definition of property under s.92(5)(f) of ITA 2025</w:t>
            </w:r>
            <w:r w:rsidRPr="004179E6">
              <w:rPr>
                <w:rFonts w:asciiTheme="minorHAnsi" w:hAnsiTheme="minorHAnsi" w:cstheme="minorHAnsi"/>
              </w:rPr>
              <w:t xml:space="preserve">). </w:t>
            </w:r>
          </w:p>
          <w:p w14:paraId="74A8FDB8" w14:textId="033FCC1B" w:rsidR="00B620E1" w:rsidRPr="004179E6" w:rsidRDefault="00B620E1" w:rsidP="00AA128D">
            <w:pPr>
              <w:pStyle w:val="ListParagraph"/>
              <w:widowControl/>
              <w:numPr>
                <w:ilvl w:val="0"/>
                <w:numId w:val="13"/>
              </w:numPr>
              <w:autoSpaceDE/>
              <w:spacing w:after="160" w:line="276" w:lineRule="auto"/>
              <w:ind w:left="360"/>
              <w:jc w:val="both"/>
              <w:rPr>
                <w:rFonts w:asciiTheme="minorHAnsi" w:hAnsiTheme="minorHAnsi" w:cstheme="minorHAnsi"/>
                <w:b/>
                <w:bCs/>
              </w:rPr>
            </w:pPr>
            <w:r w:rsidRPr="004179E6">
              <w:rPr>
                <w:rFonts w:asciiTheme="minorHAnsi" w:hAnsiTheme="minorHAnsi" w:cstheme="minorHAnsi"/>
              </w:rPr>
              <w:t xml:space="preserve">S.56(2)(x)(c) </w:t>
            </w:r>
            <w:r w:rsidR="0081218A">
              <w:rPr>
                <w:rFonts w:asciiTheme="minorHAnsi" w:hAnsiTheme="minorHAnsi" w:cstheme="minorHAnsi"/>
              </w:rPr>
              <w:t xml:space="preserve">of the ITA, 1961 (corresponding S. </w:t>
            </w:r>
            <w:r w:rsidR="0081218A" w:rsidRPr="0079740C">
              <w:rPr>
                <w:rFonts w:asciiTheme="minorHAnsi" w:hAnsiTheme="minorHAnsi" w:cstheme="minorHAnsi"/>
              </w:rPr>
              <w:t>Section 92(2)(m)(iii)</w:t>
            </w:r>
            <w:r w:rsidR="0081218A">
              <w:rPr>
                <w:rFonts w:asciiTheme="minorHAnsi" w:hAnsiTheme="minorHAnsi" w:cstheme="minorHAnsi"/>
              </w:rPr>
              <w:t xml:space="preserve"> of ITA, 2025</w:t>
            </w:r>
            <w:r w:rsidR="00EF30B5">
              <w:rPr>
                <w:rFonts w:asciiTheme="minorHAnsi" w:hAnsiTheme="minorHAnsi" w:cstheme="minorHAnsi"/>
              </w:rPr>
              <w:t>)</w:t>
            </w:r>
            <w:r w:rsidRPr="004179E6">
              <w:rPr>
                <w:rFonts w:asciiTheme="minorHAnsi" w:hAnsiTheme="minorHAnsi" w:cstheme="minorHAnsi"/>
              </w:rPr>
              <w:t xml:space="preserve"> provides for taxation of income where property is transferred for NIL or inadequate consideration as compared to fair market value (FMV). The difference between FMV and consideration in excess of Rs. 50,000 is considered as income in hands of recipient. </w:t>
            </w:r>
          </w:p>
          <w:p w14:paraId="121A633F" w14:textId="146DA405" w:rsidR="00B620E1" w:rsidRPr="004179E6" w:rsidRDefault="00B620E1" w:rsidP="00AA128D">
            <w:pPr>
              <w:pStyle w:val="ListParagraph"/>
              <w:widowControl/>
              <w:numPr>
                <w:ilvl w:val="0"/>
                <w:numId w:val="13"/>
              </w:numPr>
              <w:autoSpaceDE/>
              <w:spacing w:after="160" w:line="276" w:lineRule="auto"/>
              <w:ind w:left="360"/>
              <w:jc w:val="both"/>
              <w:rPr>
                <w:rFonts w:asciiTheme="minorHAnsi" w:hAnsiTheme="minorHAnsi" w:cstheme="minorHAnsi"/>
                <w:b/>
                <w:bCs/>
              </w:rPr>
            </w:pPr>
            <w:r w:rsidRPr="004179E6">
              <w:rPr>
                <w:rFonts w:asciiTheme="minorHAnsi" w:hAnsiTheme="minorHAnsi" w:cstheme="minorHAnsi"/>
              </w:rPr>
              <w:lastRenderedPageBreak/>
              <w:t>Explanation to S.56(2)(x) r.w. clause (b) of Explanation to S.56(2)(vii) defines fair market value of property as per prescribed method. Rule 11UA</w:t>
            </w:r>
            <w:r w:rsidR="00940A7C">
              <w:rPr>
                <w:rFonts w:asciiTheme="minorHAnsi" w:hAnsiTheme="minorHAnsi" w:cstheme="minorHAnsi"/>
              </w:rPr>
              <w:t xml:space="preserve"> of I</w:t>
            </w:r>
            <w:r w:rsidR="00761C4E">
              <w:rPr>
                <w:rFonts w:asciiTheme="minorHAnsi" w:hAnsiTheme="minorHAnsi" w:cstheme="minorHAnsi"/>
              </w:rPr>
              <w:t xml:space="preserve">ncome </w:t>
            </w:r>
            <w:r w:rsidR="00940A7C">
              <w:rPr>
                <w:rFonts w:asciiTheme="minorHAnsi" w:hAnsiTheme="minorHAnsi" w:cstheme="minorHAnsi"/>
              </w:rPr>
              <w:t>T</w:t>
            </w:r>
            <w:r w:rsidR="00761C4E">
              <w:rPr>
                <w:rFonts w:asciiTheme="minorHAnsi" w:hAnsiTheme="minorHAnsi" w:cstheme="minorHAnsi"/>
              </w:rPr>
              <w:t xml:space="preserve">ax </w:t>
            </w:r>
            <w:r w:rsidR="00940A7C">
              <w:rPr>
                <w:rFonts w:asciiTheme="minorHAnsi" w:hAnsiTheme="minorHAnsi" w:cstheme="minorHAnsi"/>
              </w:rPr>
              <w:t>R</w:t>
            </w:r>
            <w:r w:rsidR="00761C4E">
              <w:rPr>
                <w:rFonts w:asciiTheme="minorHAnsi" w:hAnsiTheme="minorHAnsi" w:cstheme="minorHAnsi"/>
              </w:rPr>
              <w:t>ules</w:t>
            </w:r>
            <w:r w:rsidR="00940A7C">
              <w:rPr>
                <w:rFonts w:asciiTheme="minorHAnsi" w:hAnsiTheme="minorHAnsi" w:cstheme="minorHAnsi"/>
              </w:rPr>
              <w:t>, 1962 (</w:t>
            </w:r>
            <w:r w:rsidR="00F50241">
              <w:rPr>
                <w:rFonts w:asciiTheme="minorHAnsi" w:hAnsiTheme="minorHAnsi" w:cstheme="minorHAnsi"/>
              </w:rPr>
              <w:t>R</w:t>
            </w:r>
            <w:r w:rsidR="00761C4E">
              <w:rPr>
                <w:rFonts w:asciiTheme="minorHAnsi" w:hAnsiTheme="minorHAnsi" w:cstheme="minorHAnsi"/>
              </w:rPr>
              <w:t>ule</w:t>
            </w:r>
            <w:r w:rsidR="00F50241">
              <w:rPr>
                <w:rFonts w:asciiTheme="minorHAnsi" w:hAnsiTheme="minorHAnsi" w:cstheme="minorHAnsi"/>
              </w:rPr>
              <w:t xml:space="preserve"> 57 of</w:t>
            </w:r>
            <w:r w:rsidR="00C96A15">
              <w:rPr>
                <w:rFonts w:asciiTheme="minorHAnsi" w:hAnsiTheme="minorHAnsi" w:cstheme="minorHAnsi"/>
              </w:rPr>
              <w:t xml:space="preserve"> </w:t>
            </w:r>
            <w:r w:rsidR="00C74770">
              <w:rPr>
                <w:rFonts w:asciiTheme="minorHAnsi" w:hAnsiTheme="minorHAnsi" w:cstheme="minorHAnsi"/>
              </w:rPr>
              <w:t>Draft IT</w:t>
            </w:r>
            <w:r w:rsidR="00761C4E">
              <w:rPr>
                <w:rFonts w:asciiTheme="minorHAnsi" w:hAnsiTheme="minorHAnsi" w:cstheme="minorHAnsi"/>
              </w:rPr>
              <w:t xml:space="preserve"> </w:t>
            </w:r>
            <w:r w:rsidR="00C74770">
              <w:rPr>
                <w:rFonts w:asciiTheme="minorHAnsi" w:hAnsiTheme="minorHAnsi" w:cstheme="minorHAnsi"/>
              </w:rPr>
              <w:t>R</w:t>
            </w:r>
            <w:r w:rsidR="00761C4E">
              <w:rPr>
                <w:rFonts w:asciiTheme="minorHAnsi" w:hAnsiTheme="minorHAnsi" w:cstheme="minorHAnsi"/>
              </w:rPr>
              <w:t>ules</w:t>
            </w:r>
            <w:r w:rsidR="00C74770">
              <w:rPr>
                <w:rFonts w:asciiTheme="minorHAnsi" w:hAnsiTheme="minorHAnsi" w:cstheme="minorHAnsi"/>
              </w:rPr>
              <w:t>, 2026</w:t>
            </w:r>
            <w:r w:rsidR="00F50241">
              <w:rPr>
                <w:rFonts w:asciiTheme="minorHAnsi" w:hAnsiTheme="minorHAnsi" w:cstheme="minorHAnsi"/>
              </w:rPr>
              <w:t>)</w:t>
            </w:r>
            <w:r w:rsidRPr="004179E6">
              <w:rPr>
                <w:rFonts w:asciiTheme="minorHAnsi" w:hAnsiTheme="minorHAnsi" w:cstheme="minorHAnsi"/>
              </w:rPr>
              <w:t xml:space="preserve"> prescribes the manner of determination of FMV of property. </w:t>
            </w:r>
          </w:p>
          <w:p w14:paraId="195E34D7" w14:textId="77777777" w:rsidR="00B620E1" w:rsidRPr="004179E6" w:rsidRDefault="00B620E1" w:rsidP="00AA128D">
            <w:pPr>
              <w:pStyle w:val="ListParagraph"/>
              <w:widowControl/>
              <w:numPr>
                <w:ilvl w:val="0"/>
                <w:numId w:val="13"/>
              </w:numPr>
              <w:autoSpaceDE/>
              <w:spacing w:after="160" w:line="276" w:lineRule="auto"/>
              <w:ind w:left="360"/>
              <w:jc w:val="both"/>
              <w:rPr>
                <w:rFonts w:asciiTheme="minorHAnsi" w:hAnsiTheme="minorHAnsi" w:cstheme="minorHAnsi"/>
                <w:b/>
                <w:bCs/>
              </w:rPr>
            </w:pPr>
            <w:r w:rsidRPr="004179E6">
              <w:rPr>
                <w:rFonts w:asciiTheme="minorHAnsi" w:hAnsiTheme="minorHAnsi" w:cstheme="minorHAnsi"/>
              </w:rPr>
              <w:t xml:space="preserve">The amendment provides for gift taxation of receipt of VDA in hands of recipient where the VDA is received for NIL or inadequate consideration. While VDA has been included within the definition of property u/s.56(2)(x), there is no valuation mechanism prescribed for determination of value of VDA under Rule 11UA. </w:t>
            </w:r>
          </w:p>
          <w:p w14:paraId="4E1DE47C" w14:textId="1B6BE277" w:rsidR="00B620E1" w:rsidRPr="004179E6" w:rsidRDefault="00B620E1" w:rsidP="00AA128D">
            <w:pPr>
              <w:pStyle w:val="ListParagraph"/>
              <w:widowControl/>
              <w:numPr>
                <w:ilvl w:val="0"/>
                <w:numId w:val="13"/>
              </w:numPr>
              <w:autoSpaceDE/>
              <w:spacing w:after="160" w:line="276" w:lineRule="auto"/>
              <w:ind w:left="360"/>
              <w:jc w:val="both"/>
              <w:rPr>
                <w:rFonts w:asciiTheme="minorHAnsi" w:hAnsiTheme="minorHAnsi" w:cstheme="minorHAnsi"/>
                <w:b/>
                <w:bCs/>
              </w:rPr>
            </w:pPr>
            <w:r w:rsidRPr="004179E6">
              <w:rPr>
                <w:rFonts w:asciiTheme="minorHAnsi" w:hAnsiTheme="minorHAnsi" w:cstheme="minorHAnsi"/>
              </w:rPr>
              <w:t>In absence of valuation mechanism for determining FMV of VDA, it is difficult to determine income chargeable to tax under S.56(2)(x)(c)</w:t>
            </w:r>
            <w:r w:rsidR="00A05361">
              <w:rPr>
                <w:rFonts w:asciiTheme="minorHAnsi" w:hAnsiTheme="minorHAnsi" w:cstheme="minorHAnsi"/>
              </w:rPr>
              <w:t xml:space="preserve"> </w:t>
            </w:r>
            <w:r w:rsidR="0079740C">
              <w:rPr>
                <w:rFonts w:asciiTheme="minorHAnsi" w:hAnsiTheme="minorHAnsi" w:cstheme="minorHAnsi"/>
              </w:rPr>
              <w:t xml:space="preserve">of the ITA, 1961 (corresponding S. </w:t>
            </w:r>
            <w:r w:rsidR="0079740C" w:rsidRPr="0079740C">
              <w:rPr>
                <w:rFonts w:asciiTheme="minorHAnsi" w:hAnsiTheme="minorHAnsi" w:cstheme="minorHAnsi"/>
              </w:rPr>
              <w:t>Section 92(2)(m)(iii)</w:t>
            </w:r>
            <w:r w:rsidR="0079740C">
              <w:rPr>
                <w:rFonts w:asciiTheme="minorHAnsi" w:hAnsiTheme="minorHAnsi" w:cstheme="minorHAnsi"/>
              </w:rPr>
              <w:t xml:space="preserve"> of the ITA, 2025)</w:t>
            </w:r>
            <w:r w:rsidRPr="004179E6">
              <w:rPr>
                <w:rFonts w:asciiTheme="minorHAnsi" w:hAnsiTheme="minorHAnsi" w:cstheme="minorHAnsi"/>
              </w:rPr>
              <w:t xml:space="preserve">. </w:t>
            </w:r>
          </w:p>
          <w:p w14:paraId="6BD354B7" w14:textId="77777777" w:rsidR="00B620E1" w:rsidRPr="004179E6" w:rsidRDefault="00B620E1" w:rsidP="00AA128D">
            <w:pPr>
              <w:widowControl/>
              <w:autoSpaceDE/>
              <w:spacing w:after="160" w:line="276" w:lineRule="auto"/>
              <w:jc w:val="both"/>
              <w:rPr>
                <w:rFonts w:asciiTheme="minorHAnsi" w:hAnsiTheme="minorHAnsi" w:cstheme="minorHAnsi"/>
                <w:b/>
                <w:bCs/>
              </w:rPr>
            </w:pPr>
            <w:r w:rsidRPr="004179E6">
              <w:rPr>
                <w:rFonts w:asciiTheme="minorHAnsi" w:hAnsiTheme="minorHAnsi" w:cstheme="minorHAnsi"/>
                <w:b/>
                <w:bCs/>
              </w:rPr>
              <w:t xml:space="preserve">Recommendation </w:t>
            </w:r>
          </w:p>
          <w:p w14:paraId="2565F15C" w14:textId="11C819BC" w:rsidR="00B620E1" w:rsidRPr="004179E6" w:rsidDel="009A78BD" w:rsidRDefault="00B620E1" w:rsidP="00AA128D">
            <w:pPr>
              <w:pStyle w:val="ListParagraph"/>
              <w:widowControl/>
              <w:numPr>
                <w:ilvl w:val="0"/>
                <w:numId w:val="13"/>
              </w:numPr>
              <w:autoSpaceDE/>
              <w:spacing w:after="160" w:line="276" w:lineRule="auto"/>
              <w:ind w:left="360"/>
              <w:jc w:val="both"/>
              <w:rPr>
                <w:rFonts w:asciiTheme="minorHAnsi" w:hAnsiTheme="minorHAnsi" w:cstheme="minorHAnsi"/>
                <w:b/>
                <w:bCs/>
              </w:rPr>
            </w:pPr>
            <w:r w:rsidRPr="004179E6">
              <w:rPr>
                <w:rFonts w:asciiTheme="minorHAnsi" w:hAnsiTheme="minorHAnsi" w:cstheme="minorHAnsi"/>
              </w:rPr>
              <w:t xml:space="preserve">Considering the nature of VDA and volatile nature of pricing of VDA, it is recommended that appropriate valuation rules should be introduced in Rule 11UA </w:t>
            </w:r>
            <w:r w:rsidR="00312756">
              <w:rPr>
                <w:rFonts w:asciiTheme="minorHAnsi" w:hAnsiTheme="minorHAnsi" w:cstheme="minorHAnsi"/>
              </w:rPr>
              <w:t>of I</w:t>
            </w:r>
            <w:r w:rsidR="000C2727">
              <w:rPr>
                <w:rFonts w:asciiTheme="minorHAnsi" w:hAnsiTheme="minorHAnsi" w:cstheme="minorHAnsi"/>
              </w:rPr>
              <w:t xml:space="preserve">ncome </w:t>
            </w:r>
            <w:r w:rsidR="00312756">
              <w:rPr>
                <w:rFonts w:asciiTheme="minorHAnsi" w:hAnsiTheme="minorHAnsi" w:cstheme="minorHAnsi"/>
              </w:rPr>
              <w:t>T</w:t>
            </w:r>
            <w:r w:rsidR="000C2727">
              <w:rPr>
                <w:rFonts w:asciiTheme="minorHAnsi" w:hAnsiTheme="minorHAnsi" w:cstheme="minorHAnsi"/>
              </w:rPr>
              <w:t xml:space="preserve">ax </w:t>
            </w:r>
            <w:r w:rsidR="00312756">
              <w:rPr>
                <w:rFonts w:asciiTheme="minorHAnsi" w:hAnsiTheme="minorHAnsi" w:cstheme="minorHAnsi"/>
              </w:rPr>
              <w:t>R</w:t>
            </w:r>
            <w:r w:rsidR="000C2727">
              <w:rPr>
                <w:rFonts w:asciiTheme="minorHAnsi" w:hAnsiTheme="minorHAnsi" w:cstheme="minorHAnsi"/>
              </w:rPr>
              <w:t>ules</w:t>
            </w:r>
            <w:r w:rsidR="00312756">
              <w:rPr>
                <w:rFonts w:asciiTheme="minorHAnsi" w:hAnsiTheme="minorHAnsi" w:cstheme="minorHAnsi"/>
              </w:rPr>
              <w:t>, 1962 (R</w:t>
            </w:r>
            <w:r w:rsidR="000C2727">
              <w:rPr>
                <w:rFonts w:asciiTheme="minorHAnsi" w:hAnsiTheme="minorHAnsi" w:cstheme="minorHAnsi"/>
              </w:rPr>
              <w:t>ule</w:t>
            </w:r>
            <w:r w:rsidR="00312756">
              <w:rPr>
                <w:rFonts w:asciiTheme="minorHAnsi" w:hAnsiTheme="minorHAnsi" w:cstheme="minorHAnsi"/>
              </w:rPr>
              <w:t xml:space="preserve"> 57 of Draft IT</w:t>
            </w:r>
            <w:r w:rsidR="000A05C1">
              <w:rPr>
                <w:rFonts w:asciiTheme="minorHAnsi" w:hAnsiTheme="minorHAnsi" w:cstheme="minorHAnsi"/>
              </w:rPr>
              <w:t xml:space="preserve"> </w:t>
            </w:r>
            <w:r w:rsidR="00312756">
              <w:rPr>
                <w:rFonts w:asciiTheme="minorHAnsi" w:hAnsiTheme="minorHAnsi" w:cstheme="minorHAnsi"/>
              </w:rPr>
              <w:t>R</w:t>
            </w:r>
            <w:r w:rsidR="000A05C1">
              <w:rPr>
                <w:rFonts w:asciiTheme="minorHAnsi" w:hAnsiTheme="minorHAnsi" w:cstheme="minorHAnsi"/>
              </w:rPr>
              <w:t>ules</w:t>
            </w:r>
            <w:r w:rsidR="00312756">
              <w:rPr>
                <w:rFonts w:asciiTheme="minorHAnsi" w:hAnsiTheme="minorHAnsi" w:cstheme="minorHAnsi"/>
              </w:rPr>
              <w:t>, 2026)</w:t>
            </w:r>
            <w:r w:rsidR="00312756" w:rsidRPr="004179E6">
              <w:rPr>
                <w:rFonts w:asciiTheme="minorHAnsi" w:hAnsiTheme="minorHAnsi" w:cstheme="minorHAnsi"/>
              </w:rPr>
              <w:t xml:space="preserve"> </w:t>
            </w:r>
            <w:r w:rsidRPr="004179E6">
              <w:rPr>
                <w:rFonts w:asciiTheme="minorHAnsi" w:hAnsiTheme="minorHAnsi" w:cstheme="minorHAnsi"/>
              </w:rPr>
              <w:t xml:space="preserve"> for valuation of VDA after giving due consideration to current market practices and without casting unreasonable burden on the taxpayers</w:t>
            </w:r>
          </w:p>
        </w:tc>
      </w:tr>
      <w:tr w:rsidR="003C3299" w:rsidRPr="004179E6" w14:paraId="2E92ED4E" w14:textId="77777777" w:rsidTr="00210D4C">
        <w:trPr>
          <w:trHeight w:val="20"/>
        </w:trPr>
        <w:tc>
          <w:tcPr>
            <w:tcW w:w="512" w:type="dxa"/>
          </w:tcPr>
          <w:p w14:paraId="539A724B" w14:textId="77777777" w:rsidR="00DB5797" w:rsidRPr="004179E6" w:rsidRDefault="00DB5797"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2712C775" w14:textId="521B4D28" w:rsidR="0071270F" w:rsidRPr="006A70DB" w:rsidRDefault="00DB5797" w:rsidP="00AA128D">
            <w:pPr>
              <w:spacing w:after="160" w:line="276" w:lineRule="auto"/>
              <w:rPr>
                <w:rFonts w:asciiTheme="minorHAnsi" w:hAnsiTheme="minorHAnsi" w:cstheme="minorHAnsi"/>
                <w:b/>
              </w:rPr>
            </w:pPr>
            <w:r w:rsidRPr="006A70DB">
              <w:rPr>
                <w:rFonts w:asciiTheme="minorHAnsi" w:hAnsiTheme="minorHAnsi" w:cstheme="minorHAnsi"/>
                <w:b/>
              </w:rPr>
              <w:t xml:space="preserve">Application for approval of the </w:t>
            </w:r>
            <w:r w:rsidR="00E92AE1" w:rsidRPr="006A70DB">
              <w:rPr>
                <w:rFonts w:asciiTheme="minorHAnsi" w:hAnsiTheme="minorHAnsi" w:cstheme="minorHAnsi"/>
                <w:b/>
              </w:rPr>
              <w:t xml:space="preserve">Offshore </w:t>
            </w:r>
            <w:r w:rsidRPr="006A70DB">
              <w:rPr>
                <w:rFonts w:asciiTheme="minorHAnsi" w:hAnsiTheme="minorHAnsi" w:cstheme="minorHAnsi"/>
                <w:b/>
              </w:rPr>
              <w:t>Fund as per Rule 10VA(3) and applicability of Rule 10VA(8)</w:t>
            </w:r>
            <w:r w:rsidR="009D6CE8" w:rsidRPr="006A70DB">
              <w:rPr>
                <w:rFonts w:asciiTheme="minorHAnsi" w:hAnsiTheme="minorHAnsi" w:cstheme="minorHAnsi"/>
                <w:b/>
              </w:rPr>
              <w:t xml:space="preserve"> </w:t>
            </w:r>
            <w:r w:rsidR="00427737" w:rsidRPr="006A70DB">
              <w:rPr>
                <w:rFonts w:asciiTheme="minorHAnsi" w:hAnsiTheme="minorHAnsi" w:cstheme="minorHAnsi"/>
                <w:b/>
              </w:rPr>
              <w:t>of IT Rules 1962</w:t>
            </w:r>
          </w:p>
          <w:p w14:paraId="671F78D7" w14:textId="77368006" w:rsidR="00DB5797" w:rsidRPr="006A70DB" w:rsidRDefault="009D6CE8" w:rsidP="00AA128D">
            <w:pPr>
              <w:spacing w:after="160" w:line="276" w:lineRule="auto"/>
              <w:rPr>
                <w:rFonts w:asciiTheme="minorHAnsi" w:hAnsiTheme="minorHAnsi" w:cstheme="minorHAnsi"/>
                <w:b/>
              </w:rPr>
            </w:pPr>
            <w:r w:rsidRPr="006A70DB">
              <w:rPr>
                <w:rFonts w:asciiTheme="minorHAnsi" w:hAnsiTheme="minorHAnsi" w:cstheme="minorHAnsi"/>
                <w:b/>
              </w:rPr>
              <w:t>(corresponding R</w:t>
            </w:r>
            <w:r w:rsidR="0071270F" w:rsidRPr="006A70DB">
              <w:rPr>
                <w:rFonts w:asciiTheme="minorHAnsi" w:hAnsiTheme="minorHAnsi" w:cstheme="minorHAnsi"/>
                <w:b/>
              </w:rPr>
              <w:t>ule</w:t>
            </w:r>
            <w:r w:rsidRPr="006A70DB">
              <w:rPr>
                <w:rFonts w:asciiTheme="minorHAnsi" w:hAnsiTheme="minorHAnsi" w:cstheme="minorHAnsi"/>
                <w:b/>
              </w:rPr>
              <w:t xml:space="preserve"> 275 of the Draft IT</w:t>
            </w:r>
            <w:r w:rsidR="00427737" w:rsidRPr="006A70DB">
              <w:rPr>
                <w:rFonts w:asciiTheme="minorHAnsi" w:hAnsiTheme="minorHAnsi" w:cstheme="minorHAnsi"/>
                <w:b/>
              </w:rPr>
              <w:t xml:space="preserve"> </w:t>
            </w:r>
            <w:r w:rsidRPr="006A70DB">
              <w:rPr>
                <w:rFonts w:asciiTheme="minorHAnsi" w:hAnsiTheme="minorHAnsi" w:cstheme="minorHAnsi"/>
                <w:b/>
              </w:rPr>
              <w:t>R</w:t>
            </w:r>
            <w:r w:rsidR="00427737" w:rsidRPr="006A70DB">
              <w:rPr>
                <w:rFonts w:asciiTheme="minorHAnsi" w:hAnsiTheme="minorHAnsi" w:cstheme="minorHAnsi"/>
                <w:b/>
              </w:rPr>
              <w:t>ules</w:t>
            </w:r>
            <w:r w:rsidRPr="006A70DB">
              <w:rPr>
                <w:rFonts w:asciiTheme="minorHAnsi" w:hAnsiTheme="minorHAnsi" w:cstheme="minorHAnsi"/>
                <w:b/>
              </w:rPr>
              <w:t>, 2026)</w:t>
            </w:r>
          </w:p>
        </w:tc>
        <w:tc>
          <w:tcPr>
            <w:tcW w:w="10986" w:type="dxa"/>
          </w:tcPr>
          <w:p w14:paraId="41022E75" w14:textId="77777777" w:rsidR="00DB5797" w:rsidRPr="004179E6" w:rsidRDefault="00DB5797" w:rsidP="00AA128D">
            <w:pPr>
              <w:spacing w:after="160" w:line="276" w:lineRule="auto"/>
              <w:jc w:val="both"/>
              <w:rPr>
                <w:rFonts w:asciiTheme="minorHAnsi" w:hAnsiTheme="minorHAnsi" w:cstheme="minorHAnsi"/>
                <w:b/>
                <w:bCs/>
              </w:rPr>
            </w:pPr>
            <w:r w:rsidRPr="004179E6">
              <w:rPr>
                <w:rFonts w:asciiTheme="minorHAnsi" w:hAnsiTheme="minorHAnsi" w:cstheme="minorHAnsi"/>
                <w:b/>
                <w:bCs/>
              </w:rPr>
              <w:t>Background:</w:t>
            </w:r>
          </w:p>
          <w:p w14:paraId="0BBD24EF" w14:textId="521D582D" w:rsidR="000C1B6C" w:rsidRPr="004179E6" w:rsidRDefault="000C1B6C" w:rsidP="00AA128D">
            <w:pPr>
              <w:pStyle w:val="ListParagraph"/>
              <w:widowControl/>
              <w:numPr>
                <w:ilvl w:val="0"/>
                <w:numId w:val="23"/>
              </w:numPr>
              <w:autoSpaceDE/>
              <w:autoSpaceDN/>
              <w:spacing w:after="160" w:line="276" w:lineRule="auto"/>
              <w:ind w:left="286" w:hanging="283"/>
              <w:jc w:val="both"/>
              <w:rPr>
                <w:rFonts w:asciiTheme="minorHAnsi" w:hAnsiTheme="minorHAnsi" w:cstheme="minorHAnsi"/>
              </w:rPr>
            </w:pPr>
            <w:r w:rsidRPr="004179E6">
              <w:rPr>
                <w:rFonts w:asciiTheme="minorHAnsi" w:hAnsiTheme="minorHAnsi" w:cstheme="minorHAnsi"/>
              </w:rPr>
              <w:t>As per Rule 10VA(3)</w:t>
            </w:r>
            <w:r w:rsidR="00A35520">
              <w:rPr>
                <w:rFonts w:asciiTheme="minorHAnsi" w:hAnsiTheme="minorHAnsi" w:cstheme="minorHAnsi"/>
              </w:rPr>
              <w:t xml:space="preserve"> </w:t>
            </w:r>
            <w:r w:rsidR="00A35520" w:rsidRPr="00A35520">
              <w:rPr>
                <w:rFonts w:asciiTheme="minorHAnsi" w:hAnsiTheme="minorHAnsi" w:cstheme="minorHAnsi"/>
              </w:rPr>
              <w:t>of IT Rules 1962</w:t>
            </w:r>
            <w:r w:rsidR="00A35520">
              <w:rPr>
                <w:rFonts w:asciiTheme="minorHAnsi" w:hAnsiTheme="minorHAnsi" w:cstheme="minorHAnsi"/>
              </w:rPr>
              <w:t xml:space="preserve"> (</w:t>
            </w:r>
            <w:r w:rsidR="00A35520" w:rsidRPr="00A35520">
              <w:rPr>
                <w:rFonts w:asciiTheme="minorHAnsi" w:hAnsiTheme="minorHAnsi" w:cstheme="minorHAnsi"/>
              </w:rPr>
              <w:t>Rule 275</w:t>
            </w:r>
            <w:r w:rsidR="00D13502">
              <w:rPr>
                <w:rFonts w:asciiTheme="minorHAnsi" w:hAnsiTheme="minorHAnsi" w:cstheme="minorHAnsi"/>
              </w:rPr>
              <w:t>(3)</w:t>
            </w:r>
            <w:r w:rsidR="00A35520" w:rsidRPr="00A35520">
              <w:rPr>
                <w:rFonts w:asciiTheme="minorHAnsi" w:hAnsiTheme="minorHAnsi" w:cstheme="minorHAnsi"/>
              </w:rPr>
              <w:t xml:space="preserve"> of Draft IT Rules, 2026</w:t>
            </w:r>
            <w:r w:rsidR="00A35520">
              <w:rPr>
                <w:rFonts w:asciiTheme="minorHAnsi" w:hAnsiTheme="minorHAnsi" w:cstheme="minorHAnsi"/>
              </w:rPr>
              <w:t>)</w:t>
            </w:r>
            <w:r w:rsidRPr="004179E6">
              <w:rPr>
                <w:rFonts w:asciiTheme="minorHAnsi" w:hAnsiTheme="minorHAnsi" w:cstheme="minorHAnsi"/>
              </w:rPr>
              <w:t xml:space="preserve">, the application for seeking approval under section 9A(8A) of ITA 1961 (corresponding to section 9(12) r. w. Schedule I of ITA 2025) </w:t>
            </w:r>
            <w:r w:rsidR="009C656C" w:rsidRPr="004179E6">
              <w:rPr>
                <w:rFonts w:asciiTheme="minorHAnsi" w:hAnsiTheme="minorHAnsi" w:cstheme="minorHAnsi"/>
              </w:rPr>
              <w:t xml:space="preserve">for an Offshore Fund to be managed by Indian Fund Manager </w:t>
            </w:r>
            <w:r w:rsidRPr="004179E6">
              <w:rPr>
                <w:rFonts w:asciiTheme="minorHAnsi" w:hAnsiTheme="minorHAnsi" w:cstheme="minorHAnsi"/>
              </w:rPr>
              <w:t>shall be made 3 months before the beginning of the previous year for which the fund seeks the approval, and as per Rule 10VA(8)</w:t>
            </w:r>
            <w:r w:rsidR="00D13502">
              <w:rPr>
                <w:rFonts w:asciiTheme="minorHAnsi" w:hAnsiTheme="minorHAnsi" w:cstheme="minorHAnsi"/>
              </w:rPr>
              <w:t xml:space="preserve"> (</w:t>
            </w:r>
            <w:r w:rsidR="00D13502" w:rsidRPr="00A35520">
              <w:rPr>
                <w:rFonts w:asciiTheme="minorHAnsi" w:hAnsiTheme="minorHAnsi" w:cstheme="minorHAnsi"/>
              </w:rPr>
              <w:t>Rule 275</w:t>
            </w:r>
            <w:r w:rsidR="00D13502">
              <w:rPr>
                <w:rFonts w:asciiTheme="minorHAnsi" w:hAnsiTheme="minorHAnsi" w:cstheme="minorHAnsi"/>
              </w:rPr>
              <w:t>(8)</w:t>
            </w:r>
            <w:r w:rsidR="00D13502" w:rsidRPr="00A35520">
              <w:rPr>
                <w:rFonts w:asciiTheme="minorHAnsi" w:hAnsiTheme="minorHAnsi" w:cstheme="minorHAnsi"/>
              </w:rPr>
              <w:t xml:space="preserve"> of Draft IT Rules, 2026</w:t>
            </w:r>
            <w:r w:rsidR="00D13502">
              <w:rPr>
                <w:rFonts w:asciiTheme="minorHAnsi" w:hAnsiTheme="minorHAnsi" w:cstheme="minorHAnsi"/>
              </w:rPr>
              <w:t>)</w:t>
            </w:r>
            <w:r w:rsidRPr="004179E6">
              <w:rPr>
                <w:rFonts w:asciiTheme="minorHAnsi" w:hAnsiTheme="minorHAnsi" w:cstheme="minorHAnsi"/>
              </w:rPr>
              <w:t>, the approval once granted, shall be applicable for the previous year and subsequent previous years unless it is withdrawn by the Board.</w:t>
            </w:r>
          </w:p>
          <w:p w14:paraId="723EA3E9" w14:textId="77777777" w:rsidR="000C1B6C" w:rsidRPr="004179E6" w:rsidRDefault="000C1B6C" w:rsidP="00AA128D">
            <w:pPr>
              <w:spacing w:after="160" w:line="276" w:lineRule="auto"/>
              <w:jc w:val="both"/>
              <w:rPr>
                <w:rFonts w:asciiTheme="minorHAnsi" w:hAnsiTheme="minorHAnsi" w:cstheme="minorHAnsi"/>
                <w:b/>
                <w:bCs/>
              </w:rPr>
            </w:pPr>
            <w:r w:rsidRPr="004179E6">
              <w:rPr>
                <w:rFonts w:asciiTheme="minorHAnsi" w:hAnsiTheme="minorHAnsi" w:cstheme="minorHAnsi"/>
                <w:b/>
                <w:bCs/>
              </w:rPr>
              <w:t>Rationale and Issue:</w:t>
            </w:r>
          </w:p>
          <w:p w14:paraId="68231F99" w14:textId="77777777" w:rsidR="000C1B6C" w:rsidRPr="004179E6" w:rsidRDefault="000C1B6C" w:rsidP="00AA128D">
            <w:pPr>
              <w:pStyle w:val="ListParagraph"/>
              <w:widowControl/>
              <w:numPr>
                <w:ilvl w:val="0"/>
                <w:numId w:val="23"/>
              </w:numPr>
              <w:autoSpaceDE/>
              <w:autoSpaceDN/>
              <w:spacing w:after="160" w:line="276" w:lineRule="auto"/>
              <w:ind w:left="286" w:hanging="283"/>
              <w:jc w:val="both"/>
              <w:rPr>
                <w:rFonts w:asciiTheme="minorHAnsi" w:hAnsiTheme="minorHAnsi" w:cstheme="minorHAnsi"/>
              </w:rPr>
            </w:pPr>
            <w:r w:rsidRPr="004179E6">
              <w:rPr>
                <w:rFonts w:asciiTheme="minorHAnsi" w:hAnsiTheme="minorHAnsi" w:cstheme="minorHAnsi"/>
              </w:rPr>
              <w:lastRenderedPageBreak/>
              <w:t>The current rule implies that the approval for tax safe harbor shall be applicable only from the beginning of the next fiscal year after the incorporation of the fund, and not for the year of incorporation of the fund. This leads to genuine hardship in cases where either the eligible investment fund is newly incorporated during the year or seeks to appoint an Indian fund manager during the year.</w:t>
            </w:r>
          </w:p>
          <w:p w14:paraId="26801776" w14:textId="77777777" w:rsidR="000C1B6C" w:rsidRPr="004179E6" w:rsidRDefault="000C1B6C" w:rsidP="00AA128D">
            <w:pPr>
              <w:spacing w:after="160" w:line="276" w:lineRule="auto"/>
              <w:jc w:val="both"/>
              <w:rPr>
                <w:rFonts w:asciiTheme="minorHAnsi" w:hAnsiTheme="minorHAnsi" w:cstheme="minorHAnsi"/>
                <w:b/>
                <w:bCs/>
              </w:rPr>
            </w:pPr>
            <w:r w:rsidRPr="004179E6">
              <w:rPr>
                <w:rFonts w:asciiTheme="minorHAnsi" w:hAnsiTheme="minorHAnsi" w:cstheme="minorHAnsi"/>
                <w:b/>
                <w:bCs/>
              </w:rPr>
              <w:t>Recommendation:</w:t>
            </w:r>
          </w:p>
          <w:p w14:paraId="010EC472" w14:textId="42F91BBB" w:rsidR="008D27BD" w:rsidRPr="004179E6" w:rsidRDefault="00DB5797" w:rsidP="00AA128D">
            <w:pPr>
              <w:pStyle w:val="ListParagraph"/>
              <w:widowControl/>
              <w:numPr>
                <w:ilvl w:val="0"/>
                <w:numId w:val="23"/>
              </w:numPr>
              <w:autoSpaceDE/>
              <w:autoSpaceDN/>
              <w:spacing w:after="160" w:line="276" w:lineRule="auto"/>
              <w:ind w:left="286" w:hanging="283"/>
              <w:jc w:val="both"/>
              <w:rPr>
                <w:rFonts w:asciiTheme="minorHAnsi" w:hAnsiTheme="minorHAnsi" w:cstheme="minorHAnsi"/>
                <w:b/>
                <w:bCs/>
              </w:rPr>
            </w:pPr>
            <w:r w:rsidRPr="004179E6">
              <w:rPr>
                <w:rFonts w:asciiTheme="minorHAnsi" w:hAnsiTheme="minorHAnsi" w:cstheme="minorHAnsi"/>
              </w:rPr>
              <w:t xml:space="preserve">It is recommended that approval under section 9A of the </w:t>
            </w:r>
            <w:r w:rsidR="000C1B6C" w:rsidRPr="004179E6">
              <w:rPr>
                <w:rFonts w:asciiTheme="minorHAnsi" w:hAnsiTheme="minorHAnsi" w:cstheme="minorHAnsi"/>
              </w:rPr>
              <w:t xml:space="preserve">ITA 1961 </w:t>
            </w:r>
            <w:r w:rsidR="00431F0D">
              <w:rPr>
                <w:rFonts w:asciiTheme="minorHAnsi" w:hAnsiTheme="minorHAnsi" w:cstheme="minorHAnsi"/>
              </w:rPr>
              <w:t xml:space="preserve">(corresponding </w:t>
            </w:r>
            <w:r w:rsidR="0072349C">
              <w:rPr>
                <w:rFonts w:asciiTheme="minorHAnsi" w:hAnsiTheme="minorHAnsi" w:cstheme="minorHAnsi"/>
              </w:rPr>
              <w:t xml:space="preserve">to </w:t>
            </w:r>
            <w:r w:rsidR="00431F0D">
              <w:rPr>
                <w:rFonts w:asciiTheme="minorHAnsi" w:hAnsiTheme="minorHAnsi" w:cstheme="minorHAnsi"/>
              </w:rPr>
              <w:t>S. 9(12)</w:t>
            </w:r>
            <w:r w:rsidR="00BE6316">
              <w:rPr>
                <w:rFonts w:asciiTheme="minorHAnsi" w:hAnsiTheme="minorHAnsi" w:cstheme="minorHAnsi"/>
              </w:rPr>
              <w:t xml:space="preserve"> </w:t>
            </w:r>
            <w:r w:rsidR="00BE6316" w:rsidRPr="004179E6">
              <w:rPr>
                <w:rFonts w:asciiTheme="minorHAnsi" w:hAnsiTheme="minorHAnsi" w:cstheme="minorHAnsi"/>
              </w:rPr>
              <w:t xml:space="preserve">r. w. Schedule I </w:t>
            </w:r>
            <w:r w:rsidR="00431F0D">
              <w:rPr>
                <w:rFonts w:asciiTheme="minorHAnsi" w:hAnsiTheme="minorHAnsi" w:cstheme="minorHAnsi"/>
              </w:rPr>
              <w:t>of the ITA, 2025)</w:t>
            </w:r>
            <w:r w:rsidR="000C1B6C" w:rsidRPr="004179E6">
              <w:rPr>
                <w:rFonts w:asciiTheme="minorHAnsi" w:hAnsiTheme="minorHAnsi" w:cstheme="minorHAnsi"/>
              </w:rPr>
              <w:t xml:space="preserve"> </w:t>
            </w:r>
            <w:r w:rsidRPr="004179E6">
              <w:rPr>
                <w:rFonts w:asciiTheme="minorHAnsi" w:hAnsiTheme="minorHAnsi" w:cstheme="minorHAnsi"/>
              </w:rPr>
              <w:t>be made effective from the date of receipt of the approval under section 9A such that Indian fund managers are allowed to start managing offshore funds with immediate effect pursuant to receiving the approval.</w:t>
            </w:r>
          </w:p>
        </w:tc>
      </w:tr>
      <w:tr w:rsidR="001F256E" w:rsidRPr="004179E6" w14:paraId="6D583AFA" w14:textId="77777777" w:rsidTr="00210D4C">
        <w:trPr>
          <w:trHeight w:val="20"/>
        </w:trPr>
        <w:tc>
          <w:tcPr>
            <w:tcW w:w="512" w:type="dxa"/>
          </w:tcPr>
          <w:p w14:paraId="28720672" w14:textId="77777777" w:rsidR="001F256E" w:rsidRPr="004179E6" w:rsidRDefault="001F256E"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43DB865E" w14:textId="443FCFE7" w:rsidR="001F256E" w:rsidRPr="006A70DB" w:rsidRDefault="00965EC4" w:rsidP="00AA128D">
            <w:pPr>
              <w:spacing w:after="160" w:line="276" w:lineRule="auto"/>
              <w:rPr>
                <w:rFonts w:asciiTheme="minorHAnsi" w:eastAsia="Arial" w:hAnsiTheme="minorHAnsi" w:cstheme="minorHAnsi"/>
                <w:b/>
              </w:rPr>
            </w:pPr>
            <w:r w:rsidRPr="006A70DB">
              <w:rPr>
                <w:rFonts w:asciiTheme="minorHAnsi" w:eastAsia="Arial" w:hAnsiTheme="minorHAnsi" w:cstheme="minorHAnsi"/>
                <w:b/>
              </w:rPr>
              <w:t xml:space="preserve">Formal guidelines for attributing profits to a </w:t>
            </w:r>
            <w:r w:rsidR="00D86D04" w:rsidRPr="006A70DB">
              <w:rPr>
                <w:rFonts w:asciiTheme="minorHAnsi" w:eastAsia="Arial" w:hAnsiTheme="minorHAnsi" w:cstheme="minorHAnsi"/>
                <w:b/>
              </w:rPr>
              <w:t>permanent establishment (</w:t>
            </w:r>
            <w:r w:rsidRPr="006A70DB">
              <w:rPr>
                <w:rFonts w:asciiTheme="minorHAnsi" w:eastAsia="Arial" w:hAnsiTheme="minorHAnsi" w:cstheme="minorHAnsi"/>
                <w:b/>
              </w:rPr>
              <w:t>PE</w:t>
            </w:r>
            <w:r w:rsidR="00D86D04" w:rsidRPr="006A70DB">
              <w:rPr>
                <w:rFonts w:asciiTheme="minorHAnsi" w:eastAsia="Arial" w:hAnsiTheme="minorHAnsi" w:cstheme="minorHAnsi"/>
                <w:b/>
              </w:rPr>
              <w:t>)</w:t>
            </w:r>
          </w:p>
          <w:p w14:paraId="396E0D72" w14:textId="2FDA452A" w:rsidR="001F256E" w:rsidRPr="006A70DB" w:rsidRDefault="001F256E" w:rsidP="00AA128D">
            <w:pPr>
              <w:spacing w:after="160" w:line="276" w:lineRule="auto"/>
              <w:rPr>
                <w:rFonts w:asciiTheme="minorHAnsi" w:hAnsiTheme="minorHAnsi" w:cstheme="minorHAnsi"/>
                <w:b/>
              </w:rPr>
            </w:pPr>
          </w:p>
        </w:tc>
        <w:tc>
          <w:tcPr>
            <w:tcW w:w="10986" w:type="dxa"/>
          </w:tcPr>
          <w:p w14:paraId="5657DFBE" w14:textId="6EAEB1F4" w:rsidR="00496BD4" w:rsidRPr="009973EB" w:rsidRDefault="00496BD4" w:rsidP="00AA128D">
            <w:pPr>
              <w:spacing w:after="160" w:line="276" w:lineRule="auto"/>
              <w:jc w:val="both"/>
              <w:rPr>
                <w:rFonts w:asciiTheme="minorHAnsi" w:hAnsiTheme="minorHAnsi" w:cstheme="minorHAnsi"/>
                <w:b/>
                <w:bCs/>
              </w:rPr>
            </w:pPr>
            <w:r w:rsidRPr="009973EB">
              <w:rPr>
                <w:rFonts w:asciiTheme="minorHAnsi" w:hAnsiTheme="minorHAnsi" w:cstheme="minorHAnsi"/>
                <w:b/>
                <w:bCs/>
              </w:rPr>
              <w:t>Rationale and Issue:</w:t>
            </w:r>
          </w:p>
          <w:p w14:paraId="6DD5879F" w14:textId="0974E05F" w:rsidR="00CA4015" w:rsidRPr="00192A44" w:rsidRDefault="007B5418" w:rsidP="00AA128D">
            <w:pPr>
              <w:widowControl/>
              <w:numPr>
                <w:ilvl w:val="0"/>
                <w:numId w:val="68"/>
              </w:numPr>
              <w:autoSpaceDE/>
              <w:autoSpaceDN/>
              <w:spacing w:after="160" w:line="276" w:lineRule="auto"/>
              <w:ind w:left="389" w:right="29"/>
              <w:jc w:val="both"/>
              <w:rPr>
                <w:rFonts w:asciiTheme="minorHAnsi" w:eastAsia="EYInterstate" w:hAnsiTheme="minorHAnsi" w:cstheme="minorHAnsi"/>
                <w:lang w:eastAsia="en-IN"/>
              </w:rPr>
            </w:pPr>
            <w:r w:rsidRPr="007B5418">
              <w:rPr>
                <w:rFonts w:asciiTheme="minorHAnsi" w:eastAsia="Times New Roman" w:hAnsiTheme="minorHAnsi" w:cstheme="minorHAnsi"/>
                <w:lang w:eastAsia="en-IN"/>
              </w:rPr>
              <w:t xml:space="preserve">There is no formal guideline prescribed for attribution of profits to PE. </w:t>
            </w:r>
            <w:r w:rsidR="00496BD4" w:rsidRPr="009973EB">
              <w:rPr>
                <w:rFonts w:asciiTheme="minorHAnsi" w:eastAsia="Times New Roman" w:hAnsiTheme="minorHAnsi" w:cstheme="minorHAnsi"/>
                <w:lang w:eastAsia="en-IN"/>
              </w:rPr>
              <w:t xml:space="preserve">During </w:t>
            </w:r>
            <w:r w:rsidR="00496BD4" w:rsidRPr="009973EB">
              <w:rPr>
                <w:rFonts w:asciiTheme="minorHAnsi" w:eastAsia="Arial" w:hAnsiTheme="minorHAnsi" w:cstheme="minorHAnsi"/>
              </w:rPr>
              <w:t>assessment</w:t>
            </w:r>
            <w:r w:rsidR="00496BD4" w:rsidRPr="009973EB">
              <w:rPr>
                <w:rFonts w:asciiTheme="minorHAnsi" w:eastAsia="Times New Roman" w:hAnsiTheme="minorHAnsi" w:cstheme="minorHAnsi"/>
                <w:lang w:eastAsia="en-IN"/>
              </w:rPr>
              <w:t xml:space="preserve"> proceedings, in order to attribute profit to a purported PE in India, the tax officers have adopted a draft report issued by the CBDT dated 18 April 2019. </w:t>
            </w:r>
            <w:r w:rsidR="00496BD4" w:rsidRPr="009973EB">
              <w:rPr>
                <w:rFonts w:asciiTheme="minorHAnsi" w:eastAsia="Arial" w:hAnsiTheme="minorHAnsi" w:cstheme="minorHAnsi"/>
              </w:rPr>
              <w:t xml:space="preserve">The draft guidelines issued by the CBDT for attributing profits to PE are yet to be </w:t>
            </w:r>
            <w:r w:rsidR="005E61F7" w:rsidRPr="009973EB">
              <w:rPr>
                <w:rFonts w:asciiTheme="minorHAnsi" w:eastAsia="Arial" w:hAnsiTheme="minorHAnsi" w:cstheme="minorHAnsi"/>
              </w:rPr>
              <w:t>finalized</w:t>
            </w:r>
            <w:r w:rsidR="00496BD4" w:rsidRPr="009973EB">
              <w:rPr>
                <w:rFonts w:asciiTheme="minorHAnsi" w:eastAsia="Arial" w:hAnsiTheme="minorHAnsi" w:cstheme="minorHAnsi"/>
              </w:rPr>
              <w:t xml:space="preserve">. This has led to deeming of profit without considering the </w:t>
            </w:r>
            <w:r w:rsidR="004A2326">
              <w:rPr>
                <w:rFonts w:asciiTheme="minorHAnsi" w:eastAsia="Arial" w:hAnsiTheme="minorHAnsi" w:cstheme="minorHAnsi"/>
              </w:rPr>
              <w:t xml:space="preserve">specific </w:t>
            </w:r>
            <w:r w:rsidR="00496BD4" w:rsidRPr="009973EB">
              <w:rPr>
                <w:rFonts w:asciiTheme="minorHAnsi" w:eastAsia="Arial" w:hAnsiTheme="minorHAnsi" w:cstheme="minorHAnsi"/>
              </w:rPr>
              <w:t xml:space="preserve">facts </w:t>
            </w:r>
            <w:r w:rsidR="004A2326">
              <w:rPr>
                <w:rFonts w:asciiTheme="minorHAnsi" w:eastAsia="Arial" w:hAnsiTheme="minorHAnsi" w:cstheme="minorHAnsi"/>
              </w:rPr>
              <w:t xml:space="preserve">and </w:t>
            </w:r>
            <w:r w:rsidR="004A2326" w:rsidRPr="004A2326">
              <w:rPr>
                <w:rFonts w:asciiTheme="minorHAnsi" w:eastAsia="Arial" w:hAnsiTheme="minorHAnsi" w:cstheme="minorHAnsi"/>
              </w:rPr>
              <w:t>specific facts and circumstances</w:t>
            </w:r>
            <w:r w:rsidR="00496BD4" w:rsidRPr="009973EB">
              <w:rPr>
                <w:rFonts w:asciiTheme="minorHAnsi" w:eastAsia="Arial" w:hAnsiTheme="minorHAnsi" w:cstheme="minorHAnsi"/>
              </w:rPr>
              <w:t xml:space="preserve"> of the case such as actual profitability of the assessee; functions, assets and risk analysis. </w:t>
            </w:r>
            <w:r w:rsidR="00CA4015">
              <w:rPr>
                <w:rFonts w:asciiTheme="minorHAnsi" w:eastAsia="Arial" w:hAnsiTheme="minorHAnsi" w:cstheme="minorHAnsi"/>
              </w:rPr>
              <w:t>T</w:t>
            </w:r>
            <w:r w:rsidR="00CA4015" w:rsidRPr="00CA4015">
              <w:rPr>
                <w:rFonts w:asciiTheme="minorHAnsi" w:eastAsia="Arial" w:hAnsiTheme="minorHAnsi" w:cstheme="minorHAnsi"/>
              </w:rPr>
              <w:t>his practice results in arbitrary determinations, leading to significant uncertainty and risk of double taxation for taxpayers</w:t>
            </w:r>
            <w:r w:rsidR="00CA4015">
              <w:rPr>
                <w:rFonts w:asciiTheme="minorHAnsi" w:eastAsia="Arial" w:hAnsiTheme="minorHAnsi" w:cstheme="minorHAnsi"/>
              </w:rPr>
              <w:t>.</w:t>
            </w:r>
          </w:p>
          <w:p w14:paraId="6B03CBE8" w14:textId="77777777" w:rsidR="00EC357A" w:rsidRPr="00192A44" w:rsidRDefault="00496BD4" w:rsidP="00AA128D">
            <w:pPr>
              <w:widowControl/>
              <w:numPr>
                <w:ilvl w:val="0"/>
                <w:numId w:val="68"/>
              </w:numPr>
              <w:autoSpaceDE/>
              <w:autoSpaceDN/>
              <w:spacing w:after="160" w:line="276" w:lineRule="auto"/>
              <w:ind w:left="389" w:right="29"/>
              <w:jc w:val="both"/>
              <w:rPr>
                <w:rFonts w:asciiTheme="minorHAnsi" w:eastAsia="EYInterstate" w:hAnsiTheme="minorHAnsi" w:cstheme="minorHAnsi"/>
                <w:lang w:eastAsia="en-IN"/>
              </w:rPr>
            </w:pPr>
            <w:r w:rsidRPr="009973EB">
              <w:rPr>
                <w:rFonts w:asciiTheme="minorHAnsi" w:eastAsia="Times New Roman" w:hAnsiTheme="minorHAnsi" w:cstheme="minorHAnsi"/>
                <w:lang w:eastAsia="en-IN"/>
              </w:rPr>
              <w:t>The presence of specific rules for computation of PE profi</w:t>
            </w:r>
            <w:r w:rsidRPr="009973EB">
              <w:rPr>
                <w:rFonts w:asciiTheme="minorHAnsi" w:eastAsiaTheme="minorEastAsia" w:hAnsiTheme="minorHAnsi" w:cstheme="minorHAnsi"/>
                <w:lang w:eastAsia="en-IN"/>
              </w:rPr>
              <w:t>ts is essential not only for the foreign enterprise but also for the payer for deducting tax and/or for the TDS officers to issue certificate u/s. 195(2)</w:t>
            </w:r>
            <w:r w:rsidR="000E5EA4" w:rsidRPr="009973EB">
              <w:rPr>
                <w:rFonts w:asciiTheme="minorHAnsi" w:eastAsiaTheme="minorEastAsia" w:hAnsiTheme="minorHAnsi" w:cstheme="minorHAnsi"/>
                <w:lang w:eastAsia="en-IN"/>
              </w:rPr>
              <w:t xml:space="preserve"> of the ITA, 19</w:t>
            </w:r>
            <w:r w:rsidR="00C61D71" w:rsidRPr="009973EB">
              <w:rPr>
                <w:rFonts w:asciiTheme="minorHAnsi" w:eastAsiaTheme="minorEastAsia" w:hAnsiTheme="minorHAnsi" w:cstheme="minorHAnsi"/>
                <w:lang w:eastAsia="en-IN"/>
              </w:rPr>
              <w:t xml:space="preserve">61 [corresponding S. </w:t>
            </w:r>
            <w:r w:rsidR="00044D2A" w:rsidRPr="009973EB">
              <w:rPr>
                <w:rFonts w:asciiTheme="minorHAnsi" w:eastAsiaTheme="minorEastAsia" w:hAnsiTheme="minorHAnsi" w:cstheme="minorHAnsi"/>
                <w:lang w:eastAsia="en-IN"/>
              </w:rPr>
              <w:t>395(2) of the ITA, 20</w:t>
            </w:r>
            <w:r w:rsidR="007B651B" w:rsidRPr="009973EB">
              <w:rPr>
                <w:rFonts w:asciiTheme="minorHAnsi" w:eastAsiaTheme="minorEastAsia" w:hAnsiTheme="minorHAnsi" w:cstheme="minorHAnsi"/>
                <w:lang w:eastAsia="en-IN"/>
              </w:rPr>
              <w:t>25</w:t>
            </w:r>
            <w:r w:rsidR="00D0454C" w:rsidRPr="009973EB">
              <w:rPr>
                <w:rFonts w:asciiTheme="minorHAnsi" w:eastAsiaTheme="minorEastAsia" w:hAnsiTheme="minorHAnsi" w:cstheme="minorHAnsi"/>
                <w:lang w:eastAsia="en-IN"/>
              </w:rPr>
              <w:t>]</w:t>
            </w:r>
            <w:r w:rsidRPr="009973EB">
              <w:rPr>
                <w:rFonts w:asciiTheme="minorHAnsi" w:eastAsiaTheme="minorEastAsia" w:hAnsiTheme="minorHAnsi" w:cstheme="minorHAnsi"/>
                <w:lang w:eastAsia="en-IN"/>
              </w:rPr>
              <w:t>.</w:t>
            </w:r>
            <w:r w:rsidR="5B41A39F" w:rsidRPr="009973EB">
              <w:rPr>
                <w:rFonts w:asciiTheme="minorHAnsi" w:eastAsiaTheme="minorEastAsia" w:hAnsiTheme="minorHAnsi" w:cstheme="minorHAnsi"/>
                <w:lang w:eastAsia="en-IN"/>
              </w:rPr>
              <w:t xml:space="preserve"> </w:t>
            </w:r>
          </w:p>
          <w:p w14:paraId="2D3D1C97" w14:textId="37AD216D" w:rsidR="00496BD4" w:rsidRPr="009973EB" w:rsidRDefault="5B41A39F" w:rsidP="00AA128D">
            <w:pPr>
              <w:widowControl/>
              <w:numPr>
                <w:ilvl w:val="0"/>
                <w:numId w:val="68"/>
              </w:numPr>
              <w:autoSpaceDE/>
              <w:autoSpaceDN/>
              <w:spacing w:after="160" w:line="276" w:lineRule="auto"/>
              <w:ind w:left="389" w:right="29"/>
              <w:jc w:val="both"/>
              <w:rPr>
                <w:rFonts w:asciiTheme="minorHAnsi" w:eastAsia="EYInterstate" w:hAnsiTheme="minorHAnsi" w:cstheme="minorHAnsi"/>
                <w:lang w:eastAsia="en-IN"/>
              </w:rPr>
            </w:pPr>
            <w:r w:rsidRPr="009973EB">
              <w:rPr>
                <w:rFonts w:asciiTheme="minorHAnsi" w:eastAsiaTheme="minorEastAsia" w:hAnsiTheme="minorHAnsi" w:cstheme="minorHAnsi"/>
                <w:lang w:eastAsia="en-IN"/>
              </w:rPr>
              <w:t xml:space="preserve">Also it is pertinent to note that </w:t>
            </w:r>
            <w:r w:rsidR="7FC0A463" w:rsidRPr="009973EB">
              <w:rPr>
                <w:rFonts w:asciiTheme="minorHAnsi" w:eastAsiaTheme="minorEastAsia" w:hAnsiTheme="minorHAnsi" w:cstheme="minorHAnsi"/>
              </w:rPr>
              <w:t>Indian Government’s Public Policy Think Tank, Niti Aayog</w:t>
            </w:r>
            <w:r w:rsidR="5B8C64DC" w:rsidRPr="009973EB">
              <w:rPr>
                <w:rFonts w:asciiTheme="minorHAnsi" w:eastAsiaTheme="minorEastAsia" w:hAnsiTheme="minorHAnsi" w:cstheme="minorHAnsi"/>
              </w:rPr>
              <w:t xml:space="preserve"> has issued</w:t>
            </w:r>
            <w:r w:rsidR="7FC0A463" w:rsidRPr="009973EB">
              <w:rPr>
                <w:rFonts w:asciiTheme="minorHAnsi" w:eastAsiaTheme="minorEastAsia" w:hAnsiTheme="minorHAnsi" w:cstheme="minorHAnsi"/>
              </w:rPr>
              <w:t xml:space="preserve"> paper titled ‘‘Enhancing Certainty, Transparency, and Uniformity in Permanent Establishment and Profit Attribution for Foreign Investors in India”</w:t>
            </w:r>
            <w:r w:rsidR="1DE891DC" w:rsidRPr="009973EB">
              <w:rPr>
                <w:rFonts w:asciiTheme="minorHAnsi" w:eastAsiaTheme="minorEastAsia" w:hAnsiTheme="minorHAnsi" w:cstheme="minorHAnsi"/>
              </w:rPr>
              <w:t xml:space="preserve"> on 3 October 2025</w:t>
            </w:r>
            <w:r w:rsidR="5E2D990C" w:rsidRPr="009973EB">
              <w:rPr>
                <w:rFonts w:asciiTheme="minorHAnsi" w:eastAsiaTheme="minorEastAsia" w:hAnsiTheme="minorHAnsi" w:cstheme="minorHAnsi"/>
              </w:rPr>
              <w:t xml:space="preserve"> which </w:t>
            </w:r>
            <w:r w:rsidR="5E2D990C" w:rsidRPr="009973EB">
              <w:rPr>
                <w:rFonts w:asciiTheme="minorHAnsi" w:eastAsia="Calibri" w:hAnsiTheme="minorHAnsi" w:cstheme="minorHAnsi"/>
              </w:rPr>
              <w:t xml:space="preserve">recommends introduction of an optional, industry-specific Presumptive Taxation Scheme for foreign enterprises, coupled with broader legislative clarity, administrative efficiency, robust </w:t>
            </w:r>
            <w:r w:rsidR="5E2D990C" w:rsidRPr="009973EB">
              <w:rPr>
                <w:rFonts w:asciiTheme="minorHAnsi" w:eastAsia="Calibri" w:hAnsiTheme="minorHAnsi" w:cstheme="minorHAnsi"/>
              </w:rPr>
              <w:lastRenderedPageBreak/>
              <w:t>dispute resolution mechanisms, and strategic alignment with international best practices</w:t>
            </w:r>
            <w:r w:rsidR="1DE891DC" w:rsidRPr="009973EB">
              <w:rPr>
                <w:rFonts w:asciiTheme="minorHAnsi" w:eastAsiaTheme="minorEastAsia" w:hAnsiTheme="minorHAnsi" w:cstheme="minorHAnsi"/>
              </w:rPr>
              <w:t>.</w:t>
            </w:r>
            <w:r w:rsidR="00537FD2">
              <w:rPr>
                <w:rFonts w:asciiTheme="minorHAnsi" w:eastAsiaTheme="minorEastAsia" w:hAnsiTheme="minorHAnsi" w:cstheme="minorHAnsi"/>
              </w:rPr>
              <w:t xml:space="preserve"> </w:t>
            </w:r>
            <w:r w:rsidR="00537FD2" w:rsidRPr="00537FD2">
              <w:rPr>
                <w:rFonts w:asciiTheme="minorHAnsi" w:eastAsiaTheme="minorEastAsia" w:hAnsiTheme="minorHAnsi" w:cstheme="minorHAnsi"/>
              </w:rPr>
              <w:t>It provides following alternatives for attribution of profits: Industry-Specific Presumptive Profit Rates, Optional Presumptive Regime, No Separate PE Determination Needed (Safe Harbour), existing Safe Harbour rules expanded for PE Attribution, Advanced Pricing Agreement (APA) for PE Attribution with emphasis on bilateral and multilateral resolutions. The report also provides for other aspects such as exclusion of the covered PE income from other provisions of act, administrative</w:t>
            </w:r>
            <w:r w:rsidR="000F32BA">
              <w:rPr>
                <w:rFonts w:asciiTheme="minorHAnsi" w:eastAsiaTheme="minorEastAsia" w:hAnsiTheme="minorHAnsi" w:cstheme="minorHAnsi"/>
              </w:rPr>
              <w:t xml:space="preserve">. </w:t>
            </w:r>
            <w:r w:rsidR="00537FD2" w:rsidRPr="00537FD2">
              <w:rPr>
                <w:rFonts w:asciiTheme="minorHAnsi" w:eastAsiaTheme="minorEastAsia" w:hAnsiTheme="minorHAnsi" w:cstheme="minorHAnsi"/>
              </w:rPr>
              <w:t>Simplicity and Audit, Treaty Eligibility for US LLCs and defining Scope of Activities and Nexus</w:t>
            </w:r>
            <w:r w:rsidR="00537FD2">
              <w:rPr>
                <w:rFonts w:asciiTheme="minorHAnsi" w:eastAsiaTheme="minorEastAsia" w:hAnsiTheme="minorHAnsi" w:cstheme="minorHAnsi"/>
              </w:rPr>
              <w:t>.</w:t>
            </w:r>
          </w:p>
          <w:p w14:paraId="357C6807" w14:textId="10D2AEB1" w:rsidR="00496BD4" w:rsidRPr="009973EB" w:rsidRDefault="005E61F7" w:rsidP="00AA128D">
            <w:pPr>
              <w:spacing w:after="160" w:line="276" w:lineRule="auto"/>
              <w:jc w:val="both"/>
              <w:rPr>
                <w:rFonts w:asciiTheme="minorHAnsi" w:hAnsiTheme="minorHAnsi" w:cstheme="minorHAnsi"/>
                <w:b/>
                <w:bCs/>
              </w:rPr>
            </w:pPr>
            <w:r w:rsidRPr="009973EB">
              <w:rPr>
                <w:rFonts w:asciiTheme="minorHAnsi" w:hAnsiTheme="minorHAnsi" w:cstheme="minorHAnsi"/>
                <w:b/>
                <w:bCs/>
              </w:rPr>
              <w:t>Recommendation:</w:t>
            </w:r>
          </w:p>
          <w:p w14:paraId="6BFA94BC" w14:textId="768A077F" w:rsidR="005E61F7" w:rsidRPr="000A5A38" w:rsidRDefault="005E61F7" w:rsidP="00AA128D">
            <w:pPr>
              <w:widowControl/>
              <w:numPr>
                <w:ilvl w:val="0"/>
                <w:numId w:val="68"/>
              </w:numPr>
              <w:autoSpaceDE/>
              <w:autoSpaceDN/>
              <w:spacing w:after="160" w:line="276" w:lineRule="auto"/>
              <w:ind w:left="389" w:right="29"/>
              <w:jc w:val="both"/>
              <w:rPr>
                <w:rFonts w:asciiTheme="minorHAnsi" w:hAnsiTheme="minorHAnsi" w:cstheme="minorHAnsi"/>
                <w:b/>
              </w:rPr>
            </w:pPr>
            <w:r w:rsidRPr="009973EB">
              <w:rPr>
                <w:rFonts w:asciiTheme="minorHAnsi" w:eastAsia="Arial" w:hAnsiTheme="minorHAnsi" w:cstheme="minorHAnsi"/>
              </w:rPr>
              <w:t xml:space="preserve">It is hereby recommended that CBDT issue formal guidelines for attributing profits to PE </w:t>
            </w:r>
            <w:r w:rsidR="004F4386" w:rsidRPr="004F4386">
              <w:rPr>
                <w:rFonts w:asciiTheme="minorHAnsi" w:eastAsia="Arial" w:hAnsiTheme="minorHAnsi" w:cstheme="minorHAnsi"/>
              </w:rPr>
              <w:t>with a clear focus on promoting ease of compliance and alignment with internationally accepted standards</w:t>
            </w:r>
            <w:r w:rsidR="009130B1">
              <w:rPr>
                <w:rFonts w:asciiTheme="minorHAnsi" w:eastAsia="Arial" w:hAnsiTheme="minorHAnsi" w:cstheme="minorHAnsi"/>
              </w:rPr>
              <w:t xml:space="preserve"> </w:t>
            </w:r>
            <w:r w:rsidRPr="009973EB">
              <w:rPr>
                <w:rFonts w:asciiTheme="minorHAnsi" w:eastAsia="Arial" w:hAnsiTheme="minorHAnsi" w:cstheme="minorHAnsi"/>
              </w:rPr>
              <w:t>and such guidelines be made open for public deliberation and suggestions as well, before finalization.</w:t>
            </w:r>
          </w:p>
          <w:p w14:paraId="4E069393" w14:textId="43B47917" w:rsidR="005E61F7" w:rsidRPr="009973EB" w:rsidRDefault="004E6123" w:rsidP="00AA128D">
            <w:pPr>
              <w:widowControl/>
              <w:numPr>
                <w:ilvl w:val="0"/>
                <w:numId w:val="68"/>
              </w:numPr>
              <w:autoSpaceDE/>
              <w:autoSpaceDN/>
              <w:spacing w:after="160" w:line="276" w:lineRule="auto"/>
              <w:ind w:left="389" w:right="29"/>
              <w:jc w:val="both"/>
              <w:rPr>
                <w:rFonts w:asciiTheme="minorHAnsi" w:hAnsiTheme="minorHAnsi" w:cstheme="minorHAnsi"/>
                <w:b/>
                <w:bCs/>
              </w:rPr>
            </w:pPr>
            <w:r w:rsidRPr="00192A44">
              <w:rPr>
                <w:rFonts w:asciiTheme="minorHAnsi" w:hAnsiTheme="minorHAnsi" w:cstheme="minorHAnsi"/>
              </w:rPr>
              <w:t>Additionally, an effective mechanism for dispute resolution should be established to address bilateral and multilateral cases, thereby enhancing certainty and reducing the risk of double taxation</w:t>
            </w:r>
            <w:r w:rsidRPr="004E6123">
              <w:rPr>
                <w:rFonts w:asciiTheme="minorHAnsi" w:hAnsiTheme="minorHAnsi" w:cstheme="minorHAnsi"/>
              </w:rPr>
              <w:t>.</w:t>
            </w:r>
          </w:p>
        </w:tc>
      </w:tr>
      <w:tr w:rsidR="00FD1F14" w:rsidRPr="004179E6" w14:paraId="7B03BD7E" w14:textId="77777777" w:rsidTr="00210D4C">
        <w:trPr>
          <w:trHeight w:val="20"/>
        </w:trPr>
        <w:tc>
          <w:tcPr>
            <w:tcW w:w="512" w:type="dxa"/>
          </w:tcPr>
          <w:p w14:paraId="542D197F" w14:textId="77777777" w:rsidR="00FD1F14" w:rsidRPr="004179E6" w:rsidRDefault="00FD1F14"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61380057" w14:textId="209330BD" w:rsidR="00FD1F14" w:rsidRPr="006A70DB" w:rsidRDefault="00556DF5" w:rsidP="00AA128D">
            <w:pPr>
              <w:spacing w:after="160" w:line="276" w:lineRule="auto"/>
              <w:ind w:right="60"/>
              <w:jc w:val="both"/>
              <w:rPr>
                <w:rFonts w:asciiTheme="minorHAnsi" w:hAnsiTheme="minorHAnsi" w:cstheme="minorHAnsi"/>
                <w:b/>
              </w:rPr>
            </w:pPr>
            <w:r w:rsidRPr="006A70DB">
              <w:rPr>
                <w:rFonts w:asciiTheme="minorHAnsi" w:eastAsia="Arial" w:hAnsiTheme="minorHAnsi" w:cstheme="minorHAnsi"/>
                <w:b/>
              </w:rPr>
              <w:t>Non applicability of General Anti-Avoidance Rules (GAAR) provisions for Foreign Portfolio Investors in the IFSC</w:t>
            </w:r>
          </w:p>
        </w:tc>
        <w:tc>
          <w:tcPr>
            <w:tcW w:w="10986" w:type="dxa"/>
          </w:tcPr>
          <w:p w14:paraId="4305CB60" w14:textId="77777777" w:rsidR="00FD1F14" w:rsidRPr="004179E6" w:rsidRDefault="00FD1944" w:rsidP="00AA128D">
            <w:pPr>
              <w:spacing w:after="160" w:line="276" w:lineRule="auto"/>
              <w:jc w:val="both"/>
              <w:rPr>
                <w:rFonts w:asciiTheme="minorHAnsi" w:hAnsiTheme="minorHAnsi" w:cstheme="minorHAnsi"/>
                <w:b/>
                <w:bCs/>
              </w:rPr>
            </w:pPr>
            <w:r w:rsidRPr="004179E6">
              <w:rPr>
                <w:rFonts w:asciiTheme="minorHAnsi" w:hAnsiTheme="minorHAnsi" w:cstheme="minorHAnsi"/>
                <w:b/>
                <w:bCs/>
              </w:rPr>
              <w:t>Rationale and Issue:</w:t>
            </w:r>
          </w:p>
          <w:p w14:paraId="61C3D8DE" w14:textId="77777777" w:rsidR="00F1765F" w:rsidRPr="004179E6" w:rsidRDefault="00FD1944" w:rsidP="00AA128D">
            <w:pPr>
              <w:widowControl/>
              <w:numPr>
                <w:ilvl w:val="0"/>
                <w:numId w:val="68"/>
              </w:numPr>
              <w:autoSpaceDE/>
              <w:autoSpaceDN/>
              <w:spacing w:after="160" w:line="276" w:lineRule="auto"/>
              <w:ind w:left="389" w:right="29"/>
              <w:jc w:val="both"/>
              <w:rPr>
                <w:rFonts w:asciiTheme="minorHAnsi" w:hAnsiTheme="minorHAnsi" w:cstheme="minorHAnsi"/>
              </w:rPr>
            </w:pPr>
            <w:r w:rsidRPr="004179E6">
              <w:rPr>
                <w:rFonts w:asciiTheme="minorHAnsi" w:eastAsia="Arial" w:hAnsiTheme="minorHAnsi" w:cstheme="minorHAnsi"/>
              </w:rPr>
              <w:t>IFSC has been set-up mainly to bring to India all financial services transactions related to India that were till now being carried out from other countries like Singapore, Hong Kong, Dubai and London. It extends to the entire Financial Services spectrum including Banking, Capital Markets, Insurance, Asset Management and other ancillary services.</w:t>
            </w:r>
          </w:p>
          <w:p w14:paraId="0AE3BF1F" w14:textId="39F6440D" w:rsidR="00F1765F" w:rsidRPr="004179E6" w:rsidRDefault="00FD1944" w:rsidP="00AA128D">
            <w:pPr>
              <w:widowControl/>
              <w:numPr>
                <w:ilvl w:val="0"/>
                <w:numId w:val="68"/>
              </w:numPr>
              <w:autoSpaceDE/>
              <w:autoSpaceDN/>
              <w:spacing w:after="160" w:line="276" w:lineRule="auto"/>
              <w:ind w:left="389" w:right="29"/>
              <w:jc w:val="both"/>
              <w:rPr>
                <w:rFonts w:asciiTheme="minorHAnsi" w:hAnsiTheme="minorHAnsi" w:cstheme="minorHAnsi"/>
              </w:rPr>
            </w:pPr>
            <w:r w:rsidRPr="004179E6">
              <w:rPr>
                <w:rFonts w:asciiTheme="minorHAnsi" w:eastAsia="Arial" w:hAnsiTheme="minorHAnsi" w:cstheme="minorHAnsi"/>
              </w:rPr>
              <w:t>While the efforts of providing tax incentives by the Government is appreciated, we would like to highlight</w:t>
            </w:r>
            <w:r w:rsidR="00F1765F" w:rsidRPr="004179E6">
              <w:rPr>
                <w:rFonts w:asciiTheme="minorHAnsi" w:eastAsia="Arial" w:hAnsiTheme="minorHAnsi" w:cstheme="minorHAnsi"/>
              </w:rPr>
              <w:t xml:space="preserve"> the fact that the Act also contains certain anti-abuse provisions (GAAR) under Chapter X-A </w:t>
            </w:r>
            <w:r w:rsidR="005A1FED" w:rsidRPr="004179E6">
              <w:rPr>
                <w:rFonts w:asciiTheme="minorHAnsi" w:eastAsia="Arial" w:hAnsiTheme="minorHAnsi" w:cstheme="minorHAnsi"/>
              </w:rPr>
              <w:t xml:space="preserve">of ITA 1961 (corresponding to Chapter XI of ITA 2025) </w:t>
            </w:r>
            <w:r w:rsidR="00F1765F" w:rsidRPr="004179E6">
              <w:rPr>
                <w:rFonts w:asciiTheme="minorHAnsi" w:eastAsia="Arial" w:hAnsiTheme="minorHAnsi" w:cstheme="minorHAnsi"/>
              </w:rPr>
              <w:t xml:space="preserve">wherein the tax exemption/ incentives can be denied if an arrangement is entered into with the main purpose to obtain tax benefit. </w:t>
            </w:r>
          </w:p>
          <w:p w14:paraId="7BCC232E" w14:textId="77777777" w:rsidR="00F1765F" w:rsidRPr="004179E6" w:rsidRDefault="00F1765F" w:rsidP="00AA128D">
            <w:pPr>
              <w:widowControl/>
              <w:numPr>
                <w:ilvl w:val="0"/>
                <w:numId w:val="68"/>
              </w:numPr>
              <w:autoSpaceDE/>
              <w:autoSpaceDN/>
              <w:spacing w:after="160" w:line="276" w:lineRule="auto"/>
              <w:ind w:left="389" w:right="60"/>
              <w:jc w:val="both"/>
              <w:rPr>
                <w:rFonts w:asciiTheme="minorHAnsi" w:hAnsiTheme="minorHAnsi" w:cstheme="minorHAnsi"/>
              </w:rPr>
            </w:pPr>
            <w:r w:rsidRPr="004179E6">
              <w:rPr>
                <w:rFonts w:asciiTheme="minorHAnsi" w:eastAsia="Arial" w:hAnsiTheme="minorHAnsi" w:cstheme="minorHAnsi"/>
              </w:rPr>
              <w:lastRenderedPageBreak/>
              <w:t>The provisions of GAAR are drafted in wide manner and confer wide discretionary powers on the Indian Revenue Authorities.</w:t>
            </w:r>
          </w:p>
          <w:p w14:paraId="2C697E5E" w14:textId="05B28540" w:rsidR="00FD1944" w:rsidRPr="004179E6" w:rsidRDefault="00F1765F" w:rsidP="00AA128D">
            <w:pPr>
              <w:widowControl/>
              <w:numPr>
                <w:ilvl w:val="0"/>
                <w:numId w:val="68"/>
              </w:numPr>
              <w:autoSpaceDE/>
              <w:autoSpaceDN/>
              <w:spacing w:after="160" w:line="276" w:lineRule="auto"/>
              <w:ind w:left="389" w:right="60"/>
              <w:jc w:val="both"/>
              <w:rPr>
                <w:rFonts w:asciiTheme="minorHAnsi" w:hAnsiTheme="minorHAnsi" w:cstheme="minorHAnsi"/>
              </w:rPr>
            </w:pPr>
            <w:r w:rsidRPr="004179E6">
              <w:rPr>
                <w:rFonts w:asciiTheme="minorHAnsi" w:eastAsia="Arial" w:hAnsiTheme="minorHAnsi" w:cstheme="minorHAnsi"/>
              </w:rPr>
              <w:t xml:space="preserve">Given the sweeping powers that Indian Revenue authorities (IRA) have to invoke GAAR, there is an exposure that the IRA may allege that units have been set-up in IFSC with the main purpose of obtaining a tax benefit (as they avail of benefits under section 10(4D) of the </w:t>
            </w:r>
            <w:r w:rsidR="005A1FED" w:rsidRPr="004179E6">
              <w:rPr>
                <w:rFonts w:asciiTheme="minorHAnsi" w:eastAsia="Arial" w:hAnsiTheme="minorHAnsi" w:cstheme="minorHAnsi"/>
              </w:rPr>
              <w:t xml:space="preserve">ITA 1961 corresponding to section 11 Schedule VI of ITA 2025). </w:t>
            </w:r>
          </w:p>
          <w:p w14:paraId="109ADC48" w14:textId="7011DC63" w:rsidR="005E3C1E" w:rsidRPr="00192A44" w:rsidRDefault="000D6F5B" w:rsidP="00AA128D">
            <w:pPr>
              <w:widowControl/>
              <w:numPr>
                <w:ilvl w:val="0"/>
                <w:numId w:val="68"/>
              </w:numPr>
              <w:autoSpaceDE/>
              <w:autoSpaceDN/>
              <w:spacing w:after="160" w:line="276" w:lineRule="auto"/>
              <w:ind w:left="389" w:right="60"/>
              <w:jc w:val="both"/>
              <w:rPr>
                <w:rFonts w:asciiTheme="minorHAnsi" w:hAnsiTheme="minorHAnsi" w:cstheme="minorHAnsi"/>
              </w:rPr>
            </w:pPr>
            <w:r w:rsidRPr="000D6F5B">
              <w:rPr>
                <w:rFonts w:asciiTheme="minorHAnsi" w:eastAsia="Arial" w:hAnsiTheme="minorHAnsi" w:cstheme="minorHAnsi"/>
              </w:rPr>
              <w:t xml:space="preserve">Incidentally, Rule 129 of draft IT rules 2026, provides that before a </w:t>
            </w:r>
            <w:r w:rsidR="00E32F52">
              <w:rPr>
                <w:rFonts w:asciiTheme="minorHAnsi" w:eastAsia="Arial" w:hAnsiTheme="minorHAnsi" w:cstheme="minorHAnsi"/>
              </w:rPr>
              <w:t>C</w:t>
            </w:r>
            <w:r w:rsidRPr="000D6F5B">
              <w:rPr>
                <w:rFonts w:asciiTheme="minorHAnsi" w:eastAsia="Arial" w:hAnsiTheme="minorHAnsi" w:cstheme="minorHAnsi"/>
              </w:rPr>
              <w:t xml:space="preserve">ommissioner makes a reference to GAAR panel in respect of an assessee being an entity located in IFSC, he will be required to seek specific factual report from IFSC authority. While this place a certain safeguard to ensure GAAR is not invoked in frivolous cases without appreciating IFSC models, </w:t>
            </w:r>
            <w:r w:rsidR="00D262C3" w:rsidRPr="000D6F5B">
              <w:rPr>
                <w:rFonts w:asciiTheme="minorHAnsi" w:eastAsia="Arial" w:hAnsiTheme="minorHAnsi" w:cstheme="minorHAnsi"/>
              </w:rPr>
              <w:t>exposure to applicability of GAAR bring in uncertainty to the eligibility to tax incentives which are provided by Government to promote IFSC.</w:t>
            </w:r>
          </w:p>
          <w:p w14:paraId="4673A524" w14:textId="073E3E2A" w:rsidR="00FC2ACB" w:rsidRPr="00192A44" w:rsidRDefault="00FC2ACB" w:rsidP="00AA128D">
            <w:pPr>
              <w:widowControl/>
              <w:numPr>
                <w:ilvl w:val="0"/>
                <w:numId w:val="68"/>
              </w:numPr>
              <w:autoSpaceDE/>
              <w:autoSpaceDN/>
              <w:spacing w:after="160" w:line="276" w:lineRule="auto"/>
              <w:ind w:left="389" w:right="60"/>
              <w:jc w:val="both"/>
              <w:rPr>
                <w:rFonts w:asciiTheme="minorHAnsi" w:hAnsiTheme="minorHAnsi" w:cstheme="minorHAnsi"/>
              </w:rPr>
            </w:pPr>
            <w:r>
              <w:rPr>
                <w:rFonts w:asciiTheme="minorHAnsi" w:eastAsia="Arial" w:hAnsiTheme="minorHAnsi" w:cstheme="minorHAnsi"/>
              </w:rPr>
              <w:t xml:space="preserve">Furthermore, it is also noted that </w:t>
            </w:r>
            <w:r w:rsidR="002157B6">
              <w:rPr>
                <w:rFonts w:asciiTheme="minorHAnsi" w:eastAsia="Arial" w:hAnsiTheme="minorHAnsi" w:cstheme="minorHAnsi"/>
              </w:rPr>
              <w:t xml:space="preserve">Finance Bill 2026 proposes to insert an additional condition in </w:t>
            </w:r>
            <w:r w:rsidR="00EF0163">
              <w:rPr>
                <w:rFonts w:asciiTheme="minorHAnsi" w:eastAsia="Arial" w:hAnsiTheme="minorHAnsi" w:cstheme="minorHAnsi"/>
              </w:rPr>
              <w:t xml:space="preserve">s.147 of ITA 2025 (comparable to s.80LA of ITA 1961) </w:t>
            </w:r>
            <w:r w:rsidR="00EC6731">
              <w:rPr>
                <w:rFonts w:asciiTheme="minorHAnsi" w:eastAsia="Arial" w:hAnsiTheme="minorHAnsi" w:cstheme="minorHAnsi"/>
              </w:rPr>
              <w:t xml:space="preserve">for IFSC Unit commencing operations on or after 1 April 2026 </w:t>
            </w:r>
            <w:r w:rsidR="00E215F9">
              <w:rPr>
                <w:rFonts w:asciiTheme="minorHAnsi" w:eastAsia="Arial" w:hAnsiTheme="minorHAnsi" w:cstheme="minorHAnsi"/>
              </w:rPr>
              <w:t xml:space="preserve">that the deduction under the said section shall be available only if such unit is not formed by splitting up or reconstruction or reorganisation or transfer </w:t>
            </w:r>
            <w:r w:rsidR="003C5D55">
              <w:rPr>
                <w:rFonts w:asciiTheme="minorHAnsi" w:eastAsia="Arial" w:hAnsiTheme="minorHAnsi" w:cstheme="minorHAnsi"/>
              </w:rPr>
              <w:t xml:space="preserve">of a business already in existence in India. </w:t>
            </w:r>
            <w:r w:rsidR="008F423E">
              <w:rPr>
                <w:rFonts w:asciiTheme="minorHAnsi" w:eastAsia="Arial" w:hAnsiTheme="minorHAnsi" w:cstheme="minorHAnsi"/>
              </w:rPr>
              <w:t xml:space="preserve">This indirectly implies that such business shifted from outside India </w:t>
            </w:r>
            <w:r w:rsidR="00D30AD1">
              <w:rPr>
                <w:rFonts w:asciiTheme="minorHAnsi" w:eastAsia="Arial" w:hAnsiTheme="minorHAnsi" w:cstheme="minorHAnsi"/>
              </w:rPr>
              <w:t xml:space="preserve">to IFSC </w:t>
            </w:r>
            <w:r w:rsidR="008F423E">
              <w:rPr>
                <w:rFonts w:asciiTheme="minorHAnsi" w:eastAsia="Arial" w:hAnsiTheme="minorHAnsi" w:cstheme="minorHAnsi"/>
              </w:rPr>
              <w:t xml:space="preserve">is not intended to be denied such tax holiday. </w:t>
            </w:r>
            <w:r w:rsidR="00E215F9">
              <w:rPr>
                <w:rFonts w:asciiTheme="minorHAnsi" w:eastAsia="Arial" w:hAnsiTheme="minorHAnsi" w:cstheme="minorHAnsi"/>
              </w:rPr>
              <w:t xml:space="preserve"> </w:t>
            </w:r>
            <w:r w:rsidR="00D30AD1">
              <w:rPr>
                <w:rFonts w:asciiTheme="minorHAnsi" w:eastAsia="Arial" w:hAnsiTheme="minorHAnsi" w:cstheme="minorHAnsi"/>
              </w:rPr>
              <w:t xml:space="preserve">Considering such clear legislative intent, </w:t>
            </w:r>
            <w:r w:rsidR="001D08A0">
              <w:rPr>
                <w:rFonts w:asciiTheme="minorHAnsi" w:eastAsia="Arial" w:hAnsiTheme="minorHAnsi" w:cstheme="minorHAnsi"/>
              </w:rPr>
              <w:t xml:space="preserve">a clear carve out from GAAR applicability </w:t>
            </w:r>
            <w:r w:rsidR="00B41CFA">
              <w:rPr>
                <w:rFonts w:asciiTheme="minorHAnsi" w:eastAsia="Arial" w:hAnsiTheme="minorHAnsi" w:cstheme="minorHAnsi"/>
              </w:rPr>
              <w:t>in Rule 128 will</w:t>
            </w:r>
            <w:r w:rsidR="00D30AD1">
              <w:rPr>
                <w:rFonts w:asciiTheme="minorHAnsi" w:eastAsia="Arial" w:hAnsiTheme="minorHAnsi" w:cstheme="minorHAnsi"/>
              </w:rPr>
              <w:t xml:space="preserve"> avoid any </w:t>
            </w:r>
            <w:r w:rsidR="001D08A0">
              <w:rPr>
                <w:rFonts w:asciiTheme="minorHAnsi" w:eastAsia="Arial" w:hAnsiTheme="minorHAnsi" w:cstheme="minorHAnsi"/>
              </w:rPr>
              <w:t>further litigation and provide certainty to foreign investors</w:t>
            </w:r>
            <w:r w:rsidR="00B41CFA">
              <w:rPr>
                <w:rFonts w:asciiTheme="minorHAnsi" w:eastAsia="Arial" w:hAnsiTheme="minorHAnsi" w:cstheme="minorHAnsi"/>
              </w:rPr>
              <w:t>.</w:t>
            </w:r>
          </w:p>
          <w:p w14:paraId="266FC653" w14:textId="77777777" w:rsidR="005E3C1E" w:rsidRPr="004179E6" w:rsidRDefault="005E3C1E" w:rsidP="00AA128D">
            <w:pPr>
              <w:widowControl/>
              <w:autoSpaceDE/>
              <w:autoSpaceDN/>
              <w:spacing w:after="160" w:line="276" w:lineRule="auto"/>
              <w:ind w:left="1" w:right="60"/>
              <w:jc w:val="both"/>
              <w:rPr>
                <w:rFonts w:asciiTheme="minorHAnsi" w:hAnsiTheme="minorHAnsi" w:cstheme="minorHAnsi"/>
              </w:rPr>
            </w:pPr>
            <w:r w:rsidRPr="004179E6">
              <w:rPr>
                <w:rFonts w:asciiTheme="minorHAnsi" w:hAnsiTheme="minorHAnsi" w:cstheme="minorHAnsi"/>
                <w:b/>
              </w:rPr>
              <w:t>Recommendation</w:t>
            </w:r>
            <w:r w:rsidRPr="004179E6">
              <w:rPr>
                <w:rFonts w:asciiTheme="minorHAnsi" w:hAnsiTheme="minorHAnsi" w:cstheme="minorHAnsi"/>
              </w:rPr>
              <w:t>:</w:t>
            </w:r>
          </w:p>
          <w:p w14:paraId="2497C9FB" w14:textId="77777777" w:rsidR="00011864" w:rsidRPr="004179E6" w:rsidRDefault="005E3C1E" w:rsidP="00AA128D">
            <w:pPr>
              <w:pStyle w:val="ListParagraph"/>
              <w:numPr>
                <w:ilvl w:val="0"/>
                <w:numId w:val="69"/>
              </w:numPr>
              <w:spacing w:after="160" w:line="276" w:lineRule="auto"/>
              <w:ind w:left="389" w:right="61"/>
              <w:jc w:val="both"/>
              <w:rPr>
                <w:rFonts w:asciiTheme="minorHAnsi" w:hAnsiTheme="minorHAnsi" w:cstheme="minorHAnsi"/>
              </w:rPr>
            </w:pPr>
            <w:r w:rsidRPr="004179E6">
              <w:rPr>
                <w:rFonts w:asciiTheme="minorHAnsi" w:eastAsia="Arial" w:hAnsiTheme="minorHAnsi" w:cstheme="minorHAnsi"/>
              </w:rPr>
              <w:t>It is recommended that exemption should be granted from applicability of GAAR provisions to an entity in IFSC and its investors which claims various tax exemptions/ incentives/ deductions as provided under the provisions of the Act.</w:t>
            </w:r>
          </w:p>
          <w:p w14:paraId="3C71F654" w14:textId="2A819D67" w:rsidR="005E3C1E" w:rsidRPr="004179E6" w:rsidRDefault="005E3C1E" w:rsidP="00AA128D">
            <w:pPr>
              <w:pStyle w:val="ListParagraph"/>
              <w:numPr>
                <w:ilvl w:val="0"/>
                <w:numId w:val="69"/>
              </w:numPr>
              <w:spacing w:after="160" w:line="276" w:lineRule="auto"/>
              <w:ind w:left="389" w:right="61"/>
              <w:jc w:val="both"/>
              <w:rPr>
                <w:rFonts w:asciiTheme="minorHAnsi" w:hAnsiTheme="minorHAnsi" w:cstheme="minorHAnsi"/>
              </w:rPr>
            </w:pPr>
            <w:r w:rsidRPr="004179E6">
              <w:rPr>
                <w:rFonts w:asciiTheme="minorHAnsi" w:eastAsia="Arial" w:hAnsiTheme="minorHAnsi" w:cstheme="minorHAnsi"/>
              </w:rPr>
              <w:t>Accordingly, it is recommended that it should be clarified by way of amendment to Rule 10U(b)</w:t>
            </w:r>
            <w:r w:rsidR="008400B8">
              <w:rPr>
                <w:rFonts w:asciiTheme="minorHAnsi" w:eastAsia="Arial" w:hAnsiTheme="minorHAnsi" w:cstheme="minorHAnsi"/>
              </w:rPr>
              <w:t xml:space="preserve"> </w:t>
            </w:r>
            <w:r w:rsidR="003815DA">
              <w:rPr>
                <w:rFonts w:asciiTheme="minorHAnsi" w:eastAsia="Arial" w:hAnsiTheme="minorHAnsi" w:cstheme="minorHAnsi"/>
              </w:rPr>
              <w:t>of the IT</w:t>
            </w:r>
            <w:r w:rsidR="008400B8">
              <w:rPr>
                <w:rFonts w:asciiTheme="minorHAnsi" w:eastAsia="Arial" w:hAnsiTheme="minorHAnsi" w:cstheme="minorHAnsi"/>
              </w:rPr>
              <w:t xml:space="preserve"> </w:t>
            </w:r>
            <w:r w:rsidR="003815DA">
              <w:rPr>
                <w:rFonts w:asciiTheme="minorHAnsi" w:eastAsia="Arial" w:hAnsiTheme="minorHAnsi" w:cstheme="minorHAnsi"/>
              </w:rPr>
              <w:t>R</w:t>
            </w:r>
            <w:r w:rsidR="008400B8">
              <w:rPr>
                <w:rFonts w:asciiTheme="minorHAnsi" w:eastAsia="Arial" w:hAnsiTheme="minorHAnsi" w:cstheme="minorHAnsi"/>
              </w:rPr>
              <w:t>ule</w:t>
            </w:r>
            <w:r w:rsidR="003815DA">
              <w:rPr>
                <w:rFonts w:asciiTheme="minorHAnsi" w:eastAsia="Arial" w:hAnsiTheme="minorHAnsi" w:cstheme="minorHAnsi"/>
              </w:rPr>
              <w:t xml:space="preserve">, 1962 </w:t>
            </w:r>
            <w:r w:rsidR="003815DA">
              <w:rPr>
                <w:rFonts w:asciiTheme="minorHAnsi" w:eastAsia="Arial" w:hAnsiTheme="minorHAnsi" w:cstheme="minorHAnsi"/>
              </w:rPr>
              <w:lastRenderedPageBreak/>
              <w:t>(R</w:t>
            </w:r>
            <w:r w:rsidR="008400B8">
              <w:rPr>
                <w:rFonts w:asciiTheme="minorHAnsi" w:eastAsia="Arial" w:hAnsiTheme="minorHAnsi" w:cstheme="minorHAnsi"/>
              </w:rPr>
              <w:t>ule</w:t>
            </w:r>
            <w:r w:rsidR="003815DA">
              <w:rPr>
                <w:rFonts w:asciiTheme="minorHAnsi" w:eastAsia="Arial" w:hAnsiTheme="minorHAnsi" w:cstheme="minorHAnsi"/>
              </w:rPr>
              <w:t xml:space="preserve"> 128 of the corresponding draft IT</w:t>
            </w:r>
            <w:r w:rsidR="008400B8">
              <w:rPr>
                <w:rFonts w:asciiTheme="minorHAnsi" w:eastAsia="Arial" w:hAnsiTheme="minorHAnsi" w:cstheme="minorHAnsi"/>
              </w:rPr>
              <w:t xml:space="preserve"> Rules</w:t>
            </w:r>
            <w:r w:rsidR="003815DA">
              <w:rPr>
                <w:rFonts w:asciiTheme="minorHAnsi" w:eastAsia="Arial" w:hAnsiTheme="minorHAnsi" w:cstheme="minorHAnsi"/>
              </w:rPr>
              <w:t>, 2026)</w:t>
            </w:r>
            <w:r w:rsidRPr="004179E6">
              <w:rPr>
                <w:rFonts w:asciiTheme="minorHAnsi" w:eastAsia="Arial" w:hAnsiTheme="minorHAnsi" w:cstheme="minorHAnsi"/>
              </w:rPr>
              <w:t xml:space="preserve"> that</w:t>
            </w:r>
            <w:r w:rsidR="00011864" w:rsidRPr="004179E6">
              <w:rPr>
                <w:rFonts w:asciiTheme="minorHAnsi" w:eastAsia="Arial" w:hAnsiTheme="minorHAnsi" w:cstheme="minorHAnsi"/>
              </w:rPr>
              <w:t xml:space="preserve"> where an FPI is availing benefit of section 10(4D) of the Act, provisions of Chapter X-A should not apply.</w:t>
            </w:r>
          </w:p>
        </w:tc>
      </w:tr>
      <w:tr w:rsidR="003C3299" w:rsidRPr="004179E6" w14:paraId="74D77221" w14:textId="77777777" w:rsidTr="00210D4C">
        <w:trPr>
          <w:trHeight w:val="20"/>
        </w:trPr>
        <w:tc>
          <w:tcPr>
            <w:tcW w:w="14454" w:type="dxa"/>
            <w:gridSpan w:val="3"/>
            <w:shd w:val="clear" w:color="auto" w:fill="D0CECE" w:themeFill="background2" w:themeFillShade="E6"/>
          </w:tcPr>
          <w:p w14:paraId="55A6A366" w14:textId="77777777" w:rsidR="00B620E1" w:rsidRPr="006A70DB" w:rsidRDefault="00B620E1" w:rsidP="00AA128D">
            <w:pPr>
              <w:spacing w:after="160" w:line="276" w:lineRule="auto"/>
              <w:jc w:val="center"/>
              <w:rPr>
                <w:rFonts w:asciiTheme="minorHAnsi" w:hAnsiTheme="minorHAnsi" w:cstheme="minorHAnsi"/>
                <w:b/>
              </w:rPr>
            </w:pPr>
            <w:r w:rsidRPr="006A70DB">
              <w:rPr>
                <w:rFonts w:asciiTheme="minorHAnsi" w:hAnsiTheme="minorHAnsi" w:cstheme="minorHAnsi"/>
                <w:b/>
              </w:rPr>
              <w:lastRenderedPageBreak/>
              <w:t>Mergers/Acquisitions and Business re-</w:t>
            </w:r>
            <w:r w:rsidR="003C3299" w:rsidRPr="006A70DB">
              <w:rPr>
                <w:rFonts w:asciiTheme="minorHAnsi" w:hAnsiTheme="minorHAnsi" w:cstheme="minorHAnsi"/>
                <w:b/>
              </w:rPr>
              <w:t>organization</w:t>
            </w:r>
          </w:p>
        </w:tc>
      </w:tr>
      <w:tr w:rsidR="003C3299" w:rsidRPr="004179E6" w14:paraId="38943F53" w14:textId="77777777" w:rsidTr="00210D4C">
        <w:trPr>
          <w:trHeight w:val="20"/>
        </w:trPr>
        <w:tc>
          <w:tcPr>
            <w:tcW w:w="512" w:type="dxa"/>
          </w:tcPr>
          <w:p w14:paraId="08425E11" w14:textId="77777777" w:rsidR="00B620E1" w:rsidRPr="004179E6" w:rsidRDefault="00B620E1"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751F723D" w14:textId="2C8CE6A1" w:rsidR="00B620E1" w:rsidRPr="006A70DB" w:rsidRDefault="00B620E1" w:rsidP="00AA128D">
            <w:pPr>
              <w:spacing w:after="160" w:line="276" w:lineRule="auto"/>
              <w:rPr>
                <w:rFonts w:asciiTheme="minorHAnsi" w:hAnsiTheme="minorHAnsi" w:cstheme="minorHAnsi"/>
                <w:b/>
              </w:rPr>
            </w:pPr>
            <w:r w:rsidRPr="006A70DB">
              <w:rPr>
                <w:rFonts w:asciiTheme="minorHAnsi" w:hAnsiTheme="minorHAnsi" w:cstheme="minorHAnsi"/>
                <w:b/>
              </w:rPr>
              <w:t>Notify cases to which s.56(2)(x) and s.50CA will not apply</w:t>
            </w:r>
            <w:r w:rsidR="00F41BE2" w:rsidRPr="006A70DB">
              <w:rPr>
                <w:rFonts w:asciiTheme="minorHAnsi" w:hAnsiTheme="minorHAnsi" w:cstheme="minorHAnsi"/>
                <w:b/>
              </w:rPr>
              <w:t xml:space="preserve"> </w:t>
            </w:r>
            <w:r w:rsidR="00890E29" w:rsidRPr="006A70DB">
              <w:rPr>
                <w:rFonts w:asciiTheme="minorHAnsi" w:hAnsiTheme="minorHAnsi" w:cstheme="minorHAnsi"/>
                <w:b/>
              </w:rPr>
              <w:t>[</w:t>
            </w:r>
            <w:r w:rsidR="00F41BE2" w:rsidRPr="006A70DB">
              <w:rPr>
                <w:rFonts w:asciiTheme="minorHAnsi" w:hAnsiTheme="minorHAnsi" w:cstheme="minorHAnsi"/>
                <w:b/>
              </w:rPr>
              <w:t>corresponding s.</w:t>
            </w:r>
            <w:r w:rsidR="00C552AB" w:rsidRPr="006A70DB">
              <w:rPr>
                <w:rFonts w:asciiTheme="minorHAnsi" w:hAnsiTheme="minorHAnsi" w:cstheme="minorHAnsi"/>
                <w:b/>
              </w:rPr>
              <w:t>92(</w:t>
            </w:r>
            <w:r w:rsidR="00F95E42" w:rsidRPr="006A70DB">
              <w:rPr>
                <w:rFonts w:asciiTheme="minorHAnsi" w:hAnsiTheme="minorHAnsi" w:cstheme="minorHAnsi"/>
                <w:b/>
              </w:rPr>
              <w:t>2)(m</w:t>
            </w:r>
            <w:r w:rsidR="00C552AB" w:rsidRPr="006A70DB">
              <w:rPr>
                <w:rFonts w:asciiTheme="minorHAnsi" w:hAnsiTheme="minorHAnsi" w:cstheme="minorHAnsi"/>
                <w:b/>
              </w:rPr>
              <w:t xml:space="preserve">) and 79 </w:t>
            </w:r>
            <w:r w:rsidR="00890E29" w:rsidRPr="006A70DB">
              <w:rPr>
                <w:rFonts w:asciiTheme="minorHAnsi" w:hAnsiTheme="minorHAnsi" w:cstheme="minorHAnsi"/>
                <w:b/>
              </w:rPr>
              <w:t>of ITA</w:t>
            </w:r>
            <w:r w:rsidR="00C552AB" w:rsidRPr="006A70DB">
              <w:rPr>
                <w:rFonts w:asciiTheme="minorHAnsi" w:hAnsiTheme="minorHAnsi" w:cstheme="minorHAnsi"/>
                <w:b/>
              </w:rPr>
              <w:t xml:space="preserve"> 2025</w:t>
            </w:r>
            <w:r w:rsidR="00890E29" w:rsidRPr="006A70DB">
              <w:rPr>
                <w:rFonts w:asciiTheme="minorHAnsi" w:hAnsiTheme="minorHAnsi" w:cstheme="minorHAnsi"/>
                <w:b/>
              </w:rPr>
              <w:t>]</w:t>
            </w:r>
            <w:r w:rsidR="008210D3" w:rsidRPr="006A70DB">
              <w:rPr>
                <w:rFonts w:asciiTheme="minorHAnsi" w:hAnsiTheme="minorHAnsi" w:cstheme="minorHAnsi"/>
                <w:b/>
              </w:rPr>
              <w:t xml:space="preserve"> in </w:t>
            </w:r>
            <w:r w:rsidR="003B3F60" w:rsidRPr="006A70DB">
              <w:rPr>
                <w:rFonts w:asciiTheme="minorHAnsi" w:hAnsiTheme="minorHAnsi" w:cstheme="minorHAnsi"/>
                <w:b/>
              </w:rPr>
              <w:t xml:space="preserve">draft </w:t>
            </w:r>
            <w:r w:rsidR="008210D3" w:rsidRPr="006A70DB">
              <w:rPr>
                <w:rFonts w:asciiTheme="minorHAnsi" w:hAnsiTheme="minorHAnsi" w:cstheme="minorHAnsi"/>
                <w:b/>
              </w:rPr>
              <w:t>Rule</w:t>
            </w:r>
            <w:r w:rsidR="003B3F60" w:rsidRPr="006A70DB">
              <w:rPr>
                <w:rFonts w:asciiTheme="minorHAnsi" w:hAnsiTheme="minorHAnsi" w:cstheme="minorHAnsi"/>
                <w:b/>
              </w:rPr>
              <w:t xml:space="preserve"> 58 of ITR 2026</w:t>
            </w:r>
            <w:r w:rsidR="008210D3" w:rsidRPr="006A70DB">
              <w:rPr>
                <w:rFonts w:asciiTheme="minorHAnsi" w:hAnsiTheme="minorHAnsi" w:cstheme="minorHAnsi"/>
                <w:b/>
              </w:rPr>
              <w:t xml:space="preserve"> </w:t>
            </w:r>
          </w:p>
        </w:tc>
        <w:tc>
          <w:tcPr>
            <w:tcW w:w="10986" w:type="dxa"/>
          </w:tcPr>
          <w:p w14:paraId="526E739D" w14:textId="5EE01A4C" w:rsidR="00B620E1" w:rsidRPr="004179E6" w:rsidRDefault="00B620E1" w:rsidP="00AA128D">
            <w:pPr>
              <w:spacing w:after="160" w:line="276" w:lineRule="auto"/>
              <w:jc w:val="both"/>
              <w:rPr>
                <w:rFonts w:asciiTheme="minorHAnsi" w:hAnsiTheme="minorHAnsi" w:cstheme="minorHAnsi"/>
              </w:rPr>
            </w:pPr>
            <w:r w:rsidRPr="004179E6">
              <w:rPr>
                <w:rFonts w:asciiTheme="minorHAnsi" w:hAnsiTheme="minorHAnsi" w:cstheme="minorHAnsi"/>
                <w:b/>
              </w:rPr>
              <w:t>Rationale</w:t>
            </w:r>
            <w:r w:rsidRPr="004179E6">
              <w:rPr>
                <w:rFonts w:asciiTheme="minorHAnsi" w:hAnsiTheme="minorHAnsi" w:cstheme="minorHAnsi"/>
              </w:rPr>
              <w:t xml:space="preserve">/ </w:t>
            </w:r>
            <w:r w:rsidRPr="004179E6">
              <w:rPr>
                <w:rFonts w:asciiTheme="minorHAnsi" w:hAnsiTheme="minorHAnsi" w:cstheme="minorHAnsi"/>
                <w:b/>
              </w:rPr>
              <w:t>Recommendation</w:t>
            </w:r>
            <w:r w:rsidRPr="004179E6">
              <w:rPr>
                <w:rFonts w:asciiTheme="minorHAnsi" w:hAnsiTheme="minorHAnsi" w:cstheme="minorHAnsi"/>
              </w:rPr>
              <w:t>:</w:t>
            </w:r>
          </w:p>
          <w:p w14:paraId="725625C6" w14:textId="65AA4338" w:rsidR="00B620E1" w:rsidRPr="004179E6" w:rsidRDefault="00B620E1" w:rsidP="00AA128D">
            <w:pPr>
              <w:pStyle w:val="ListParagraph"/>
              <w:widowControl/>
              <w:numPr>
                <w:ilvl w:val="0"/>
                <w:numId w:val="1"/>
              </w:numPr>
              <w:autoSpaceDE/>
              <w:autoSpaceDN/>
              <w:spacing w:after="160" w:line="276" w:lineRule="auto"/>
              <w:ind w:left="360"/>
              <w:jc w:val="both"/>
              <w:rPr>
                <w:rFonts w:asciiTheme="minorHAnsi" w:hAnsiTheme="minorHAnsi" w:cstheme="minorHAnsi"/>
                <w:b/>
              </w:rPr>
            </w:pPr>
            <w:r w:rsidRPr="004179E6">
              <w:rPr>
                <w:rFonts w:asciiTheme="minorHAnsi" w:hAnsiTheme="minorHAnsi" w:cstheme="minorHAnsi"/>
              </w:rPr>
              <w:t>Pursuant to industry representations, the Finance (No.2) Act 2019 amended s.50CA and s.56(2)(x) to give power to CBDT to notify cases to which these provisions will not apply.</w:t>
            </w:r>
          </w:p>
          <w:p w14:paraId="6DF411AA" w14:textId="203B4EAC" w:rsidR="00B620E1" w:rsidRPr="004179E6" w:rsidRDefault="00B620E1"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Obviously, such is the correct approach since it would be very difficult to provide for all bonafide situations to which notional capital gains in hands of seller and gift taxation in hands of buyer in the Act itself.</w:t>
            </w:r>
          </w:p>
          <w:p w14:paraId="4756A6F6" w14:textId="36834D99" w:rsidR="00B620E1" w:rsidRPr="004179E6" w:rsidRDefault="00B620E1"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 xml:space="preserve">However, </w:t>
            </w:r>
            <w:r w:rsidR="0007331B" w:rsidRPr="004179E6">
              <w:rPr>
                <w:rFonts w:asciiTheme="minorHAnsi" w:hAnsiTheme="minorHAnsi" w:cstheme="minorHAnsi"/>
              </w:rPr>
              <w:t xml:space="preserve">so far </w:t>
            </w:r>
            <w:r w:rsidRPr="004179E6">
              <w:rPr>
                <w:rFonts w:asciiTheme="minorHAnsi" w:hAnsiTheme="minorHAnsi" w:cstheme="minorHAnsi"/>
              </w:rPr>
              <w:t xml:space="preserve">the CBDT </w:t>
            </w:r>
            <w:r w:rsidR="005977F3" w:rsidRPr="004179E6">
              <w:rPr>
                <w:rFonts w:asciiTheme="minorHAnsi" w:hAnsiTheme="minorHAnsi" w:cstheme="minorHAnsi"/>
              </w:rPr>
              <w:t xml:space="preserve">has used this power sparingly in context of restructuring involving public interest like ILFS, Yes Bank, </w:t>
            </w:r>
            <w:r w:rsidR="005B0B6F" w:rsidRPr="004179E6">
              <w:rPr>
                <w:rFonts w:asciiTheme="minorHAnsi" w:hAnsiTheme="minorHAnsi" w:cstheme="minorHAnsi"/>
              </w:rPr>
              <w:t>Air India, etc</w:t>
            </w:r>
            <w:r w:rsidRPr="004179E6">
              <w:rPr>
                <w:rFonts w:asciiTheme="minorHAnsi" w:hAnsiTheme="minorHAnsi" w:cstheme="minorHAnsi"/>
              </w:rPr>
              <w:t>. Hence, the challenges indicated in following illustrative cases in our earlier years’ Pre-budget representations continue to be faced by the industry:-</w:t>
            </w:r>
          </w:p>
          <w:p w14:paraId="31AE21E5" w14:textId="5262DA12" w:rsidR="001F7226" w:rsidRPr="004179E6" w:rsidRDefault="00B620E1" w:rsidP="00AA128D">
            <w:pPr>
              <w:pStyle w:val="ListParagraph"/>
              <w:widowControl/>
              <w:numPr>
                <w:ilvl w:val="1"/>
                <w:numId w:val="1"/>
              </w:numPr>
              <w:autoSpaceDE/>
              <w:autoSpaceDN/>
              <w:spacing w:after="160" w:line="276" w:lineRule="auto"/>
              <w:ind w:left="720"/>
              <w:jc w:val="both"/>
              <w:rPr>
                <w:rFonts w:asciiTheme="minorHAnsi" w:hAnsiTheme="minorHAnsi" w:cstheme="minorHAnsi"/>
              </w:rPr>
            </w:pPr>
            <w:r w:rsidRPr="004179E6">
              <w:rPr>
                <w:rFonts w:asciiTheme="minorHAnsi" w:hAnsiTheme="minorHAnsi" w:cstheme="minorHAnsi"/>
              </w:rPr>
              <w:t>Sale of foreign company’s shares where it is difficult to apply Rule 11UA valuation</w:t>
            </w:r>
            <w:r w:rsidR="004351D2" w:rsidRPr="004179E6">
              <w:rPr>
                <w:rFonts w:asciiTheme="minorHAnsi" w:hAnsiTheme="minorHAnsi" w:cstheme="minorHAnsi"/>
              </w:rPr>
              <w:t xml:space="preserve"> </w:t>
            </w:r>
            <w:r w:rsidR="000C39D8" w:rsidRPr="004179E6">
              <w:rPr>
                <w:rFonts w:asciiTheme="minorHAnsi" w:hAnsiTheme="minorHAnsi" w:cstheme="minorHAnsi"/>
              </w:rPr>
              <w:t xml:space="preserve">as </w:t>
            </w:r>
            <w:r w:rsidR="004351D2" w:rsidRPr="004179E6">
              <w:rPr>
                <w:rFonts w:asciiTheme="minorHAnsi" w:hAnsiTheme="minorHAnsi" w:cstheme="minorHAnsi"/>
              </w:rPr>
              <w:t xml:space="preserve">the </w:t>
            </w:r>
            <w:r w:rsidR="00BC33BB" w:rsidRPr="004179E6">
              <w:rPr>
                <w:rFonts w:asciiTheme="minorHAnsi" w:hAnsiTheme="minorHAnsi" w:cstheme="minorHAnsi"/>
              </w:rPr>
              <w:t>sale could be driven by multiple valuation rules (say FEMA valuation norms, valuation rules of country of incorporation or valuation rules of seller/ buyer if they are located outside India). Further, it may be difficult to access the balance sheet of foreign companies on the date of transfer of foreign company shares especially if such foreign company is closely held.</w:t>
            </w:r>
            <w:r w:rsidR="001561D3" w:rsidRPr="004179E6">
              <w:rPr>
                <w:rFonts w:asciiTheme="minorHAnsi" w:hAnsiTheme="minorHAnsi" w:cstheme="minorHAnsi"/>
              </w:rPr>
              <w:t xml:space="preserve"> </w:t>
            </w:r>
            <w:r w:rsidRPr="004179E6">
              <w:rPr>
                <w:rFonts w:asciiTheme="minorHAnsi" w:hAnsiTheme="minorHAnsi" w:cstheme="minorHAnsi"/>
              </w:rPr>
              <w:t>Exempt transactions like foreign amalgamation or demerger which involves transfer of shares of foreign company deriving substantial value from assets located in India u/s. 47(viab)/(vicc), conversion of bonds or debentures into shares u/s. 47(x), transfer of land of sick industrial company managed by workers’ co-operative u/s. 47(xii), conversion of firm into company or company into LLP (s.47(xiii)/(xiiib)), etc.</w:t>
            </w:r>
            <w:r w:rsidR="00BC33BB" w:rsidRPr="004179E6">
              <w:rPr>
                <w:rFonts w:asciiTheme="minorHAnsi" w:hAnsiTheme="minorHAnsi" w:cstheme="minorHAnsi"/>
              </w:rPr>
              <w:t xml:space="preserve"> The legislature intent is to ensure tax neutrality to transacting parties and encourage such business re-organization which may also be extended by exempting the transaction from gift taxation under 56(2)(x). Where the exemption is granted from applicability </w:t>
            </w:r>
            <w:r w:rsidR="00BC33BB" w:rsidRPr="004179E6">
              <w:rPr>
                <w:rFonts w:asciiTheme="minorHAnsi" w:hAnsiTheme="minorHAnsi" w:cstheme="minorHAnsi"/>
              </w:rPr>
              <w:lastRenderedPageBreak/>
              <w:t>of few provisions of the Act but there is no express exemption under 56(2)(x), it could become a commercial deal breaker if the parties have apprehension on its taxability.</w:t>
            </w:r>
          </w:p>
          <w:p w14:paraId="3A472CA6" w14:textId="6E6928B4" w:rsidR="00BC33BB" w:rsidRPr="004179E6" w:rsidRDefault="00B620E1" w:rsidP="00AA128D">
            <w:pPr>
              <w:pStyle w:val="ListParagraph"/>
              <w:widowControl/>
              <w:numPr>
                <w:ilvl w:val="1"/>
                <w:numId w:val="1"/>
              </w:numPr>
              <w:autoSpaceDE/>
              <w:autoSpaceDN/>
              <w:spacing w:after="160" w:line="276" w:lineRule="auto"/>
              <w:ind w:left="720"/>
              <w:jc w:val="both"/>
              <w:rPr>
                <w:rFonts w:asciiTheme="minorHAnsi" w:hAnsiTheme="minorHAnsi" w:cstheme="minorHAnsi"/>
              </w:rPr>
            </w:pPr>
            <w:r w:rsidRPr="004179E6">
              <w:rPr>
                <w:rFonts w:asciiTheme="minorHAnsi" w:hAnsiTheme="minorHAnsi" w:cstheme="minorHAnsi"/>
              </w:rPr>
              <w:t>Fresh issue of shares in scenarios like Initial Public Offer (IPO), private placement, rights, bonus,</w:t>
            </w:r>
            <w:r w:rsidR="00A2769D" w:rsidRPr="004179E6">
              <w:rPr>
                <w:rFonts w:asciiTheme="minorHAnsi" w:hAnsiTheme="minorHAnsi" w:cstheme="minorHAnsi"/>
              </w:rPr>
              <w:t xml:space="preserve"> preferential allotment</w:t>
            </w:r>
            <w:r w:rsidRPr="004179E6">
              <w:rPr>
                <w:rFonts w:asciiTheme="minorHAnsi" w:hAnsiTheme="minorHAnsi" w:cstheme="minorHAnsi"/>
              </w:rPr>
              <w:t xml:space="preserve"> etc</w:t>
            </w:r>
            <w:r w:rsidR="00894FAB" w:rsidRPr="004179E6">
              <w:rPr>
                <w:rFonts w:asciiTheme="minorHAnsi" w:hAnsiTheme="minorHAnsi" w:cstheme="minorHAnsi"/>
              </w:rPr>
              <w:t>.</w:t>
            </w:r>
            <w:r w:rsidR="00BC33BB" w:rsidRPr="004179E6">
              <w:rPr>
                <w:rFonts w:asciiTheme="minorHAnsi" w:hAnsiTheme="minorHAnsi" w:cstheme="minorHAnsi"/>
              </w:rPr>
              <w:t xml:space="preserve"> Generally, IPO/ private placement/ preferential allotment is required to be done at commercial fair value to investors and such valuation norms may be mandatory to be followed under Cos Act, 2013/ SEBI etc as the case may be. In such case, Rule 11UA value should not be </w:t>
            </w:r>
            <w:r w:rsidR="00837AC2" w:rsidRPr="004179E6">
              <w:rPr>
                <w:rFonts w:asciiTheme="minorHAnsi" w:hAnsiTheme="minorHAnsi" w:cstheme="minorHAnsi"/>
              </w:rPr>
              <w:t>mandated</w:t>
            </w:r>
            <w:r w:rsidR="00BC33BB" w:rsidRPr="004179E6">
              <w:rPr>
                <w:rFonts w:asciiTheme="minorHAnsi" w:hAnsiTheme="minorHAnsi" w:cstheme="minorHAnsi"/>
              </w:rPr>
              <w:t xml:space="preserve"> to be complied</w:t>
            </w:r>
            <w:r w:rsidR="00837AC2" w:rsidRPr="004179E6">
              <w:rPr>
                <w:rFonts w:asciiTheme="minorHAnsi" w:hAnsiTheme="minorHAnsi" w:cstheme="minorHAnsi"/>
              </w:rPr>
              <w:t xml:space="preserve"> with</w:t>
            </w:r>
            <w:r w:rsidR="00BC33BB" w:rsidRPr="004179E6">
              <w:rPr>
                <w:rFonts w:asciiTheme="minorHAnsi" w:hAnsiTheme="minorHAnsi" w:cstheme="minorHAnsi"/>
              </w:rPr>
              <w:t xml:space="preserve">. Further, all such issues are driven by strong commercial reasons such that bonus is with intention to reward shareholders, rights issue/ preferential allotment/ private placement – all are with an intention to raise funds in the company for business purpose. The bonus shares are always without </w:t>
            </w:r>
            <w:r w:rsidR="009A2F34" w:rsidRPr="004179E6">
              <w:rPr>
                <w:rFonts w:asciiTheme="minorHAnsi" w:hAnsiTheme="minorHAnsi" w:cstheme="minorHAnsi"/>
              </w:rPr>
              <w:t xml:space="preserve">explicit </w:t>
            </w:r>
            <w:r w:rsidR="00BC33BB" w:rsidRPr="004179E6">
              <w:rPr>
                <w:rFonts w:asciiTheme="minorHAnsi" w:hAnsiTheme="minorHAnsi" w:cstheme="minorHAnsi"/>
              </w:rPr>
              <w:t xml:space="preserve">consideration </w:t>
            </w:r>
            <w:r w:rsidR="001248AC" w:rsidRPr="004179E6">
              <w:rPr>
                <w:rFonts w:asciiTheme="minorHAnsi" w:hAnsiTheme="minorHAnsi" w:cstheme="minorHAnsi"/>
              </w:rPr>
              <w:t xml:space="preserve">(but leading to fall in value of existing shares) </w:t>
            </w:r>
            <w:r w:rsidR="00BC33BB" w:rsidRPr="004179E6">
              <w:rPr>
                <w:rFonts w:asciiTheme="minorHAnsi" w:hAnsiTheme="minorHAnsi" w:cstheme="minorHAnsi"/>
              </w:rPr>
              <w:t>and rights issue is generally at discount to commercial fair value as intention is solely to raise funds wherein existing shareholders agree to infuse more capital. With such strong commercial intent, the transacting parties should not be burdened with Rule 11UA valuation mechanism which introduced a</w:t>
            </w:r>
            <w:r w:rsidR="00837AC2" w:rsidRPr="004179E6">
              <w:rPr>
                <w:rFonts w:asciiTheme="minorHAnsi" w:hAnsiTheme="minorHAnsi" w:cstheme="minorHAnsi"/>
              </w:rPr>
              <w:t>s</w:t>
            </w:r>
            <w:r w:rsidR="00BC33BB" w:rsidRPr="004179E6">
              <w:rPr>
                <w:rFonts w:asciiTheme="minorHAnsi" w:hAnsiTheme="minorHAnsi" w:cstheme="minorHAnsi"/>
              </w:rPr>
              <w:t xml:space="preserve"> an anti-abuse provision to tackle unaccounted money.</w:t>
            </w:r>
            <w:r w:rsidR="001248AC" w:rsidRPr="004179E6">
              <w:rPr>
                <w:rFonts w:asciiTheme="minorHAnsi" w:hAnsiTheme="minorHAnsi" w:cstheme="minorHAnsi"/>
              </w:rPr>
              <w:t xml:space="preserve"> In rights issue, if the rights issue is subscribed by all the existing shareholders </w:t>
            </w:r>
            <w:r w:rsidR="001B19C7" w:rsidRPr="004179E6">
              <w:rPr>
                <w:rFonts w:asciiTheme="minorHAnsi" w:hAnsiTheme="minorHAnsi" w:cstheme="minorHAnsi"/>
              </w:rPr>
              <w:t>on pro-rata basis</w:t>
            </w:r>
            <w:r w:rsidR="00D9254E" w:rsidRPr="004179E6">
              <w:rPr>
                <w:rFonts w:asciiTheme="minorHAnsi" w:hAnsiTheme="minorHAnsi" w:cstheme="minorHAnsi"/>
              </w:rPr>
              <w:t>, there is no benefit to shareholders qua other shareholders.</w:t>
            </w:r>
          </w:p>
          <w:p w14:paraId="0306061F" w14:textId="68628C74" w:rsidR="00B620E1" w:rsidRPr="004179E6" w:rsidRDefault="00B620E1" w:rsidP="00AA128D">
            <w:pPr>
              <w:pStyle w:val="ListParagraph"/>
              <w:widowControl/>
              <w:numPr>
                <w:ilvl w:val="1"/>
                <w:numId w:val="1"/>
              </w:numPr>
              <w:autoSpaceDE/>
              <w:autoSpaceDN/>
              <w:spacing w:after="160" w:line="276" w:lineRule="auto"/>
              <w:ind w:left="720"/>
              <w:jc w:val="both"/>
              <w:rPr>
                <w:rFonts w:asciiTheme="minorHAnsi" w:hAnsiTheme="minorHAnsi" w:cstheme="minorHAnsi"/>
              </w:rPr>
            </w:pPr>
            <w:r w:rsidRPr="004179E6">
              <w:rPr>
                <w:rFonts w:asciiTheme="minorHAnsi" w:hAnsiTheme="minorHAnsi" w:cstheme="minorHAnsi"/>
              </w:rPr>
              <w:t>Investment made by holding company into its wholly owned subsidiary (domestic as well as foreign company)</w:t>
            </w:r>
            <w:r w:rsidR="007610D8" w:rsidRPr="004179E6">
              <w:rPr>
                <w:rFonts w:asciiTheme="minorHAnsi" w:hAnsiTheme="minorHAnsi" w:cstheme="minorHAnsi"/>
              </w:rPr>
              <w:t xml:space="preserve"> </w:t>
            </w:r>
            <w:r w:rsidR="00BC33BB" w:rsidRPr="004179E6">
              <w:rPr>
                <w:rFonts w:asciiTheme="minorHAnsi" w:hAnsiTheme="minorHAnsi" w:cstheme="minorHAnsi"/>
              </w:rPr>
              <w:t xml:space="preserve">The exemption is granted for transaction of transfer of capital asset which are covered within parameters of 47(iv)/ (v) relationship. The exemption should be extended for any investment made by </w:t>
            </w:r>
            <w:r w:rsidR="00837AC2" w:rsidRPr="004179E6">
              <w:rPr>
                <w:rFonts w:asciiTheme="minorHAnsi" w:hAnsiTheme="minorHAnsi" w:cstheme="minorHAnsi"/>
              </w:rPr>
              <w:t>P</w:t>
            </w:r>
            <w:r w:rsidR="00BC33BB" w:rsidRPr="004179E6">
              <w:rPr>
                <w:rFonts w:asciiTheme="minorHAnsi" w:hAnsiTheme="minorHAnsi" w:cstheme="minorHAnsi"/>
              </w:rPr>
              <w:t xml:space="preserve">arent into its WOS which would be always with an intent to expand business in fold of WOS or to support WOS financially by providing funding. Further, on </w:t>
            </w:r>
            <w:r w:rsidR="00837AC2" w:rsidRPr="004179E6">
              <w:rPr>
                <w:rFonts w:asciiTheme="minorHAnsi" w:hAnsiTheme="minorHAnsi" w:cstheme="minorHAnsi"/>
              </w:rPr>
              <w:t>holistic</w:t>
            </w:r>
            <w:r w:rsidR="00BC33BB" w:rsidRPr="004179E6">
              <w:rPr>
                <w:rFonts w:asciiTheme="minorHAnsi" w:hAnsiTheme="minorHAnsi" w:cstheme="minorHAnsi"/>
              </w:rPr>
              <w:t xml:space="preserve"> basis and in substance, there is no benefit/ sacrifice of parent  by investing funds in WOS as it would continue to derive value indirectly through shares in WOS.</w:t>
            </w:r>
            <w:r w:rsidRPr="004179E6">
              <w:rPr>
                <w:rFonts w:asciiTheme="minorHAnsi" w:hAnsiTheme="minorHAnsi" w:cstheme="minorHAnsi"/>
              </w:rPr>
              <w:t>Time lag involved between fixing up share price by the parties under an agreement and actual allotment / transfer of shares due to time taken in making regulatory compliances and / or seeking shareholder or regulatory approvals</w:t>
            </w:r>
          </w:p>
          <w:p w14:paraId="19258790" w14:textId="0D2F878C" w:rsidR="00B620E1" w:rsidRPr="004179E6" w:rsidRDefault="00B620E1" w:rsidP="00AA128D">
            <w:pPr>
              <w:pStyle w:val="ListParagraph"/>
              <w:widowControl/>
              <w:numPr>
                <w:ilvl w:val="1"/>
                <w:numId w:val="1"/>
              </w:numPr>
              <w:autoSpaceDE/>
              <w:autoSpaceDN/>
              <w:spacing w:after="160" w:line="276" w:lineRule="auto"/>
              <w:ind w:left="720"/>
              <w:jc w:val="both"/>
              <w:rPr>
                <w:rFonts w:asciiTheme="minorHAnsi" w:hAnsiTheme="minorHAnsi" w:cstheme="minorHAnsi"/>
              </w:rPr>
            </w:pPr>
            <w:r w:rsidRPr="004179E6">
              <w:rPr>
                <w:rFonts w:asciiTheme="minorHAnsi" w:hAnsiTheme="minorHAnsi" w:cstheme="minorHAnsi"/>
              </w:rPr>
              <w:t>Options or share warrants which are issued at a particular date giving option to the holder to subscribe for shares at a future date at the prefixed value which is generally at FMV on the date of issue of options/warrants</w:t>
            </w:r>
            <w:r w:rsidR="00337401" w:rsidRPr="004179E6">
              <w:rPr>
                <w:rFonts w:asciiTheme="minorHAnsi" w:hAnsiTheme="minorHAnsi" w:cstheme="minorHAnsi"/>
              </w:rPr>
              <w:t>.</w:t>
            </w:r>
            <w:r w:rsidR="00BC33BB" w:rsidRPr="004179E6">
              <w:rPr>
                <w:rFonts w:asciiTheme="minorHAnsi" w:hAnsiTheme="minorHAnsi" w:cstheme="minorHAnsi"/>
              </w:rPr>
              <w:t xml:space="preserve"> There </w:t>
            </w:r>
            <w:r w:rsidR="00BC33BB" w:rsidRPr="004179E6">
              <w:rPr>
                <w:rFonts w:asciiTheme="minorHAnsi" w:hAnsiTheme="minorHAnsi" w:cstheme="minorHAnsi"/>
              </w:rPr>
              <w:lastRenderedPageBreak/>
              <w:t>should not be separate applicability of 56(2)(x) when such warrants or options are exercised to subscribe for equity shares. The warrant holder/ option holder ha</w:t>
            </w:r>
            <w:r w:rsidR="00145841" w:rsidRPr="004179E6">
              <w:rPr>
                <w:rFonts w:asciiTheme="minorHAnsi" w:hAnsiTheme="minorHAnsi" w:cstheme="minorHAnsi"/>
              </w:rPr>
              <w:t>s</w:t>
            </w:r>
            <w:r w:rsidR="00BC33BB" w:rsidRPr="004179E6">
              <w:rPr>
                <w:rFonts w:asciiTheme="minorHAnsi" w:hAnsiTheme="minorHAnsi" w:cstheme="minorHAnsi"/>
              </w:rPr>
              <w:t xml:space="preserve"> inherent right to subscribe for shares at pre-determined rate as agreed at the time of securing option/ </w:t>
            </w:r>
            <w:r w:rsidR="00145841" w:rsidRPr="004179E6">
              <w:rPr>
                <w:rFonts w:asciiTheme="minorHAnsi" w:hAnsiTheme="minorHAnsi" w:cstheme="minorHAnsi"/>
              </w:rPr>
              <w:t>warrant</w:t>
            </w:r>
            <w:r w:rsidR="00BC33BB" w:rsidRPr="004179E6">
              <w:rPr>
                <w:rFonts w:asciiTheme="minorHAnsi" w:hAnsiTheme="minorHAnsi" w:cstheme="minorHAnsi"/>
              </w:rPr>
              <w:t xml:space="preserve"> and conversely, it is pre-agreed obligation of company to issue shares at value as agreed at the time of issuing options/ warrant. Hence, commercially also, there is no separate valuation required to be undertaken at the stage of subscribing shares in which case income-tax should not mandate any normative valuation. Rule 11UA application at the stage of acquisition of shares may be restricted to transactions which required separate valuation at stage of fresh issue/ acquisition</w:t>
            </w:r>
          </w:p>
          <w:p w14:paraId="4FCE70E9" w14:textId="4305A32A" w:rsidR="00413A89" w:rsidRPr="004179E6" w:rsidRDefault="003F08FD" w:rsidP="00AA128D">
            <w:pPr>
              <w:pStyle w:val="ListParagraph"/>
              <w:widowControl/>
              <w:numPr>
                <w:ilvl w:val="1"/>
                <w:numId w:val="1"/>
              </w:numPr>
              <w:autoSpaceDE/>
              <w:autoSpaceDN/>
              <w:spacing w:after="160" w:line="276" w:lineRule="auto"/>
              <w:ind w:left="720"/>
              <w:jc w:val="both"/>
              <w:rPr>
                <w:rFonts w:asciiTheme="minorHAnsi" w:hAnsiTheme="minorHAnsi" w:cstheme="minorHAnsi"/>
              </w:rPr>
            </w:pPr>
            <w:r w:rsidRPr="004179E6">
              <w:rPr>
                <w:rFonts w:asciiTheme="minorHAnsi" w:hAnsiTheme="minorHAnsi" w:cstheme="minorHAnsi"/>
              </w:rPr>
              <w:t xml:space="preserve">Conversion of an existing instrument into equity shares </w:t>
            </w:r>
            <w:r w:rsidR="009F2DB6" w:rsidRPr="004179E6">
              <w:rPr>
                <w:rFonts w:asciiTheme="minorHAnsi" w:hAnsiTheme="minorHAnsi" w:cstheme="minorHAnsi"/>
              </w:rPr>
              <w:t xml:space="preserve">as per the terms specified at the time of issuance based on the valuations at that time </w:t>
            </w:r>
            <w:r w:rsidR="006C463A" w:rsidRPr="004179E6">
              <w:rPr>
                <w:rFonts w:asciiTheme="minorHAnsi" w:hAnsiTheme="minorHAnsi" w:cstheme="minorHAnsi"/>
              </w:rPr>
              <w:t>- The CBDT on 21 January 2019, issued a Circular clarifying that the section 56(2)(viia)/ section 56(2)(x) of the Act (as the case may be), applies to “issuance” of shares by a company other than a company in which the public are substantially interested. This implies that the provisions of section 56(2)(x) of the Act are applicable pursuant to conversion of an existing instrument into equity shares.</w:t>
            </w:r>
          </w:p>
          <w:p w14:paraId="3DCE8412" w14:textId="737F4876" w:rsidR="00B620E1" w:rsidRPr="004179E6" w:rsidRDefault="00B620E1" w:rsidP="00AA128D">
            <w:pPr>
              <w:pStyle w:val="ListParagraph"/>
              <w:widowControl/>
              <w:numPr>
                <w:ilvl w:val="1"/>
                <w:numId w:val="1"/>
              </w:numPr>
              <w:autoSpaceDE/>
              <w:autoSpaceDN/>
              <w:spacing w:after="160" w:line="276" w:lineRule="auto"/>
              <w:ind w:left="720"/>
              <w:jc w:val="both"/>
              <w:rPr>
                <w:rFonts w:asciiTheme="minorHAnsi" w:hAnsiTheme="minorHAnsi" w:cstheme="minorHAnsi"/>
              </w:rPr>
            </w:pPr>
            <w:r w:rsidRPr="004179E6">
              <w:rPr>
                <w:rFonts w:asciiTheme="minorHAnsi" w:hAnsiTheme="minorHAnsi" w:cstheme="minorHAnsi"/>
              </w:rPr>
              <w:t>Transfer or issue of shares or securities in case of corporate insolvency resolution process under IBC</w:t>
            </w:r>
            <w:r w:rsidR="00223796" w:rsidRPr="004179E6">
              <w:rPr>
                <w:rFonts w:asciiTheme="minorHAnsi" w:hAnsiTheme="minorHAnsi" w:cstheme="minorHAnsi"/>
              </w:rPr>
              <w:t xml:space="preserve"> or stressed companies, whose book value of assets is much higher than the actual realizable value.</w:t>
            </w:r>
            <w:r w:rsidR="00BC33BB" w:rsidRPr="004179E6">
              <w:rPr>
                <w:rFonts w:asciiTheme="minorHAnsi" w:hAnsiTheme="minorHAnsi" w:cstheme="minorHAnsi"/>
              </w:rPr>
              <w:t xml:space="preserve"> The acquisition of insolvent entity or stressed entity is driven by IBC, 2016 regulations which is complete code in itself. Further, motive of acquisition of such stressed entities is to revive such entities and avoid liquidation as the entity would have lost its fair value. In such case, similar to exemption provided for non-applicability of Section 79, the exemption may be provided for non-applicability of 56(2)(x)/ 50CA for any acquisition of shares under IBC, 2016. This would encourage quick revival of stressed entities and tax may not be commercial deal breaker thereby supporting the intent of IBC, 2016</w:t>
            </w:r>
            <w:r w:rsidR="00145841" w:rsidRPr="004179E6">
              <w:rPr>
                <w:rFonts w:asciiTheme="minorHAnsi" w:hAnsiTheme="minorHAnsi" w:cstheme="minorHAnsi"/>
              </w:rPr>
              <w:t>.</w:t>
            </w:r>
          </w:p>
          <w:p w14:paraId="36AD6FD2" w14:textId="1326D075" w:rsidR="00BB69E3" w:rsidRPr="004179E6" w:rsidRDefault="00BB69E3" w:rsidP="00AA128D">
            <w:pPr>
              <w:pStyle w:val="ListParagraph"/>
              <w:widowControl/>
              <w:numPr>
                <w:ilvl w:val="1"/>
                <w:numId w:val="1"/>
              </w:numPr>
              <w:autoSpaceDE/>
              <w:autoSpaceDN/>
              <w:spacing w:after="160" w:line="276" w:lineRule="auto"/>
              <w:ind w:left="720"/>
              <w:jc w:val="both"/>
              <w:rPr>
                <w:rFonts w:asciiTheme="minorHAnsi" w:hAnsiTheme="minorHAnsi" w:cstheme="minorHAnsi"/>
              </w:rPr>
            </w:pPr>
            <w:r w:rsidRPr="004179E6">
              <w:rPr>
                <w:rFonts w:asciiTheme="minorHAnsi" w:hAnsiTheme="minorHAnsi" w:cstheme="minorHAnsi"/>
              </w:rPr>
              <w:t xml:space="preserve">Where companies forming part of the same group need to enter into transactions for realignment of shareholding due to number of reasons such as synergies of business, consolidation of shareholding etc. Transfer of shares amongst ultimate holding and any step-down subsidiary or amongst fellow subsidiaries should be exempted from </w:t>
            </w:r>
            <w:r w:rsidRPr="004179E6">
              <w:rPr>
                <w:rFonts w:asciiTheme="minorHAnsi" w:hAnsiTheme="minorHAnsi" w:cstheme="minorHAnsi"/>
              </w:rPr>
              <w:lastRenderedPageBreak/>
              <w:t>the applicability of section 50CA and section 56(2)(x) of the Act. For consistency, the definition of holding company and subsidiary company should be defined as per the Companies Act, 2013.</w:t>
            </w:r>
          </w:p>
          <w:p w14:paraId="36A7977E" w14:textId="7EB2C838" w:rsidR="00BB69E3" w:rsidRPr="004179E6" w:rsidRDefault="00BB69E3" w:rsidP="00AA128D">
            <w:pPr>
              <w:pStyle w:val="ListParagraph"/>
              <w:widowControl/>
              <w:numPr>
                <w:ilvl w:val="1"/>
                <w:numId w:val="1"/>
              </w:numPr>
              <w:autoSpaceDE/>
              <w:autoSpaceDN/>
              <w:spacing w:after="160" w:line="276" w:lineRule="auto"/>
              <w:ind w:left="720"/>
              <w:jc w:val="both"/>
              <w:rPr>
                <w:rFonts w:asciiTheme="minorHAnsi" w:hAnsiTheme="minorHAnsi" w:cstheme="minorHAnsi"/>
              </w:rPr>
            </w:pPr>
            <w:r w:rsidRPr="004179E6">
              <w:rPr>
                <w:rFonts w:asciiTheme="minorHAnsi" w:hAnsiTheme="minorHAnsi" w:cstheme="minorHAnsi"/>
              </w:rPr>
              <w:t>Transfer of assets between relatives for consideration lower than FMV or on account of family settlement</w:t>
            </w:r>
            <w:r w:rsidR="00BC33BB" w:rsidRPr="004179E6">
              <w:rPr>
                <w:rFonts w:asciiTheme="minorHAnsi" w:hAnsiTheme="minorHAnsi" w:cstheme="minorHAnsi"/>
              </w:rPr>
              <w:t>. Section 56(2)(x) expressly exempts receipt of shares from relatives as defined under the section. Similar, exemption may be introduced under 50CA to facilitate transfer between relatives at less than 11UA which would make 50CA at par with 56(2)(x). Both sections are two sides of same coin and hence, granting equal exemption to transferor and transferee may assist in smooth facilitation of transaction. Additionally, during family settlement, the transactions take place between family members who may not strictly fall within definition of “relative” as defined under Section 56(2)(x). In view of the same, exemption may be provided for any transfer between family members pursuant to family arrangement may be exempted from 11UA mandate</w:t>
            </w:r>
          </w:p>
          <w:p w14:paraId="566B8C32" w14:textId="4CF75D81" w:rsidR="00BB69E3" w:rsidRPr="004179E6" w:rsidRDefault="00BB69E3" w:rsidP="00AA128D">
            <w:pPr>
              <w:pStyle w:val="ListParagraph"/>
              <w:widowControl/>
              <w:numPr>
                <w:ilvl w:val="1"/>
                <w:numId w:val="1"/>
              </w:numPr>
              <w:autoSpaceDE/>
              <w:autoSpaceDN/>
              <w:spacing w:after="160" w:line="276" w:lineRule="auto"/>
              <w:ind w:left="720"/>
              <w:jc w:val="both"/>
              <w:rPr>
                <w:rFonts w:asciiTheme="minorHAnsi" w:hAnsiTheme="minorHAnsi" w:cstheme="minorHAnsi"/>
              </w:rPr>
            </w:pPr>
            <w:r w:rsidRPr="004179E6">
              <w:rPr>
                <w:rFonts w:asciiTheme="minorHAnsi" w:hAnsiTheme="minorHAnsi" w:cstheme="minorHAnsi"/>
              </w:rPr>
              <w:t>Transfer of shares of a listed company through an off-the-exchange transaction at a pre-determined value (where SEBI takeover code is applicable)</w:t>
            </w:r>
          </w:p>
          <w:p w14:paraId="0CEB9C8F" w14:textId="2B853D79" w:rsidR="00430FD3" w:rsidRPr="004179E6" w:rsidRDefault="00430FD3" w:rsidP="00AA128D">
            <w:pPr>
              <w:pStyle w:val="ListParagraph"/>
              <w:widowControl/>
              <w:numPr>
                <w:ilvl w:val="1"/>
                <w:numId w:val="1"/>
              </w:numPr>
              <w:autoSpaceDE/>
              <w:autoSpaceDN/>
              <w:spacing w:after="160" w:line="276" w:lineRule="auto"/>
              <w:ind w:left="720"/>
              <w:jc w:val="both"/>
              <w:rPr>
                <w:rFonts w:asciiTheme="minorHAnsi" w:hAnsiTheme="minorHAnsi" w:cstheme="minorHAnsi"/>
                <w:color w:val="000000" w:themeColor="text1"/>
              </w:rPr>
            </w:pPr>
            <w:r w:rsidRPr="004179E6">
              <w:rPr>
                <w:rFonts w:asciiTheme="minorHAnsi" w:hAnsiTheme="minorHAnsi" w:cstheme="minorHAnsi"/>
                <w:color w:val="000000" w:themeColor="text1"/>
              </w:rPr>
              <w:t>Transfer of shares at commercial fair value as substantiated by independent valuer’s report which may be lower than 11UA value</w:t>
            </w:r>
          </w:p>
          <w:p w14:paraId="4830F640" w14:textId="180FFD6B" w:rsidR="00430FD3" w:rsidRPr="004179E6" w:rsidRDefault="00430FD3" w:rsidP="00AA128D">
            <w:pPr>
              <w:pStyle w:val="ListParagraph"/>
              <w:widowControl/>
              <w:numPr>
                <w:ilvl w:val="1"/>
                <w:numId w:val="1"/>
              </w:numPr>
              <w:autoSpaceDE/>
              <w:autoSpaceDN/>
              <w:spacing w:after="160" w:line="276" w:lineRule="auto"/>
              <w:ind w:left="720"/>
              <w:jc w:val="both"/>
              <w:rPr>
                <w:rFonts w:asciiTheme="minorHAnsi" w:hAnsiTheme="minorHAnsi" w:cstheme="minorHAnsi"/>
              </w:rPr>
            </w:pPr>
            <w:r w:rsidRPr="004179E6">
              <w:rPr>
                <w:rFonts w:asciiTheme="minorHAnsi" w:hAnsiTheme="minorHAnsi" w:cstheme="minorHAnsi"/>
              </w:rPr>
              <w:t>Transfer of shares by NR to resident at commercial fair value less than 11UA due to FEMA restrictions which may not permit transfer at more than commercial FMV</w:t>
            </w:r>
          </w:p>
          <w:p w14:paraId="76EE48AE" w14:textId="4BBF9CDE" w:rsidR="00B620E1" w:rsidRPr="004179E6" w:rsidRDefault="00B620E1" w:rsidP="00AA128D">
            <w:pPr>
              <w:spacing w:after="160" w:line="276" w:lineRule="auto"/>
              <w:jc w:val="both"/>
              <w:rPr>
                <w:rFonts w:asciiTheme="minorHAnsi" w:hAnsiTheme="minorHAnsi" w:cstheme="minorHAnsi"/>
              </w:rPr>
            </w:pPr>
            <w:r w:rsidRPr="004179E6">
              <w:rPr>
                <w:rFonts w:asciiTheme="minorHAnsi" w:hAnsiTheme="minorHAnsi" w:cstheme="minorHAnsi"/>
                <w:b/>
              </w:rPr>
              <w:t>Recommendation</w:t>
            </w:r>
            <w:r w:rsidRPr="004179E6">
              <w:rPr>
                <w:rFonts w:asciiTheme="minorHAnsi" w:hAnsiTheme="minorHAnsi" w:cstheme="minorHAnsi"/>
              </w:rPr>
              <w:t>:</w:t>
            </w:r>
          </w:p>
          <w:p w14:paraId="48E948A2" w14:textId="10DB518B" w:rsidR="00337401" w:rsidRPr="004179E6" w:rsidRDefault="00B620E1"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 xml:space="preserve">Hence, it is recommended that </w:t>
            </w:r>
            <w:r w:rsidR="002D4842">
              <w:rPr>
                <w:rFonts w:asciiTheme="minorHAnsi" w:hAnsiTheme="minorHAnsi" w:cstheme="minorHAnsi"/>
              </w:rPr>
              <w:t xml:space="preserve">draft Rule 58 </w:t>
            </w:r>
            <w:r w:rsidR="00E000A3">
              <w:rPr>
                <w:rFonts w:asciiTheme="minorHAnsi" w:hAnsiTheme="minorHAnsi" w:cstheme="minorHAnsi"/>
              </w:rPr>
              <w:t>which provide for exceptions to which provisions of s.92</w:t>
            </w:r>
            <w:r w:rsidR="00452F5E">
              <w:rPr>
                <w:rFonts w:asciiTheme="minorHAnsi" w:hAnsiTheme="minorHAnsi" w:cstheme="minorHAnsi"/>
              </w:rPr>
              <w:t xml:space="preserve">(2)(m) and s.79 of ITA 2025 shall not </w:t>
            </w:r>
            <w:r w:rsidR="000F32BA">
              <w:rPr>
                <w:rFonts w:asciiTheme="minorHAnsi" w:hAnsiTheme="minorHAnsi" w:cstheme="minorHAnsi"/>
              </w:rPr>
              <w:t>apply,</w:t>
            </w:r>
            <w:r w:rsidR="00452F5E">
              <w:rPr>
                <w:rFonts w:asciiTheme="minorHAnsi" w:hAnsiTheme="minorHAnsi" w:cstheme="minorHAnsi"/>
              </w:rPr>
              <w:t xml:space="preserve"> should be amended to include the above referred cases. </w:t>
            </w:r>
          </w:p>
        </w:tc>
      </w:tr>
      <w:tr w:rsidR="003C3299" w:rsidRPr="004179E6" w14:paraId="2E8A8F47" w14:textId="77777777" w:rsidTr="00210D4C">
        <w:trPr>
          <w:trHeight w:val="20"/>
        </w:trPr>
        <w:tc>
          <w:tcPr>
            <w:tcW w:w="512" w:type="dxa"/>
          </w:tcPr>
          <w:p w14:paraId="2A4E3024" w14:textId="77777777" w:rsidR="005A0658" w:rsidRPr="004179E6" w:rsidRDefault="005A0658"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14999884" w14:textId="33E50104" w:rsidR="005A0658" w:rsidRPr="006A70DB" w:rsidRDefault="005A0658" w:rsidP="00AA128D">
            <w:pPr>
              <w:spacing w:after="160" w:line="276" w:lineRule="auto"/>
              <w:rPr>
                <w:rFonts w:asciiTheme="minorHAnsi" w:hAnsiTheme="minorHAnsi" w:cstheme="minorHAnsi"/>
                <w:b/>
              </w:rPr>
            </w:pPr>
            <w:r w:rsidRPr="006A70DB">
              <w:rPr>
                <w:rFonts w:asciiTheme="minorHAnsi" w:hAnsiTheme="minorHAnsi" w:cstheme="minorHAnsi"/>
                <w:b/>
              </w:rPr>
              <w:t xml:space="preserve">Clarification on </w:t>
            </w:r>
            <w:r w:rsidR="00391DEB" w:rsidRPr="006A70DB">
              <w:rPr>
                <w:rFonts w:asciiTheme="minorHAnsi" w:hAnsiTheme="minorHAnsi" w:cstheme="minorHAnsi"/>
                <w:b/>
              </w:rPr>
              <w:t xml:space="preserve">non- </w:t>
            </w:r>
            <w:r w:rsidRPr="006A70DB">
              <w:rPr>
                <w:rFonts w:asciiTheme="minorHAnsi" w:hAnsiTheme="minorHAnsi" w:cstheme="minorHAnsi"/>
                <w:b/>
              </w:rPr>
              <w:t>applicability of anti-abuse provisions</w:t>
            </w:r>
            <w:r w:rsidR="00391DEB" w:rsidRPr="006A70DB">
              <w:rPr>
                <w:rFonts w:asciiTheme="minorHAnsi" w:hAnsiTheme="minorHAnsi" w:cstheme="minorHAnsi"/>
                <w:b/>
              </w:rPr>
              <w:t xml:space="preserve"> of s.56(2)(x) </w:t>
            </w:r>
            <w:r w:rsidR="00DA08B9" w:rsidRPr="006A70DB">
              <w:rPr>
                <w:rFonts w:asciiTheme="minorHAnsi" w:hAnsiTheme="minorHAnsi" w:cstheme="minorHAnsi"/>
                <w:b/>
              </w:rPr>
              <w:t xml:space="preserve">of the </w:t>
            </w:r>
            <w:r w:rsidR="00DA08B9" w:rsidRPr="006A70DB">
              <w:rPr>
                <w:rFonts w:asciiTheme="minorHAnsi" w:hAnsiTheme="minorHAnsi" w:cstheme="minorHAnsi"/>
                <w:b/>
              </w:rPr>
              <w:lastRenderedPageBreak/>
              <w:t>ITA, 1961 (corresponding S. 92(2)(m) of the ITA, 2025)</w:t>
            </w:r>
            <w:r w:rsidR="00391DEB" w:rsidRPr="006A70DB">
              <w:rPr>
                <w:rFonts w:asciiTheme="minorHAnsi" w:hAnsiTheme="minorHAnsi" w:cstheme="minorHAnsi"/>
                <w:b/>
              </w:rPr>
              <w:t xml:space="preserve"> </w:t>
            </w:r>
            <w:r w:rsidR="001338B8" w:rsidRPr="006A70DB">
              <w:rPr>
                <w:rFonts w:asciiTheme="minorHAnsi" w:hAnsiTheme="minorHAnsi" w:cstheme="minorHAnsi"/>
                <w:b/>
              </w:rPr>
              <w:t>on issue of shares where there is no tax abuse</w:t>
            </w:r>
          </w:p>
        </w:tc>
        <w:tc>
          <w:tcPr>
            <w:tcW w:w="10986" w:type="dxa"/>
          </w:tcPr>
          <w:p w14:paraId="454B5589" w14:textId="77777777" w:rsidR="000F32BA" w:rsidRPr="004179E6" w:rsidRDefault="000F32BA" w:rsidP="00AA128D">
            <w:pPr>
              <w:spacing w:after="160" w:line="276" w:lineRule="auto"/>
              <w:jc w:val="both"/>
              <w:rPr>
                <w:rFonts w:asciiTheme="minorHAnsi" w:hAnsiTheme="minorHAnsi" w:cstheme="minorHAnsi"/>
                <w:b/>
                <w:bCs/>
                <w:lang w:val="en-GB"/>
              </w:rPr>
            </w:pPr>
            <w:r w:rsidRPr="004179E6">
              <w:rPr>
                <w:rFonts w:asciiTheme="minorHAnsi" w:hAnsiTheme="minorHAnsi" w:cstheme="minorHAnsi"/>
                <w:b/>
                <w:bCs/>
                <w:lang w:val="en-GB"/>
              </w:rPr>
              <w:lastRenderedPageBreak/>
              <w:t>Rationale and Issue:</w:t>
            </w:r>
          </w:p>
          <w:p w14:paraId="44B9B514" w14:textId="42029971" w:rsidR="005A0658" w:rsidRPr="004179E6" w:rsidRDefault="005A0658" w:rsidP="00AA128D">
            <w:pPr>
              <w:pStyle w:val="ListParagraph"/>
              <w:widowControl/>
              <w:numPr>
                <w:ilvl w:val="0"/>
                <w:numId w:val="26"/>
              </w:numPr>
              <w:autoSpaceDE/>
              <w:autoSpaceDN/>
              <w:spacing w:after="160" w:line="276" w:lineRule="auto"/>
              <w:ind w:left="286" w:hanging="283"/>
              <w:jc w:val="both"/>
              <w:rPr>
                <w:rFonts w:asciiTheme="minorHAnsi" w:hAnsiTheme="minorHAnsi" w:cstheme="minorHAnsi"/>
                <w:lang w:val="en-GB"/>
              </w:rPr>
            </w:pPr>
            <w:r w:rsidRPr="004179E6">
              <w:rPr>
                <w:rFonts w:asciiTheme="minorHAnsi" w:hAnsiTheme="minorHAnsi" w:cstheme="minorHAnsi"/>
                <w:lang w:val="en-GB"/>
              </w:rPr>
              <w:lastRenderedPageBreak/>
              <w:t>As per the Section 56(2)(x)</w:t>
            </w:r>
            <w:r w:rsidR="00CA45BE">
              <w:rPr>
                <w:rFonts w:asciiTheme="minorHAnsi" w:hAnsiTheme="minorHAnsi" w:cstheme="minorHAnsi"/>
                <w:lang w:val="en-GB"/>
              </w:rPr>
              <w:t xml:space="preserve"> of the ITA, 1961 (</w:t>
            </w:r>
            <w:r w:rsidR="00D6554C">
              <w:rPr>
                <w:rFonts w:asciiTheme="minorHAnsi" w:hAnsiTheme="minorHAnsi" w:cstheme="minorHAnsi"/>
                <w:lang w:val="en-GB"/>
              </w:rPr>
              <w:t>S. 92(2)(m) of the ITA, 2025)</w:t>
            </w:r>
            <w:r w:rsidRPr="004179E6">
              <w:rPr>
                <w:rFonts w:asciiTheme="minorHAnsi" w:hAnsiTheme="minorHAnsi" w:cstheme="minorHAnsi"/>
                <w:lang w:val="en-GB"/>
              </w:rPr>
              <w:t>, if any person “receives” any property on or after 1 April 2017, without consideration or for consideration which is less than the aggregate fair market value by an amount exceeding Rs 50,000, the difference shall be taxable under the head ‘Income from Other Sources’ in the hands of the recipient.</w:t>
            </w:r>
          </w:p>
          <w:p w14:paraId="64311E39" w14:textId="3800A186" w:rsidR="005A0658" w:rsidRPr="004179E6" w:rsidRDefault="005A0658" w:rsidP="00AA128D">
            <w:pPr>
              <w:pStyle w:val="ListParagraph"/>
              <w:widowControl/>
              <w:numPr>
                <w:ilvl w:val="0"/>
                <w:numId w:val="26"/>
              </w:numPr>
              <w:autoSpaceDE/>
              <w:autoSpaceDN/>
              <w:spacing w:after="160" w:line="276" w:lineRule="auto"/>
              <w:ind w:left="286" w:hanging="283"/>
              <w:jc w:val="both"/>
              <w:rPr>
                <w:rFonts w:asciiTheme="minorHAnsi" w:hAnsiTheme="minorHAnsi" w:cstheme="minorHAnsi"/>
                <w:lang w:val="en-GB"/>
              </w:rPr>
            </w:pPr>
            <w:r w:rsidRPr="004179E6">
              <w:rPr>
                <w:rFonts w:asciiTheme="minorHAnsi" w:hAnsiTheme="minorHAnsi" w:cstheme="minorHAnsi"/>
                <w:lang w:val="en-GB"/>
              </w:rPr>
              <w:t>The intent of legislation is to bring within ambit of taxation instances of ‘transfer’ for inadequate consideration and not ‘issue’ of shares</w:t>
            </w:r>
            <w:r w:rsidR="00A92957" w:rsidRPr="004179E6">
              <w:rPr>
                <w:rFonts w:asciiTheme="minorHAnsi" w:hAnsiTheme="minorHAnsi" w:cstheme="minorHAnsi"/>
                <w:lang w:val="en-GB"/>
              </w:rPr>
              <w:t xml:space="preserve"> – at least where there is no tax abuse involved</w:t>
            </w:r>
            <w:r w:rsidRPr="004179E6">
              <w:rPr>
                <w:rFonts w:asciiTheme="minorHAnsi" w:hAnsiTheme="minorHAnsi" w:cstheme="minorHAnsi"/>
                <w:lang w:val="en-GB"/>
              </w:rPr>
              <w:t>.</w:t>
            </w:r>
          </w:p>
          <w:p w14:paraId="4B615389" w14:textId="012FC0B9" w:rsidR="005A0658" w:rsidRPr="004179E6" w:rsidRDefault="005A0658" w:rsidP="00AA128D">
            <w:pPr>
              <w:pStyle w:val="ListParagraph"/>
              <w:widowControl/>
              <w:numPr>
                <w:ilvl w:val="0"/>
                <w:numId w:val="26"/>
              </w:numPr>
              <w:autoSpaceDE/>
              <w:autoSpaceDN/>
              <w:spacing w:after="160" w:line="276" w:lineRule="auto"/>
              <w:ind w:left="286" w:hanging="283"/>
              <w:jc w:val="both"/>
              <w:rPr>
                <w:rFonts w:asciiTheme="minorHAnsi" w:hAnsiTheme="minorHAnsi" w:cstheme="minorHAnsi"/>
                <w:lang w:val="en-GB"/>
              </w:rPr>
            </w:pPr>
            <w:r w:rsidRPr="004179E6">
              <w:rPr>
                <w:rFonts w:asciiTheme="minorHAnsi" w:hAnsiTheme="minorHAnsi" w:cstheme="minorHAnsi"/>
                <w:lang w:val="en-GB"/>
              </w:rPr>
              <w:t xml:space="preserve">The Income tax rules 11U </w:t>
            </w:r>
            <w:r w:rsidR="00D6554C">
              <w:rPr>
                <w:rFonts w:asciiTheme="minorHAnsi" w:hAnsiTheme="minorHAnsi" w:cstheme="minorHAnsi"/>
                <w:lang w:val="en-GB"/>
              </w:rPr>
              <w:t>of the IT</w:t>
            </w:r>
            <w:r w:rsidR="00EA5FB6">
              <w:rPr>
                <w:rFonts w:asciiTheme="minorHAnsi" w:hAnsiTheme="minorHAnsi" w:cstheme="minorHAnsi"/>
                <w:lang w:val="en-GB"/>
              </w:rPr>
              <w:t xml:space="preserve"> </w:t>
            </w:r>
            <w:r w:rsidR="00D6554C">
              <w:rPr>
                <w:rFonts w:asciiTheme="minorHAnsi" w:hAnsiTheme="minorHAnsi" w:cstheme="minorHAnsi"/>
                <w:lang w:val="en-GB"/>
              </w:rPr>
              <w:t>R</w:t>
            </w:r>
            <w:r w:rsidR="00EA5FB6">
              <w:rPr>
                <w:rFonts w:asciiTheme="minorHAnsi" w:hAnsiTheme="minorHAnsi" w:cstheme="minorHAnsi"/>
                <w:lang w:val="en-GB"/>
              </w:rPr>
              <w:t>ules</w:t>
            </w:r>
            <w:r w:rsidR="00D6554C">
              <w:rPr>
                <w:rFonts w:asciiTheme="minorHAnsi" w:hAnsiTheme="minorHAnsi" w:cstheme="minorHAnsi"/>
                <w:lang w:val="en-GB"/>
              </w:rPr>
              <w:t>, 1962 (</w:t>
            </w:r>
            <w:r w:rsidR="005F3BEB">
              <w:rPr>
                <w:rFonts w:asciiTheme="minorHAnsi" w:hAnsiTheme="minorHAnsi" w:cstheme="minorHAnsi"/>
                <w:lang w:val="en-GB"/>
              </w:rPr>
              <w:t>R</w:t>
            </w:r>
            <w:r w:rsidR="00EA5FB6">
              <w:rPr>
                <w:rFonts w:asciiTheme="minorHAnsi" w:hAnsiTheme="minorHAnsi" w:cstheme="minorHAnsi"/>
                <w:lang w:val="en-GB"/>
              </w:rPr>
              <w:t>ule</w:t>
            </w:r>
            <w:r w:rsidR="005F3BEB">
              <w:rPr>
                <w:rFonts w:asciiTheme="minorHAnsi" w:hAnsiTheme="minorHAnsi" w:cstheme="minorHAnsi"/>
                <w:lang w:val="en-GB"/>
              </w:rPr>
              <w:t xml:space="preserve"> </w:t>
            </w:r>
            <w:r w:rsidR="0000371F">
              <w:rPr>
                <w:rFonts w:asciiTheme="minorHAnsi" w:hAnsiTheme="minorHAnsi" w:cstheme="minorHAnsi"/>
                <w:lang w:val="en-GB"/>
              </w:rPr>
              <w:t>56 of the Draft IT</w:t>
            </w:r>
            <w:r w:rsidR="00EA5FB6">
              <w:rPr>
                <w:rFonts w:asciiTheme="minorHAnsi" w:hAnsiTheme="minorHAnsi" w:cstheme="minorHAnsi"/>
                <w:lang w:val="en-GB"/>
              </w:rPr>
              <w:t xml:space="preserve"> </w:t>
            </w:r>
            <w:r w:rsidR="0000371F">
              <w:rPr>
                <w:rFonts w:asciiTheme="minorHAnsi" w:hAnsiTheme="minorHAnsi" w:cstheme="minorHAnsi"/>
                <w:lang w:val="en-GB"/>
              </w:rPr>
              <w:t>R</w:t>
            </w:r>
            <w:r w:rsidR="00EA5FB6">
              <w:rPr>
                <w:rFonts w:asciiTheme="minorHAnsi" w:hAnsiTheme="minorHAnsi" w:cstheme="minorHAnsi"/>
                <w:lang w:val="en-GB"/>
              </w:rPr>
              <w:t>ules</w:t>
            </w:r>
            <w:r w:rsidR="0000371F">
              <w:rPr>
                <w:rFonts w:asciiTheme="minorHAnsi" w:hAnsiTheme="minorHAnsi" w:cstheme="minorHAnsi"/>
                <w:lang w:val="en-GB"/>
              </w:rPr>
              <w:t>, 2026)</w:t>
            </w:r>
            <w:r w:rsidRPr="004179E6">
              <w:rPr>
                <w:rFonts w:asciiTheme="minorHAnsi" w:hAnsiTheme="minorHAnsi" w:cstheme="minorHAnsi"/>
                <w:lang w:val="en-GB"/>
              </w:rPr>
              <w:t xml:space="preserve"> requires determination of value of share based on audited balance sheet as on the transaction date. This is very difficult to implement as audited balance sheet is generally available only on yearly / half yearly basis.</w:t>
            </w:r>
          </w:p>
          <w:p w14:paraId="6FCE9F02" w14:textId="77777777" w:rsidR="005A0658" w:rsidRPr="004179E6" w:rsidRDefault="005A0658" w:rsidP="00AA128D">
            <w:pPr>
              <w:spacing w:after="160" w:line="276" w:lineRule="auto"/>
              <w:jc w:val="both"/>
              <w:rPr>
                <w:rFonts w:asciiTheme="minorHAnsi" w:hAnsiTheme="minorHAnsi" w:cstheme="minorHAnsi"/>
                <w:b/>
                <w:bCs/>
                <w:lang w:val="en-GB"/>
              </w:rPr>
            </w:pPr>
            <w:r w:rsidRPr="004179E6">
              <w:rPr>
                <w:rFonts w:asciiTheme="minorHAnsi" w:hAnsiTheme="minorHAnsi" w:cstheme="minorHAnsi"/>
                <w:b/>
                <w:bCs/>
                <w:lang w:val="en-GB"/>
              </w:rPr>
              <w:t>Recommendation:</w:t>
            </w:r>
          </w:p>
          <w:p w14:paraId="64B713AC" w14:textId="77777777" w:rsidR="005A0658" w:rsidRPr="004179E6" w:rsidRDefault="005A0658" w:rsidP="00AA128D">
            <w:pPr>
              <w:pStyle w:val="ListParagraph"/>
              <w:widowControl/>
              <w:numPr>
                <w:ilvl w:val="0"/>
                <w:numId w:val="26"/>
              </w:numPr>
              <w:autoSpaceDE/>
              <w:autoSpaceDN/>
              <w:spacing w:after="160" w:line="276" w:lineRule="auto"/>
              <w:ind w:left="286" w:hanging="283"/>
              <w:jc w:val="both"/>
              <w:rPr>
                <w:rFonts w:asciiTheme="minorHAnsi" w:hAnsiTheme="minorHAnsi" w:cstheme="minorHAnsi"/>
                <w:lang w:val="en-GB"/>
              </w:rPr>
            </w:pPr>
            <w:r w:rsidRPr="004179E6">
              <w:rPr>
                <w:rFonts w:asciiTheme="minorHAnsi" w:hAnsiTheme="minorHAnsi" w:cstheme="minorHAnsi"/>
                <w:lang w:val="en-GB"/>
              </w:rPr>
              <w:t>Suitable clarifications may be issued that section 56(2)(x) is applicable only for transfer of shares and not for issue of shares.</w:t>
            </w:r>
          </w:p>
          <w:p w14:paraId="4E5CE70C" w14:textId="77777777" w:rsidR="005A0658" w:rsidRPr="004179E6" w:rsidRDefault="005A0658" w:rsidP="00AA128D">
            <w:pPr>
              <w:pStyle w:val="ListParagraph"/>
              <w:widowControl/>
              <w:numPr>
                <w:ilvl w:val="0"/>
                <w:numId w:val="26"/>
              </w:numPr>
              <w:autoSpaceDE/>
              <w:autoSpaceDN/>
              <w:spacing w:after="160" w:line="276" w:lineRule="auto"/>
              <w:ind w:left="286" w:hanging="283"/>
              <w:jc w:val="both"/>
              <w:rPr>
                <w:rFonts w:asciiTheme="minorHAnsi" w:hAnsiTheme="minorHAnsi" w:cstheme="minorHAnsi"/>
                <w:lang w:val="en-GB"/>
              </w:rPr>
            </w:pPr>
            <w:r w:rsidRPr="004179E6">
              <w:rPr>
                <w:rFonts w:asciiTheme="minorHAnsi" w:hAnsiTheme="minorHAnsi" w:cstheme="minorHAnsi"/>
                <w:lang w:val="en-GB"/>
              </w:rPr>
              <w:t>Circular may be issued to direct the tax authorities to implement the provisions only in case of tax abuse and not otherwise.</w:t>
            </w:r>
          </w:p>
          <w:p w14:paraId="22A85326" w14:textId="65607C1F" w:rsidR="005A0658" w:rsidRPr="004179E6" w:rsidRDefault="005A0658" w:rsidP="00AA128D">
            <w:pPr>
              <w:pStyle w:val="ListParagraph"/>
              <w:widowControl/>
              <w:numPr>
                <w:ilvl w:val="0"/>
                <w:numId w:val="26"/>
              </w:numPr>
              <w:autoSpaceDE/>
              <w:autoSpaceDN/>
              <w:spacing w:after="160" w:line="276" w:lineRule="auto"/>
              <w:ind w:left="286" w:hanging="283"/>
              <w:jc w:val="both"/>
              <w:rPr>
                <w:rFonts w:asciiTheme="minorHAnsi" w:hAnsiTheme="minorHAnsi" w:cstheme="minorHAnsi"/>
                <w:lang w:val="en-GB"/>
              </w:rPr>
            </w:pPr>
            <w:r w:rsidRPr="004179E6">
              <w:rPr>
                <w:rFonts w:asciiTheme="minorHAnsi" w:hAnsiTheme="minorHAnsi" w:cstheme="minorHAnsi"/>
                <w:lang w:val="en-GB"/>
              </w:rPr>
              <w:t>Separately, suitable amendment be made to consider the latest audited balance sheet, which is not older than six months from the transaction date for the purpose of valuation as per Rule 11U</w:t>
            </w:r>
            <w:r w:rsidR="00650D73">
              <w:rPr>
                <w:rFonts w:asciiTheme="minorHAnsi" w:hAnsiTheme="minorHAnsi" w:cstheme="minorHAnsi"/>
                <w:lang w:val="en-GB"/>
              </w:rPr>
              <w:t xml:space="preserve"> of the IT</w:t>
            </w:r>
            <w:r w:rsidR="00031644">
              <w:rPr>
                <w:rFonts w:asciiTheme="minorHAnsi" w:hAnsiTheme="minorHAnsi" w:cstheme="minorHAnsi"/>
                <w:lang w:val="en-GB"/>
              </w:rPr>
              <w:t xml:space="preserve"> </w:t>
            </w:r>
            <w:r w:rsidR="00650D73">
              <w:rPr>
                <w:rFonts w:asciiTheme="minorHAnsi" w:hAnsiTheme="minorHAnsi" w:cstheme="minorHAnsi"/>
                <w:lang w:val="en-GB"/>
              </w:rPr>
              <w:t>R</w:t>
            </w:r>
            <w:r w:rsidR="00031644">
              <w:rPr>
                <w:rFonts w:asciiTheme="minorHAnsi" w:hAnsiTheme="minorHAnsi" w:cstheme="minorHAnsi"/>
                <w:lang w:val="en-GB"/>
              </w:rPr>
              <w:t>ules</w:t>
            </w:r>
            <w:r w:rsidR="00650D73">
              <w:rPr>
                <w:rFonts w:asciiTheme="minorHAnsi" w:hAnsiTheme="minorHAnsi" w:cstheme="minorHAnsi"/>
                <w:lang w:val="en-GB"/>
              </w:rPr>
              <w:t>, 1962</w:t>
            </w:r>
            <w:r w:rsidR="00A1419B">
              <w:rPr>
                <w:rFonts w:asciiTheme="minorHAnsi" w:hAnsiTheme="minorHAnsi" w:cstheme="minorHAnsi"/>
                <w:lang w:val="en-GB"/>
              </w:rPr>
              <w:t xml:space="preserve"> (Rule 56 of the Draft IT Rules, 2026).</w:t>
            </w:r>
          </w:p>
        </w:tc>
      </w:tr>
      <w:tr w:rsidR="003C3299" w:rsidRPr="004179E6" w14:paraId="21D30DFD" w14:textId="77777777" w:rsidTr="00210D4C">
        <w:trPr>
          <w:trHeight w:val="20"/>
        </w:trPr>
        <w:tc>
          <w:tcPr>
            <w:tcW w:w="512" w:type="dxa"/>
          </w:tcPr>
          <w:p w14:paraId="31E1D4B6" w14:textId="77777777" w:rsidR="00B620E1" w:rsidRPr="004179E6" w:rsidRDefault="00B620E1"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406C1DFF" w14:textId="054E5DAC" w:rsidR="00B620E1" w:rsidRPr="006A70DB" w:rsidRDefault="00B620E1" w:rsidP="00AA128D">
            <w:pPr>
              <w:spacing w:after="160" w:line="276" w:lineRule="auto"/>
              <w:rPr>
                <w:rFonts w:asciiTheme="minorHAnsi" w:hAnsiTheme="minorHAnsi" w:cstheme="minorHAnsi"/>
                <w:b/>
              </w:rPr>
            </w:pPr>
            <w:r w:rsidRPr="006A70DB">
              <w:rPr>
                <w:rFonts w:asciiTheme="minorHAnsi" w:hAnsiTheme="minorHAnsi" w:cstheme="minorHAnsi"/>
                <w:b/>
              </w:rPr>
              <w:t xml:space="preserve">Section 50B </w:t>
            </w:r>
            <w:r w:rsidR="00CC01CD" w:rsidRPr="006A70DB">
              <w:rPr>
                <w:rFonts w:asciiTheme="minorHAnsi" w:hAnsiTheme="minorHAnsi" w:cstheme="minorHAnsi"/>
                <w:b/>
              </w:rPr>
              <w:t xml:space="preserve">of ITA 1961 </w:t>
            </w:r>
            <w:r w:rsidRPr="006A70DB">
              <w:rPr>
                <w:rFonts w:asciiTheme="minorHAnsi" w:hAnsiTheme="minorHAnsi" w:cstheme="minorHAnsi"/>
                <w:b/>
              </w:rPr>
              <w:t>and Rule 11UAE</w:t>
            </w:r>
            <w:r w:rsidR="00CC01CD" w:rsidRPr="006A70DB">
              <w:rPr>
                <w:rFonts w:asciiTheme="minorHAnsi" w:hAnsiTheme="minorHAnsi" w:cstheme="minorHAnsi"/>
                <w:b/>
              </w:rPr>
              <w:t xml:space="preserve"> of IT Rules 1962</w:t>
            </w:r>
          </w:p>
          <w:p w14:paraId="3FAA0D7A" w14:textId="0B6E5260" w:rsidR="00B620E1" w:rsidRPr="006A70DB" w:rsidRDefault="00937A51" w:rsidP="00AA128D">
            <w:pPr>
              <w:spacing w:after="160" w:line="276" w:lineRule="auto"/>
              <w:rPr>
                <w:rFonts w:asciiTheme="minorHAnsi" w:hAnsiTheme="minorHAnsi" w:cstheme="minorHAnsi"/>
                <w:b/>
              </w:rPr>
            </w:pPr>
            <w:r w:rsidRPr="006A70DB">
              <w:rPr>
                <w:rFonts w:asciiTheme="minorHAnsi" w:hAnsiTheme="minorHAnsi" w:cstheme="minorHAnsi"/>
                <w:b/>
              </w:rPr>
              <w:t>(Corresponding S. 77 in ITA 2025</w:t>
            </w:r>
            <w:r w:rsidR="00196BB7" w:rsidRPr="006A70DB">
              <w:rPr>
                <w:rFonts w:asciiTheme="minorHAnsi" w:hAnsiTheme="minorHAnsi" w:cstheme="minorHAnsi"/>
                <w:b/>
              </w:rPr>
              <w:t xml:space="preserve"> and </w:t>
            </w:r>
            <w:r w:rsidR="00084B9F" w:rsidRPr="006A70DB">
              <w:rPr>
                <w:rFonts w:asciiTheme="minorHAnsi" w:hAnsiTheme="minorHAnsi" w:cstheme="minorHAnsi"/>
                <w:b/>
              </w:rPr>
              <w:t xml:space="preserve">Rule 53 of Draft IT </w:t>
            </w:r>
            <w:r w:rsidR="00084B9F" w:rsidRPr="006A70DB">
              <w:rPr>
                <w:rFonts w:asciiTheme="minorHAnsi" w:hAnsiTheme="minorHAnsi" w:cstheme="minorHAnsi"/>
                <w:b/>
              </w:rPr>
              <w:lastRenderedPageBreak/>
              <w:t>Rules 2026</w:t>
            </w:r>
            <w:r w:rsidRPr="006A70DB">
              <w:rPr>
                <w:rFonts w:asciiTheme="minorHAnsi" w:hAnsiTheme="minorHAnsi" w:cstheme="minorHAnsi"/>
                <w:b/>
              </w:rPr>
              <w:t>)</w:t>
            </w:r>
          </w:p>
        </w:tc>
        <w:tc>
          <w:tcPr>
            <w:tcW w:w="10986" w:type="dxa"/>
          </w:tcPr>
          <w:p w14:paraId="79D3E678" w14:textId="77777777" w:rsidR="00B620E1" w:rsidRPr="004179E6" w:rsidRDefault="00B620E1" w:rsidP="00AA128D">
            <w:pPr>
              <w:spacing w:after="160" w:line="276" w:lineRule="auto"/>
              <w:jc w:val="both"/>
              <w:rPr>
                <w:rFonts w:asciiTheme="minorHAnsi" w:hAnsiTheme="minorHAnsi" w:cstheme="minorHAnsi"/>
                <w:b/>
                <w:bCs/>
              </w:rPr>
            </w:pPr>
            <w:r w:rsidRPr="004179E6">
              <w:rPr>
                <w:rFonts w:asciiTheme="minorHAnsi" w:hAnsiTheme="minorHAnsi" w:cstheme="minorHAnsi"/>
                <w:b/>
                <w:bCs/>
              </w:rPr>
              <w:lastRenderedPageBreak/>
              <w:t>Rationale:</w:t>
            </w:r>
          </w:p>
          <w:p w14:paraId="513D920A" w14:textId="25CEF315" w:rsidR="00B620E1" w:rsidRPr="004179E6" w:rsidRDefault="00B620E1" w:rsidP="00AA128D">
            <w:pPr>
              <w:pStyle w:val="ListParagraph"/>
              <w:widowControl/>
              <w:numPr>
                <w:ilvl w:val="0"/>
                <w:numId w:val="8"/>
              </w:numPr>
              <w:autoSpaceDE/>
              <w:autoSpaceDN/>
              <w:spacing w:after="160" w:line="276" w:lineRule="auto"/>
              <w:ind w:left="360"/>
              <w:jc w:val="both"/>
              <w:rPr>
                <w:rFonts w:asciiTheme="minorHAnsi" w:hAnsiTheme="minorHAnsi" w:cstheme="minorHAnsi"/>
                <w:kern w:val="12"/>
                <w:lang w:val="en-IN"/>
              </w:rPr>
            </w:pPr>
            <w:r w:rsidRPr="004179E6">
              <w:rPr>
                <w:rFonts w:asciiTheme="minorHAnsi" w:hAnsiTheme="minorHAnsi" w:cstheme="minorHAnsi"/>
                <w:kern w:val="12"/>
                <w:lang w:val="en-IN"/>
              </w:rPr>
              <w:t xml:space="preserve">Section 50B(2) </w:t>
            </w:r>
            <w:r w:rsidR="00250AFF">
              <w:rPr>
                <w:rFonts w:asciiTheme="minorHAnsi" w:hAnsiTheme="minorHAnsi" w:cstheme="minorHAnsi"/>
                <w:kern w:val="12"/>
                <w:lang w:val="en-IN"/>
              </w:rPr>
              <w:t>of the ITA, 1961 (corresponding S.</w:t>
            </w:r>
            <w:r w:rsidRPr="004179E6">
              <w:rPr>
                <w:rFonts w:asciiTheme="minorHAnsi" w:hAnsiTheme="minorHAnsi" w:cstheme="minorHAnsi"/>
                <w:kern w:val="12"/>
                <w:lang w:val="en-IN"/>
              </w:rPr>
              <w:t xml:space="preserve"> </w:t>
            </w:r>
            <w:r w:rsidR="00754D64">
              <w:rPr>
                <w:rFonts w:asciiTheme="minorHAnsi" w:hAnsiTheme="minorHAnsi" w:cstheme="minorHAnsi"/>
                <w:kern w:val="12"/>
                <w:lang w:val="en-IN"/>
              </w:rPr>
              <w:t>77</w:t>
            </w:r>
            <w:r w:rsidR="00F97382">
              <w:rPr>
                <w:rFonts w:asciiTheme="minorHAnsi" w:hAnsiTheme="minorHAnsi" w:cstheme="minorHAnsi"/>
                <w:kern w:val="12"/>
                <w:lang w:val="en-IN"/>
              </w:rPr>
              <w:t xml:space="preserve"> of the ITA, 202</w:t>
            </w:r>
            <w:r w:rsidR="00135BC6">
              <w:rPr>
                <w:rFonts w:asciiTheme="minorHAnsi" w:hAnsiTheme="minorHAnsi" w:cstheme="minorHAnsi"/>
                <w:kern w:val="12"/>
                <w:lang w:val="en-IN"/>
              </w:rPr>
              <w:t>5</w:t>
            </w:r>
            <w:r w:rsidR="00F97382">
              <w:rPr>
                <w:rFonts w:asciiTheme="minorHAnsi" w:hAnsiTheme="minorHAnsi" w:cstheme="minorHAnsi"/>
                <w:kern w:val="12"/>
                <w:lang w:val="en-IN"/>
              </w:rPr>
              <w:t xml:space="preserve">) </w:t>
            </w:r>
            <w:r w:rsidRPr="004179E6">
              <w:rPr>
                <w:rFonts w:asciiTheme="minorHAnsi" w:hAnsiTheme="minorHAnsi" w:cstheme="minorHAnsi"/>
                <w:kern w:val="12"/>
                <w:lang w:val="en-IN"/>
              </w:rPr>
              <w:t xml:space="preserve">was amended by the Finance Act, 2021 (at the enactment stage) and Rule 11UAE </w:t>
            </w:r>
            <w:r w:rsidR="005B22EB">
              <w:rPr>
                <w:rFonts w:asciiTheme="minorHAnsi" w:hAnsiTheme="minorHAnsi" w:cstheme="minorHAnsi"/>
                <w:kern w:val="12"/>
                <w:lang w:val="en-IN"/>
              </w:rPr>
              <w:t>of the IT</w:t>
            </w:r>
            <w:r w:rsidR="00452C08">
              <w:rPr>
                <w:rFonts w:asciiTheme="minorHAnsi" w:hAnsiTheme="minorHAnsi" w:cstheme="minorHAnsi"/>
                <w:kern w:val="12"/>
                <w:lang w:val="en-IN"/>
              </w:rPr>
              <w:t xml:space="preserve"> </w:t>
            </w:r>
            <w:r w:rsidR="005B22EB">
              <w:rPr>
                <w:rFonts w:asciiTheme="minorHAnsi" w:hAnsiTheme="minorHAnsi" w:cstheme="minorHAnsi"/>
                <w:kern w:val="12"/>
                <w:lang w:val="en-IN"/>
              </w:rPr>
              <w:t>R</w:t>
            </w:r>
            <w:r w:rsidR="00452C08">
              <w:rPr>
                <w:rFonts w:asciiTheme="minorHAnsi" w:hAnsiTheme="minorHAnsi" w:cstheme="minorHAnsi"/>
                <w:kern w:val="12"/>
                <w:lang w:val="en-IN"/>
              </w:rPr>
              <w:t>ule</w:t>
            </w:r>
            <w:r w:rsidR="005B22EB">
              <w:rPr>
                <w:rFonts w:asciiTheme="minorHAnsi" w:hAnsiTheme="minorHAnsi" w:cstheme="minorHAnsi"/>
                <w:kern w:val="12"/>
                <w:lang w:val="en-IN"/>
              </w:rPr>
              <w:t xml:space="preserve"> 1962 </w:t>
            </w:r>
            <w:r w:rsidR="00CA4D00">
              <w:rPr>
                <w:rFonts w:asciiTheme="minorHAnsi" w:hAnsiTheme="minorHAnsi" w:cstheme="minorHAnsi"/>
                <w:kern w:val="12"/>
                <w:lang w:val="en-IN"/>
              </w:rPr>
              <w:t>(R</w:t>
            </w:r>
            <w:r w:rsidR="00452C08">
              <w:rPr>
                <w:rFonts w:asciiTheme="minorHAnsi" w:hAnsiTheme="minorHAnsi" w:cstheme="minorHAnsi"/>
                <w:kern w:val="12"/>
                <w:lang w:val="en-IN"/>
              </w:rPr>
              <w:t>ule</w:t>
            </w:r>
            <w:r w:rsidR="00CA4D00">
              <w:rPr>
                <w:rFonts w:asciiTheme="minorHAnsi" w:hAnsiTheme="minorHAnsi" w:cstheme="minorHAnsi"/>
                <w:kern w:val="12"/>
                <w:lang w:val="en-IN"/>
              </w:rPr>
              <w:t xml:space="preserve"> </w:t>
            </w:r>
            <w:r w:rsidR="00607C43">
              <w:rPr>
                <w:rFonts w:asciiTheme="minorHAnsi" w:hAnsiTheme="minorHAnsi" w:cstheme="minorHAnsi"/>
                <w:kern w:val="12"/>
                <w:lang w:val="en-IN"/>
              </w:rPr>
              <w:t>53 of the Draft IT</w:t>
            </w:r>
            <w:r w:rsidR="00452C08">
              <w:rPr>
                <w:rFonts w:asciiTheme="minorHAnsi" w:hAnsiTheme="minorHAnsi" w:cstheme="minorHAnsi"/>
                <w:kern w:val="12"/>
                <w:lang w:val="en-IN"/>
              </w:rPr>
              <w:t xml:space="preserve"> </w:t>
            </w:r>
            <w:r w:rsidR="00607C43">
              <w:rPr>
                <w:rFonts w:asciiTheme="minorHAnsi" w:hAnsiTheme="minorHAnsi" w:cstheme="minorHAnsi"/>
                <w:kern w:val="12"/>
                <w:lang w:val="en-IN"/>
              </w:rPr>
              <w:t>R</w:t>
            </w:r>
            <w:r w:rsidR="00452C08">
              <w:rPr>
                <w:rFonts w:asciiTheme="minorHAnsi" w:hAnsiTheme="minorHAnsi" w:cstheme="minorHAnsi"/>
                <w:kern w:val="12"/>
                <w:lang w:val="en-IN"/>
              </w:rPr>
              <w:t>ule</w:t>
            </w:r>
            <w:r w:rsidR="00607C43">
              <w:rPr>
                <w:rFonts w:asciiTheme="minorHAnsi" w:hAnsiTheme="minorHAnsi" w:cstheme="minorHAnsi"/>
                <w:kern w:val="12"/>
                <w:lang w:val="en-IN"/>
              </w:rPr>
              <w:t>, 2026)</w:t>
            </w:r>
            <w:r w:rsidR="005B22EB">
              <w:rPr>
                <w:rFonts w:asciiTheme="minorHAnsi" w:hAnsiTheme="minorHAnsi" w:cstheme="minorHAnsi"/>
                <w:kern w:val="12"/>
                <w:lang w:val="en-IN"/>
              </w:rPr>
              <w:t xml:space="preserve"> </w:t>
            </w:r>
            <w:r w:rsidRPr="004179E6">
              <w:rPr>
                <w:rFonts w:asciiTheme="minorHAnsi" w:hAnsiTheme="minorHAnsi" w:cstheme="minorHAnsi"/>
                <w:kern w:val="12"/>
                <w:lang w:val="en-IN"/>
              </w:rPr>
              <w:t>was notified on 24-05-2021 to provide for computation of consideration of slump sale/exchange at fair market value (‘FMV’).</w:t>
            </w:r>
          </w:p>
          <w:p w14:paraId="42185AA1" w14:textId="3E4BBABA" w:rsidR="00B620E1" w:rsidRPr="004179E6" w:rsidRDefault="00B620E1" w:rsidP="00AA128D">
            <w:pPr>
              <w:pStyle w:val="ListParagraph"/>
              <w:widowControl/>
              <w:numPr>
                <w:ilvl w:val="0"/>
                <w:numId w:val="8"/>
              </w:numPr>
              <w:autoSpaceDE/>
              <w:autoSpaceDN/>
              <w:spacing w:after="160" w:line="276" w:lineRule="auto"/>
              <w:ind w:left="360"/>
              <w:jc w:val="both"/>
              <w:rPr>
                <w:rFonts w:asciiTheme="minorHAnsi" w:hAnsiTheme="minorHAnsi" w:cstheme="minorHAnsi"/>
                <w:kern w:val="12"/>
                <w:lang w:val="en-IN"/>
              </w:rPr>
            </w:pPr>
            <w:r w:rsidRPr="004179E6">
              <w:rPr>
                <w:rFonts w:asciiTheme="minorHAnsi" w:hAnsiTheme="minorHAnsi" w:cstheme="minorHAnsi"/>
                <w:kern w:val="12"/>
                <w:lang w:val="en-IN"/>
              </w:rPr>
              <w:lastRenderedPageBreak/>
              <w:t>The amended section 50B(2)</w:t>
            </w:r>
            <w:r w:rsidR="00CB56D5">
              <w:rPr>
                <w:rFonts w:asciiTheme="minorHAnsi" w:hAnsiTheme="minorHAnsi" w:cstheme="minorHAnsi"/>
                <w:kern w:val="12"/>
                <w:lang w:val="en-IN"/>
              </w:rPr>
              <w:t xml:space="preserve"> </w:t>
            </w:r>
            <w:r w:rsidRPr="004179E6">
              <w:rPr>
                <w:rFonts w:asciiTheme="minorHAnsi" w:hAnsiTheme="minorHAnsi" w:cstheme="minorHAnsi"/>
                <w:kern w:val="12"/>
                <w:lang w:val="en-IN"/>
              </w:rPr>
              <w:t>provides that FMV of the undertaking as on the date of transfer, calculated in the prescribed manner, shall be deemed to be full value of consideration. This amendment is made effective retrospectively from 01-04-2020 i.e. AY 2021-22. There could be many bonafide situations where the actual transaction value is genuinely lower than Rule 11UAE value. It is for this reason that all anti-abuse provisions like section 56(2)(x)</w:t>
            </w:r>
            <w:r w:rsidR="00616394">
              <w:rPr>
                <w:rFonts w:asciiTheme="minorHAnsi" w:hAnsiTheme="minorHAnsi" w:cstheme="minorHAnsi"/>
                <w:kern w:val="12"/>
                <w:lang w:val="en-IN"/>
              </w:rPr>
              <w:t xml:space="preserve"> </w:t>
            </w:r>
            <w:r w:rsidR="003A4CA7">
              <w:rPr>
                <w:rFonts w:asciiTheme="minorHAnsi" w:hAnsiTheme="minorHAnsi" w:cstheme="minorHAnsi"/>
                <w:kern w:val="12"/>
                <w:lang w:val="en-IN"/>
              </w:rPr>
              <w:t>[</w:t>
            </w:r>
            <w:r w:rsidR="00F21996">
              <w:rPr>
                <w:rFonts w:asciiTheme="minorHAnsi" w:hAnsiTheme="minorHAnsi" w:cstheme="minorHAnsi"/>
                <w:kern w:val="12"/>
                <w:lang w:val="en-IN"/>
              </w:rPr>
              <w:t>S.</w:t>
            </w:r>
            <w:r w:rsidR="003A4CA7">
              <w:rPr>
                <w:rFonts w:asciiTheme="minorHAnsi" w:hAnsiTheme="minorHAnsi" w:cstheme="minorHAnsi"/>
                <w:kern w:val="12"/>
                <w:lang w:val="en-IN"/>
              </w:rPr>
              <w:t>92(2)(m)</w:t>
            </w:r>
            <w:r w:rsidR="00F21996">
              <w:rPr>
                <w:rFonts w:asciiTheme="minorHAnsi" w:hAnsiTheme="minorHAnsi" w:cstheme="minorHAnsi"/>
                <w:kern w:val="12"/>
                <w:lang w:val="en-IN"/>
              </w:rPr>
              <w:t xml:space="preserve"> of ITA 2025</w:t>
            </w:r>
            <w:r w:rsidR="003A4CA7">
              <w:rPr>
                <w:rFonts w:asciiTheme="minorHAnsi" w:hAnsiTheme="minorHAnsi" w:cstheme="minorHAnsi"/>
                <w:kern w:val="12"/>
                <w:lang w:val="en-IN"/>
              </w:rPr>
              <w:t>]</w:t>
            </w:r>
            <w:r w:rsidRPr="004179E6">
              <w:rPr>
                <w:rFonts w:asciiTheme="minorHAnsi" w:hAnsiTheme="minorHAnsi" w:cstheme="minorHAnsi"/>
                <w:kern w:val="12"/>
                <w:lang w:val="en-IN"/>
              </w:rPr>
              <w:t>, 50C</w:t>
            </w:r>
            <w:r w:rsidR="00F82F5D">
              <w:rPr>
                <w:rFonts w:asciiTheme="minorHAnsi" w:hAnsiTheme="minorHAnsi" w:cstheme="minorHAnsi"/>
                <w:kern w:val="12"/>
                <w:lang w:val="en-IN"/>
              </w:rPr>
              <w:t xml:space="preserve"> [S.78</w:t>
            </w:r>
            <w:r w:rsidR="00F21996">
              <w:rPr>
                <w:rFonts w:asciiTheme="minorHAnsi" w:hAnsiTheme="minorHAnsi" w:cstheme="minorHAnsi"/>
                <w:kern w:val="12"/>
                <w:lang w:val="en-IN"/>
              </w:rPr>
              <w:t xml:space="preserve"> of ITA 2025</w:t>
            </w:r>
            <w:r w:rsidR="00F82F5D">
              <w:rPr>
                <w:rFonts w:asciiTheme="minorHAnsi" w:hAnsiTheme="minorHAnsi" w:cstheme="minorHAnsi"/>
                <w:kern w:val="12"/>
                <w:lang w:val="en-IN"/>
              </w:rPr>
              <w:t>]</w:t>
            </w:r>
            <w:r w:rsidRPr="004179E6">
              <w:rPr>
                <w:rFonts w:asciiTheme="minorHAnsi" w:hAnsiTheme="minorHAnsi" w:cstheme="minorHAnsi"/>
                <w:kern w:val="12"/>
                <w:lang w:val="en-IN"/>
              </w:rPr>
              <w:t>, 43CA</w:t>
            </w:r>
            <w:r w:rsidR="00FD0F89">
              <w:rPr>
                <w:rFonts w:asciiTheme="minorHAnsi" w:hAnsiTheme="minorHAnsi" w:cstheme="minorHAnsi"/>
                <w:kern w:val="12"/>
                <w:lang w:val="en-IN"/>
              </w:rPr>
              <w:t xml:space="preserve"> [</w:t>
            </w:r>
            <w:r w:rsidR="00F21996">
              <w:rPr>
                <w:rFonts w:asciiTheme="minorHAnsi" w:hAnsiTheme="minorHAnsi" w:cstheme="minorHAnsi"/>
                <w:kern w:val="12"/>
                <w:lang w:val="en-IN"/>
              </w:rPr>
              <w:t>S.</w:t>
            </w:r>
            <w:r w:rsidR="00FD0F89">
              <w:rPr>
                <w:rFonts w:asciiTheme="minorHAnsi" w:hAnsiTheme="minorHAnsi" w:cstheme="minorHAnsi"/>
                <w:kern w:val="12"/>
                <w:lang w:val="en-IN"/>
              </w:rPr>
              <w:t>53</w:t>
            </w:r>
            <w:r w:rsidR="00F21996">
              <w:rPr>
                <w:rFonts w:asciiTheme="minorHAnsi" w:hAnsiTheme="minorHAnsi" w:cstheme="minorHAnsi"/>
                <w:kern w:val="12"/>
                <w:lang w:val="en-IN"/>
              </w:rPr>
              <w:t xml:space="preserve"> of ITA 2025</w:t>
            </w:r>
            <w:r w:rsidR="00422C51">
              <w:rPr>
                <w:rFonts w:asciiTheme="minorHAnsi" w:hAnsiTheme="minorHAnsi" w:cstheme="minorHAnsi"/>
                <w:kern w:val="12"/>
                <w:lang w:val="en-IN"/>
              </w:rPr>
              <w:t>]</w:t>
            </w:r>
            <w:r w:rsidRPr="004179E6">
              <w:rPr>
                <w:rFonts w:asciiTheme="minorHAnsi" w:hAnsiTheme="minorHAnsi" w:cstheme="minorHAnsi"/>
                <w:kern w:val="12"/>
                <w:lang w:val="en-IN"/>
              </w:rPr>
              <w:t xml:space="preserve">, 56(2)(viib) </w:t>
            </w:r>
            <w:r w:rsidR="004920CE">
              <w:rPr>
                <w:rFonts w:asciiTheme="minorHAnsi" w:hAnsiTheme="minorHAnsi" w:cstheme="minorHAnsi"/>
                <w:kern w:val="12"/>
                <w:lang w:val="en-IN"/>
              </w:rPr>
              <w:t xml:space="preserve">of ITA 1961 </w:t>
            </w:r>
            <w:r w:rsidR="002B5E95">
              <w:rPr>
                <w:rFonts w:asciiTheme="minorHAnsi" w:hAnsiTheme="minorHAnsi" w:cstheme="minorHAnsi"/>
                <w:kern w:val="12"/>
                <w:lang w:val="en-IN"/>
              </w:rPr>
              <w:t xml:space="preserve">[which is now </w:t>
            </w:r>
            <w:r w:rsidR="002B5E95" w:rsidRPr="002B5E95">
              <w:rPr>
                <w:rFonts w:asciiTheme="minorHAnsi" w:hAnsiTheme="minorHAnsi" w:cstheme="minorHAnsi"/>
                <w:kern w:val="12"/>
                <w:lang w:val="en-IN"/>
              </w:rPr>
              <w:t>redundant</w:t>
            </w:r>
            <w:r w:rsidR="00B33FCE">
              <w:rPr>
                <w:rFonts w:asciiTheme="minorHAnsi" w:hAnsiTheme="minorHAnsi" w:cstheme="minorHAnsi"/>
                <w:kern w:val="12"/>
                <w:lang w:val="en-IN"/>
              </w:rPr>
              <w:t>]</w:t>
            </w:r>
            <w:r w:rsidRPr="004179E6">
              <w:rPr>
                <w:rFonts w:asciiTheme="minorHAnsi" w:hAnsiTheme="minorHAnsi" w:cstheme="minorHAnsi"/>
                <w:kern w:val="12"/>
                <w:lang w:val="en-IN"/>
              </w:rPr>
              <w:t xml:space="preserve"> etc. have a ‘safety valve’ where the taxpayer is given opportunity to rebut the normative value. </w:t>
            </w:r>
          </w:p>
          <w:p w14:paraId="596D6E80" w14:textId="4882A0F7" w:rsidR="001C47AC" w:rsidRPr="004179E6" w:rsidRDefault="00B620E1" w:rsidP="00AA128D">
            <w:pPr>
              <w:pStyle w:val="ListParagraph"/>
              <w:widowControl/>
              <w:numPr>
                <w:ilvl w:val="0"/>
                <w:numId w:val="8"/>
              </w:numPr>
              <w:autoSpaceDE/>
              <w:autoSpaceDN/>
              <w:spacing w:after="160" w:line="276" w:lineRule="auto"/>
              <w:ind w:left="360"/>
              <w:jc w:val="both"/>
              <w:rPr>
                <w:rFonts w:asciiTheme="minorHAnsi" w:hAnsiTheme="minorHAnsi" w:cstheme="minorHAnsi"/>
                <w:kern w:val="12"/>
                <w:lang w:val="en-IN"/>
              </w:rPr>
            </w:pPr>
            <w:r w:rsidRPr="004179E6">
              <w:rPr>
                <w:rFonts w:asciiTheme="minorHAnsi" w:hAnsiTheme="minorHAnsi" w:cstheme="minorHAnsi"/>
                <w:kern w:val="12"/>
                <w:lang w:val="en-IN"/>
              </w:rPr>
              <w:t xml:space="preserve">Further, the term ‘immovable property’ for the purpose of Rule 11UAE is not defined. </w:t>
            </w:r>
          </w:p>
          <w:p w14:paraId="7C3D2CC7" w14:textId="77777777" w:rsidR="00B620E1" w:rsidRPr="004179E6" w:rsidRDefault="00B620E1" w:rsidP="00AA128D">
            <w:pPr>
              <w:spacing w:after="160" w:line="276" w:lineRule="auto"/>
              <w:jc w:val="both"/>
              <w:rPr>
                <w:rFonts w:asciiTheme="minorHAnsi" w:hAnsiTheme="minorHAnsi" w:cstheme="minorHAnsi"/>
                <w:b/>
                <w:bCs/>
              </w:rPr>
            </w:pPr>
            <w:r w:rsidRPr="004179E6">
              <w:rPr>
                <w:rFonts w:asciiTheme="minorHAnsi" w:hAnsiTheme="minorHAnsi" w:cstheme="minorHAnsi"/>
                <w:b/>
                <w:bCs/>
              </w:rPr>
              <w:t>Recommendation:</w:t>
            </w:r>
          </w:p>
          <w:p w14:paraId="5BBFEE17" w14:textId="1B63F611" w:rsidR="00B620E1" w:rsidRPr="004179E6" w:rsidRDefault="00B620E1" w:rsidP="00AA128D">
            <w:pPr>
              <w:pStyle w:val="ListParagraph"/>
              <w:widowControl/>
              <w:numPr>
                <w:ilvl w:val="0"/>
                <w:numId w:val="8"/>
              </w:numPr>
              <w:autoSpaceDE/>
              <w:autoSpaceDN/>
              <w:spacing w:after="160" w:line="276" w:lineRule="auto"/>
              <w:ind w:left="360"/>
              <w:jc w:val="both"/>
              <w:rPr>
                <w:rFonts w:asciiTheme="minorHAnsi" w:hAnsiTheme="minorHAnsi" w:cstheme="minorHAnsi"/>
                <w:kern w:val="12"/>
                <w:lang w:val="en-IN"/>
              </w:rPr>
            </w:pPr>
            <w:r w:rsidRPr="004179E6">
              <w:rPr>
                <w:rFonts w:asciiTheme="minorHAnsi" w:hAnsiTheme="minorHAnsi" w:cstheme="minorHAnsi"/>
                <w:kern w:val="12"/>
                <w:lang w:val="en-IN"/>
              </w:rPr>
              <w:t xml:space="preserve">Amend Rule 11UAE </w:t>
            </w:r>
            <w:r w:rsidR="00247567">
              <w:rPr>
                <w:rFonts w:asciiTheme="minorHAnsi" w:hAnsiTheme="minorHAnsi" w:cstheme="minorHAnsi"/>
                <w:kern w:val="12"/>
                <w:lang w:val="en-IN"/>
              </w:rPr>
              <w:t>of the IT</w:t>
            </w:r>
            <w:r w:rsidR="004E093A">
              <w:rPr>
                <w:rFonts w:asciiTheme="minorHAnsi" w:hAnsiTheme="minorHAnsi" w:cstheme="minorHAnsi"/>
                <w:kern w:val="12"/>
                <w:lang w:val="en-IN"/>
              </w:rPr>
              <w:t xml:space="preserve"> </w:t>
            </w:r>
            <w:r w:rsidR="00247567">
              <w:rPr>
                <w:rFonts w:asciiTheme="minorHAnsi" w:hAnsiTheme="minorHAnsi" w:cstheme="minorHAnsi"/>
                <w:kern w:val="12"/>
                <w:lang w:val="en-IN"/>
              </w:rPr>
              <w:t>R</w:t>
            </w:r>
            <w:r w:rsidR="004E093A">
              <w:rPr>
                <w:rFonts w:asciiTheme="minorHAnsi" w:hAnsiTheme="minorHAnsi" w:cstheme="minorHAnsi"/>
                <w:kern w:val="12"/>
                <w:lang w:val="en-IN"/>
              </w:rPr>
              <w:t>ule</w:t>
            </w:r>
            <w:r w:rsidR="0038461B">
              <w:rPr>
                <w:rFonts w:asciiTheme="minorHAnsi" w:hAnsiTheme="minorHAnsi" w:cstheme="minorHAnsi"/>
                <w:kern w:val="12"/>
                <w:lang w:val="en-IN"/>
              </w:rPr>
              <w:t>s</w:t>
            </w:r>
            <w:r w:rsidR="00247567">
              <w:rPr>
                <w:rFonts w:asciiTheme="minorHAnsi" w:hAnsiTheme="minorHAnsi" w:cstheme="minorHAnsi"/>
                <w:kern w:val="12"/>
                <w:lang w:val="en-IN"/>
              </w:rPr>
              <w:t>, 1962 (R</w:t>
            </w:r>
            <w:r w:rsidR="00196BB7">
              <w:rPr>
                <w:rFonts w:asciiTheme="minorHAnsi" w:hAnsiTheme="minorHAnsi" w:cstheme="minorHAnsi"/>
                <w:kern w:val="12"/>
                <w:lang w:val="en-IN"/>
              </w:rPr>
              <w:t>ule</w:t>
            </w:r>
            <w:r w:rsidR="00247567">
              <w:rPr>
                <w:rFonts w:asciiTheme="minorHAnsi" w:hAnsiTheme="minorHAnsi" w:cstheme="minorHAnsi"/>
                <w:kern w:val="12"/>
                <w:lang w:val="en-IN"/>
              </w:rPr>
              <w:t xml:space="preserve"> 53 of the Draft IT</w:t>
            </w:r>
            <w:r w:rsidR="004E093A">
              <w:rPr>
                <w:rFonts w:asciiTheme="minorHAnsi" w:hAnsiTheme="minorHAnsi" w:cstheme="minorHAnsi"/>
                <w:kern w:val="12"/>
                <w:lang w:val="en-IN"/>
              </w:rPr>
              <w:t xml:space="preserve"> </w:t>
            </w:r>
            <w:r w:rsidR="00247567">
              <w:rPr>
                <w:rFonts w:asciiTheme="minorHAnsi" w:hAnsiTheme="minorHAnsi" w:cstheme="minorHAnsi"/>
                <w:kern w:val="12"/>
                <w:lang w:val="en-IN"/>
              </w:rPr>
              <w:t>R</w:t>
            </w:r>
            <w:r w:rsidR="004E093A">
              <w:rPr>
                <w:rFonts w:asciiTheme="minorHAnsi" w:hAnsiTheme="minorHAnsi" w:cstheme="minorHAnsi"/>
                <w:kern w:val="12"/>
                <w:lang w:val="en-IN"/>
              </w:rPr>
              <w:t>ule</w:t>
            </w:r>
            <w:r w:rsidR="0038461B">
              <w:rPr>
                <w:rFonts w:asciiTheme="minorHAnsi" w:hAnsiTheme="minorHAnsi" w:cstheme="minorHAnsi"/>
                <w:kern w:val="12"/>
                <w:lang w:val="en-IN"/>
              </w:rPr>
              <w:t>s</w:t>
            </w:r>
            <w:r w:rsidR="00247567">
              <w:rPr>
                <w:rFonts w:asciiTheme="minorHAnsi" w:hAnsiTheme="minorHAnsi" w:cstheme="minorHAnsi"/>
                <w:kern w:val="12"/>
                <w:lang w:val="en-IN"/>
              </w:rPr>
              <w:t xml:space="preserve">, 2026) </w:t>
            </w:r>
            <w:r w:rsidRPr="004179E6">
              <w:rPr>
                <w:rFonts w:asciiTheme="minorHAnsi" w:hAnsiTheme="minorHAnsi" w:cstheme="minorHAnsi"/>
                <w:kern w:val="12"/>
                <w:lang w:val="en-IN"/>
              </w:rPr>
              <w:t>to provide an opportunity to taxpayer to rebut normative FMV [similar to section 50C(2)</w:t>
            </w:r>
            <w:r w:rsidR="00404E31">
              <w:rPr>
                <w:rFonts w:asciiTheme="minorHAnsi" w:hAnsiTheme="minorHAnsi" w:cstheme="minorHAnsi"/>
                <w:kern w:val="12"/>
                <w:lang w:val="en-IN"/>
              </w:rPr>
              <w:t xml:space="preserve"> </w:t>
            </w:r>
            <w:r w:rsidR="005143FD">
              <w:rPr>
                <w:rFonts w:asciiTheme="minorHAnsi" w:hAnsiTheme="minorHAnsi" w:cstheme="minorHAnsi"/>
                <w:kern w:val="12"/>
                <w:lang w:val="en-IN"/>
              </w:rPr>
              <w:t xml:space="preserve">of ITA 1961 </w:t>
            </w:r>
            <w:r w:rsidR="00404E31">
              <w:rPr>
                <w:rFonts w:asciiTheme="minorHAnsi" w:hAnsiTheme="minorHAnsi" w:cstheme="minorHAnsi"/>
                <w:kern w:val="12"/>
                <w:lang w:val="en-IN"/>
              </w:rPr>
              <w:t>[S. 78 of the ITA, 2026</w:t>
            </w:r>
            <w:r w:rsidR="002C64BF">
              <w:rPr>
                <w:rFonts w:asciiTheme="minorHAnsi" w:hAnsiTheme="minorHAnsi" w:cstheme="minorHAnsi"/>
                <w:kern w:val="12"/>
                <w:lang w:val="en-IN"/>
              </w:rPr>
              <w:t>]</w:t>
            </w:r>
            <w:r w:rsidRPr="004179E6">
              <w:rPr>
                <w:rFonts w:asciiTheme="minorHAnsi" w:hAnsiTheme="minorHAnsi" w:cstheme="minorHAnsi"/>
                <w:kern w:val="12"/>
                <w:lang w:val="en-IN"/>
              </w:rPr>
              <w:t>].</w:t>
            </w:r>
          </w:p>
          <w:p w14:paraId="6D1DD0CE" w14:textId="126A9744" w:rsidR="00B620E1" w:rsidRPr="004179E6" w:rsidRDefault="00B620E1" w:rsidP="00AA128D">
            <w:pPr>
              <w:pStyle w:val="ListParagraph"/>
              <w:widowControl/>
              <w:numPr>
                <w:ilvl w:val="0"/>
                <w:numId w:val="8"/>
              </w:numPr>
              <w:autoSpaceDE/>
              <w:autoSpaceDN/>
              <w:spacing w:after="160" w:line="276" w:lineRule="auto"/>
              <w:ind w:left="360"/>
              <w:jc w:val="both"/>
              <w:rPr>
                <w:rFonts w:asciiTheme="minorHAnsi" w:hAnsiTheme="minorHAnsi" w:cstheme="minorHAnsi"/>
                <w:kern w:val="12"/>
                <w:lang w:val="en-IN"/>
              </w:rPr>
            </w:pPr>
            <w:r w:rsidRPr="004179E6">
              <w:rPr>
                <w:rFonts w:asciiTheme="minorHAnsi" w:hAnsiTheme="minorHAnsi" w:cstheme="minorHAnsi"/>
                <w:kern w:val="12"/>
                <w:lang w:val="en-IN"/>
              </w:rPr>
              <w:t>Similar to Rule 11UAD</w:t>
            </w:r>
            <w:r w:rsidR="00A71F9C">
              <w:rPr>
                <w:rFonts w:asciiTheme="minorHAnsi" w:hAnsiTheme="minorHAnsi" w:cstheme="minorHAnsi"/>
                <w:kern w:val="12"/>
                <w:lang w:val="en-IN"/>
              </w:rPr>
              <w:t xml:space="preserve"> of the IT</w:t>
            </w:r>
            <w:r w:rsidR="00087DF7">
              <w:rPr>
                <w:rFonts w:asciiTheme="minorHAnsi" w:hAnsiTheme="minorHAnsi" w:cstheme="minorHAnsi"/>
                <w:kern w:val="12"/>
                <w:lang w:val="en-IN"/>
              </w:rPr>
              <w:t xml:space="preserve"> </w:t>
            </w:r>
            <w:r w:rsidR="00A71F9C">
              <w:rPr>
                <w:rFonts w:asciiTheme="minorHAnsi" w:hAnsiTheme="minorHAnsi" w:cstheme="minorHAnsi"/>
                <w:kern w:val="12"/>
                <w:lang w:val="en-IN"/>
              </w:rPr>
              <w:t>R</w:t>
            </w:r>
            <w:r w:rsidR="00087DF7">
              <w:rPr>
                <w:rFonts w:asciiTheme="minorHAnsi" w:hAnsiTheme="minorHAnsi" w:cstheme="minorHAnsi"/>
                <w:kern w:val="12"/>
                <w:lang w:val="en-IN"/>
              </w:rPr>
              <w:t>ule</w:t>
            </w:r>
            <w:r w:rsidR="0038461B">
              <w:rPr>
                <w:rFonts w:asciiTheme="minorHAnsi" w:hAnsiTheme="minorHAnsi" w:cstheme="minorHAnsi"/>
                <w:kern w:val="12"/>
                <w:lang w:val="en-IN"/>
              </w:rPr>
              <w:t>s</w:t>
            </w:r>
            <w:r w:rsidR="00A71F9C">
              <w:rPr>
                <w:rFonts w:asciiTheme="minorHAnsi" w:hAnsiTheme="minorHAnsi" w:cstheme="minorHAnsi"/>
                <w:kern w:val="12"/>
                <w:lang w:val="en-IN"/>
              </w:rPr>
              <w:t xml:space="preserve"> 1962 (R</w:t>
            </w:r>
            <w:r w:rsidR="00087DF7">
              <w:rPr>
                <w:rFonts w:asciiTheme="minorHAnsi" w:hAnsiTheme="minorHAnsi" w:cstheme="minorHAnsi"/>
                <w:kern w:val="12"/>
                <w:lang w:val="en-IN"/>
              </w:rPr>
              <w:t>ule</w:t>
            </w:r>
            <w:r w:rsidR="00A71F9C">
              <w:rPr>
                <w:rFonts w:asciiTheme="minorHAnsi" w:hAnsiTheme="minorHAnsi" w:cstheme="minorHAnsi"/>
                <w:kern w:val="12"/>
                <w:lang w:val="en-IN"/>
              </w:rPr>
              <w:t xml:space="preserve"> 58 of the Draft IT</w:t>
            </w:r>
            <w:r w:rsidR="00087DF7">
              <w:rPr>
                <w:rFonts w:asciiTheme="minorHAnsi" w:hAnsiTheme="minorHAnsi" w:cstheme="minorHAnsi"/>
                <w:kern w:val="12"/>
                <w:lang w:val="en-IN"/>
              </w:rPr>
              <w:t xml:space="preserve"> </w:t>
            </w:r>
            <w:r w:rsidR="00A71F9C">
              <w:rPr>
                <w:rFonts w:asciiTheme="minorHAnsi" w:hAnsiTheme="minorHAnsi" w:cstheme="minorHAnsi"/>
                <w:kern w:val="12"/>
                <w:lang w:val="en-IN"/>
              </w:rPr>
              <w:t>R</w:t>
            </w:r>
            <w:r w:rsidR="00087DF7">
              <w:rPr>
                <w:rFonts w:asciiTheme="minorHAnsi" w:hAnsiTheme="minorHAnsi" w:cstheme="minorHAnsi"/>
                <w:kern w:val="12"/>
                <w:lang w:val="en-IN"/>
              </w:rPr>
              <w:t>ule</w:t>
            </w:r>
            <w:r w:rsidR="0038461B">
              <w:rPr>
                <w:rFonts w:asciiTheme="minorHAnsi" w:hAnsiTheme="minorHAnsi" w:cstheme="minorHAnsi"/>
                <w:kern w:val="12"/>
                <w:lang w:val="en-IN"/>
              </w:rPr>
              <w:t>s</w:t>
            </w:r>
            <w:r w:rsidR="00A71F9C">
              <w:rPr>
                <w:rFonts w:asciiTheme="minorHAnsi" w:hAnsiTheme="minorHAnsi" w:cstheme="minorHAnsi"/>
                <w:kern w:val="12"/>
                <w:lang w:val="en-IN"/>
              </w:rPr>
              <w:t>, 2026)</w:t>
            </w:r>
            <w:r w:rsidRPr="004179E6">
              <w:rPr>
                <w:rFonts w:asciiTheme="minorHAnsi" w:hAnsiTheme="minorHAnsi" w:cstheme="minorHAnsi"/>
                <w:kern w:val="12"/>
                <w:lang w:val="en-IN"/>
              </w:rPr>
              <w:t>, in case of NCLT / Court approved scheme of slump sale between unrelated parties, consideration as per the scheme should be accepted.</w:t>
            </w:r>
          </w:p>
          <w:p w14:paraId="2BE0509E" w14:textId="77777777" w:rsidR="00B620E1" w:rsidRPr="004179E6" w:rsidRDefault="00B620E1" w:rsidP="00AA128D">
            <w:pPr>
              <w:pStyle w:val="ListParagraph"/>
              <w:widowControl/>
              <w:numPr>
                <w:ilvl w:val="0"/>
                <w:numId w:val="8"/>
              </w:numPr>
              <w:autoSpaceDE/>
              <w:autoSpaceDN/>
              <w:spacing w:after="160" w:line="276" w:lineRule="auto"/>
              <w:ind w:left="360"/>
              <w:jc w:val="both"/>
              <w:rPr>
                <w:rFonts w:asciiTheme="minorHAnsi" w:hAnsiTheme="minorHAnsi" w:cstheme="minorHAnsi"/>
                <w:kern w:val="12"/>
                <w:lang w:val="en-IN"/>
              </w:rPr>
            </w:pPr>
            <w:r w:rsidRPr="004179E6">
              <w:rPr>
                <w:rFonts w:asciiTheme="minorHAnsi" w:hAnsiTheme="minorHAnsi" w:cstheme="minorHAnsi"/>
                <w:kern w:val="12"/>
                <w:lang w:val="en-IN"/>
              </w:rPr>
              <w:t>Valuation of undertaking arrived adopting internationally accepted method of valuation should be accepted.</w:t>
            </w:r>
          </w:p>
          <w:p w14:paraId="578198E3" w14:textId="3F713958" w:rsidR="00337401" w:rsidRPr="004179E6" w:rsidRDefault="00B620E1" w:rsidP="00AA128D">
            <w:pPr>
              <w:pStyle w:val="ListParagraph"/>
              <w:widowControl/>
              <w:numPr>
                <w:ilvl w:val="0"/>
                <w:numId w:val="8"/>
              </w:numPr>
              <w:autoSpaceDE/>
              <w:autoSpaceDN/>
              <w:spacing w:after="160" w:line="276" w:lineRule="auto"/>
              <w:ind w:left="360"/>
              <w:jc w:val="both"/>
              <w:rPr>
                <w:rFonts w:asciiTheme="minorHAnsi" w:hAnsiTheme="minorHAnsi" w:cstheme="minorHAnsi"/>
                <w:kern w:val="12"/>
                <w:lang w:val="en-IN"/>
              </w:rPr>
            </w:pPr>
            <w:r w:rsidRPr="004179E6">
              <w:rPr>
                <w:rFonts w:asciiTheme="minorHAnsi" w:hAnsiTheme="minorHAnsi" w:cstheme="minorHAnsi"/>
              </w:rPr>
              <w:t>A clause be added to Rule 11UAE</w:t>
            </w:r>
            <w:r w:rsidR="00A26652">
              <w:rPr>
                <w:rFonts w:asciiTheme="minorHAnsi" w:hAnsiTheme="minorHAnsi" w:cstheme="minorHAnsi"/>
              </w:rPr>
              <w:t xml:space="preserve"> </w:t>
            </w:r>
            <w:r w:rsidR="00A26652">
              <w:rPr>
                <w:rFonts w:asciiTheme="minorHAnsi" w:hAnsiTheme="minorHAnsi" w:cstheme="minorHAnsi"/>
                <w:kern w:val="12"/>
                <w:lang w:val="en-IN"/>
              </w:rPr>
              <w:t xml:space="preserve">(Rule 53 of the Draft IT Rules, 2026) </w:t>
            </w:r>
            <w:r w:rsidRPr="004179E6">
              <w:rPr>
                <w:rFonts w:asciiTheme="minorHAnsi" w:hAnsiTheme="minorHAnsi" w:cstheme="minorHAnsi"/>
              </w:rPr>
              <w:t xml:space="preserve"> to define the term ‘immovable property’ to mean land or building or both to provide consistency with similar definition/ provisions in section 43CA, 50C, 56(2)(x), 194-IA and 194LA</w:t>
            </w:r>
            <w:r w:rsidR="00B27F88">
              <w:rPr>
                <w:rFonts w:asciiTheme="minorHAnsi" w:hAnsiTheme="minorHAnsi" w:cstheme="minorHAnsi"/>
              </w:rPr>
              <w:t xml:space="preserve"> of ITA 1961</w:t>
            </w:r>
            <w:r w:rsidRPr="004179E6">
              <w:rPr>
                <w:rFonts w:asciiTheme="minorHAnsi" w:hAnsiTheme="minorHAnsi" w:cstheme="minorHAnsi"/>
              </w:rPr>
              <w:t>.</w:t>
            </w:r>
            <w:r w:rsidR="00E11B31" w:rsidRPr="004179E6">
              <w:rPr>
                <w:rFonts w:asciiTheme="minorHAnsi" w:hAnsiTheme="minorHAnsi" w:cstheme="minorHAnsi"/>
              </w:rPr>
              <w:t xml:space="preserve"> </w:t>
            </w:r>
          </w:p>
        </w:tc>
      </w:tr>
      <w:tr w:rsidR="003C3299" w:rsidRPr="004179E6" w14:paraId="1B6FE339" w14:textId="77777777" w:rsidTr="00210D4C">
        <w:trPr>
          <w:trHeight w:val="20"/>
        </w:trPr>
        <w:tc>
          <w:tcPr>
            <w:tcW w:w="512" w:type="dxa"/>
          </w:tcPr>
          <w:p w14:paraId="38CC6E5D" w14:textId="77777777" w:rsidR="00B620E1" w:rsidRPr="004179E6" w:rsidRDefault="00B620E1"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55687B5B" w14:textId="175D0B64" w:rsidR="00B620E1" w:rsidRPr="006A70DB" w:rsidRDefault="00B620E1" w:rsidP="00AA128D">
            <w:pPr>
              <w:spacing w:after="160" w:line="276" w:lineRule="auto"/>
              <w:rPr>
                <w:rFonts w:asciiTheme="minorHAnsi" w:hAnsiTheme="minorHAnsi" w:cstheme="minorHAnsi"/>
                <w:b/>
              </w:rPr>
            </w:pPr>
            <w:r w:rsidRPr="006A70DB">
              <w:rPr>
                <w:rFonts w:asciiTheme="minorHAnsi" w:hAnsiTheme="minorHAnsi" w:cstheme="minorHAnsi"/>
                <w:b/>
              </w:rPr>
              <w:t>Rule 11UA, Rule 11UAA</w:t>
            </w:r>
            <w:r w:rsidR="002F1764" w:rsidRPr="006A70DB">
              <w:rPr>
                <w:rFonts w:asciiTheme="minorHAnsi" w:hAnsiTheme="minorHAnsi" w:cstheme="minorHAnsi"/>
                <w:b/>
              </w:rPr>
              <w:t xml:space="preserve"> of the IT Rules 1962</w:t>
            </w:r>
            <w:r w:rsidR="004930CC" w:rsidRPr="006A70DB">
              <w:rPr>
                <w:rFonts w:asciiTheme="minorHAnsi" w:hAnsiTheme="minorHAnsi" w:cstheme="minorHAnsi"/>
                <w:b/>
              </w:rPr>
              <w:t>, r.w.</w:t>
            </w:r>
            <w:r w:rsidRPr="006A70DB">
              <w:rPr>
                <w:rFonts w:asciiTheme="minorHAnsi" w:hAnsiTheme="minorHAnsi" w:cstheme="minorHAnsi"/>
                <w:b/>
              </w:rPr>
              <w:t xml:space="preserve"> Section 56(2)(x) and Section 50CA</w:t>
            </w:r>
            <w:r w:rsidR="00906BBE" w:rsidRPr="006A70DB">
              <w:rPr>
                <w:rFonts w:asciiTheme="minorHAnsi" w:hAnsiTheme="minorHAnsi" w:cstheme="minorHAnsi"/>
                <w:b/>
              </w:rPr>
              <w:t xml:space="preserve"> of ITA 1961</w:t>
            </w:r>
          </w:p>
          <w:p w14:paraId="24BD3B22" w14:textId="22926189" w:rsidR="000F27E8" w:rsidRPr="006A70DB" w:rsidRDefault="00E11899" w:rsidP="00AA128D">
            <w:pPr>
              <w:spacing w:after="160" w:line="276" w:lineRule="auto"/>
              <w:rPr>
                <w:rFonts w:asciiTheme="minorHAnsi" w:hAnsiTheme="minorHAnsi" w:cstheme="minorHAnsi"/>
                <w:b/>
              </w:rPr>
            </w:pPr>
            <w:r w:rsidRPr="006A70DB">
              <w:rPr>
                <w:rFonts w:asciiTheme="minorHAnsi" w:hAnsiTheme="minorHAnsi" w:cstheme="minorHAnsi"/>
                <w:b/>
              </w:rPr>
              <w:t xml:space="preserve">[corresponding s.92(2)(m) </w:t>
            </w:r>
            <w:r w:rsidRPr="006A70DB">
              <w:rPr>
                <w:rFonts w:asciiTheme="minorHAnsi" w:hAnsiTheme="minorHAnsi" w:cstheme="minorHAnsi"/>
                <w:b/>
              </w:rPr>
              <w:lastRenderedPageBreak/>
              <w:t>and 79 of ITA 2025]</w:t>
            </w:r>
            <w:r w:rsidR="001240CB" w:rsidRPr="006A70DB">
              <w:rPr>
                <w:rFonts w:asciiTheme="minorHAnsi" w:hAnsiTheme="minorHAnsi" w:cstheme="minorHAnsi"/>
                <w:b/>
              </w:rPr>
              <w:t xml:space="preserve"> (corresponding Rule 57 of the Draft IT, Rules 2026)</w:t>
            </w:r>
          </w:p>
          <w:p w14:paraId="5D3E17FD" w14:textId="77777777" w:rsidR="000F27E8" w:rsidRPr="006A70DB" w:rsidRDefault="000F27E8" w:rsidP="00AA128D">
            <w:pPr>
              <w:spacing w:after="160" w:line="276" w:lineRule="auto"/>
              <w:rPr>
                <w:rFonts w:asciiTheme="minorHAnsi" w:hAnsiTheme="minorHAnsi" w:cstheme="minorHAnsi"/>
                <w:b/>
              </w:rPr>
            </w:pPr>
          </w:p>
          <w:p w14:paraId="15B2BC41" w14:textId="0673F05D" w:rsidR="000F27E8" w:rsidRPr="006A70DB" w:rsidRDefault="000F27E8" w:rsidP="00AA128D">
            <w:pPr>
              <w:spacing w:after="160" w:line="276" w:lineRule="auto"/>
              <w:rPr>
                <w:rFonts w:asciiTheme="minorHAnsi" w:hAnsiTheme="minorHAnsi" w:cstheme="minorHAnsi"/>
                <w:b/>
              </w:rPr>
            </w:pPr>
          </w:p>
        </w:tc>
        <w:tc>
          <w:tcPr>
            <w:tcW w:w="10986" w:type="dxa"/>
          </w:tcPr>
          <w:p w14:paraId="04ECD49F" w14:textId="3069721B" w:rsidR="00B620E1" w:rsidRPr="00724B49" w:rsidRDefault="00B620E1" w:rsidP="00AA128D">
            <w:pPr>
              <w:spacing w:after="160" w:line="276" w:lineRule="auto"/>
              <w:jc w:val="both"/>
              <w:rPr>
                <w:rFonts w:asciiTheme="minorHAnsi" w:hAnsiTheme="minorHAnsi" w:cstheme="minorHAnsi"/>
                <w:b/>
              </w:rPr>
            </w:pPr>
            <w:r w:rsidRPr="00724B49">
              <w:rPr>
                <w:rFonts w:asciiTheme="minorHAnsi" w:hAnsiTheme="minorHAnsi" w:cstheme="minorHAnsi"/>
                <w:b/>
              </w:rPr>
              <w:lastRenderedPageBreak/>
              <w:t>Rationale:</w:t>
            </w:r>
          </w:p>
          <w:p w14:paraId="0CA5846C" w14:textId="4F8E868A" w:rsidR="00B620E1" w:rsidRPr="00724B49" w:rsidRDefault="00B620E1" w:rsidP="00AA128D">
            <w:pPr>
              <w:pStyle w:val="ListParagraph"/>
              <w:widowControl/>
              <w:numPr>
                <w:ilvl w:val="0"/>
                <w:numId w:val="8"/>
              </w:numPr>
              <w:autoSpaceDE/>
              <w:autoSpaceDN/>
              <w:spacing w:after="160" w:line="276" w:lineRule="auto"/>
              <w:ind w:left="360"/>
              <w:jc w:val="both"/>
              <w:rPr>
                <w:rFonts w:asciiTheme="minorHAnsi" w:hAnsiTheme="minorHAnsi" w:cstheme="minorHAnsi"/>
                <w:kern w:val="12"/>
                <w:lang w:val="en-IN"/>
              </w:rPr>
            </w:pPr>
            <w:r w:rsidRPr="00724B49">
              <w:rPr>
                <w:rFonts w:asciiTheme="minorHAnsi" w:hAnsiTheme="minorHAnsi" w:cstheme="minorHAnsi"/>
                <w:kern w:val="12"/>
                <w:lang w:val="en-IN"/>
              </w:rPr>
              <w:t xml:space="preserve">Rule 11UA and Rule 11UAA </w:t>
            </w:r>
            <w:r w:rsidR="00850656" w:rsidRPr="00724B49">
              <w:rPr>
                <w:rFonts w:asciiTheme="minorHAnsi" w:hAnsiTheme="minorHAnsi" w:cstheme="minorHAnsi"/>
                <w:kern w:val="12"/>
                <w:lang w:val="en-IN"/>
              </w:rPr>
              <w:t xml:space="preserve">of IT Rules 1962 </w:t>
            </w:r>
            <w:r w:rsidR="002F1764" w:rsidRPr="00724B49">
              <w:rPr>
                <w:rFonts w:asciiTheme="minorHAnsi" w:hAnsiTheme="minorHAnsi" w:cstheme="minorHAnsi"/>
                <w:kern w:val="12"/>
                <w:lang w:val="en-IN"/>
              </w:rPr>
              <w:t>(</w:t>
            </w:r>
            <w:r w:rsidR="00C10833" w:rsidRPr="00192A44">
              <w:rPr>
                <w:rFonts w:asciiTheme="minorHAnsi" w:hAnsiTheme="minorHAnsi" w:cstheme="minorHAnsi"/>
                <w:kern w:val="12"/>
                <w:lang w:val="en-IN"/>
              </w:rPr>
              <w:t xml:space="preserve">New </w:t>
            </w:r>
            <w:r w:rsidR="002F1764" w:rsidRPr="00724B49">
              <w:rPr>
                <w:rFonts w:asciiTheme="minorHAnsi" w:hAnsiTheme="minorHAnsi" w:cstheme="minorHAnsi"/>
                <w:kern w:val="12"/>
                <w:lang w:val="en-IN"/>
              </w:rPr>
              <w:t>R</w:t>
            </w:r>
            <w:r w:rsidR="00850656" w:rsidRPr="00724B49">
              <w:rPr>
                <w:rFonts w:asciiTheme="minorHAnsi" w:hAnsiTheme="minorHAnsi" w:cstheme="minorHAnsi"/>
                <w:kern w:val="12"/>
                <w:lang w:val="en-IN"/>
              </w:rPr>
              <w:t>ule</w:t>
            </w:r>
            <w:r w:rsidR="002F1764" w:rsidRPr="00724B49">
              <w:rPr>
                <w:rFonts w:asciiTheme="minorHAnsi" w:hAnsiTheme="minorHAnsi" w:cstheme="minorHAnsi"/>
                <w:kern w:val="12"/>
                <w:lang w:val="en-IN"/>
              </w:rPr>
              <w:t xml:space="preserve"> 57) </w:t>
            </w:r>
            <w:r w:rsidRPr="00724B49">
              <w:rPr>
                <w:rFonts w:asciiTheme="minorHAnsi" w:hAnsiTheme="minorHAnsi" w:cstheme="minorHAnsi"/>
                <w:kern w:val="12"/>
                <w:lang w:val="en-IN"/>
              </w:rPr>
              <w:t>provide for computation of fair market value for the purpose of section 56(2)(x) and section 50CA</w:t>
            </w:r>
            <w:r w:rsidR="004930CC" w:rsidRPr="00724B49">
              <w:rPr>
                <w:rFonts w:asciiTheme="minorHAnsi" w:hAnsiTheme="minorHAnsi" w:cstheme="minorHAnsi"/>
                <w:kern w:val="12"/>
                <w:lang w:val="en-IN"/>
              </w:rPr>
              <w:t xml:space="preserve"> of ITA 1961 (S.92(2)(m) and 79 of ITA 2025)</w:t>
            </w:r>
            <w:r w:rsidRPr="00724B49">
              <w:rPr>
                <w:rFonts w:asciiTheme="minorHAnsi" w:hAnsiTheme="minorHAnsi" w:cstheme="minorHAnsi"/>
                <w:kern w:val="12"/>
                <w:lang w:val="en-IN"/>
              </w:rPr>
              <w:t>.</w:t>
            </w:r>
          </w:p>
          <w:p w14:paraId="44D5E09A" w14:textId="5674E945" w:rsidR="00B620E1" w:rsidRPr="00724B49" w:rsidRDefault="00B620E1" w:rsidP="00AA128D">
            <w:pPr>
              <w:pStyle w:val="ListParagraph"/>
              <w:widowControl/>
              <w:numPr>
                <w:ilvl w:val="0"/>
                <w:numId w:val="8"/>
              </w:numPr>
              <w:autoSpaceDE/>
              <w:autoSpaceDN/>
              <w:spacing w:after="160" w:line="276" w:lineRule="auto"/>
              <w:ind w:left="360"/>
              <w:jc w:val="both"/>
              <w:rPr>
                <w:rFonts w:asciiTheme="minorHAnsi" w:hAnsiTheme="minorHAnsi" w:cstheme="minorHAnsi"/>
                <w:kern w:val="12"/>
                <w:lang w:val="en-IN"/>
              </w:rPr>
            </w:pPr>
            <w:r w:rsidRPr="00724B49">
              <w:rPr>
                <w:rFonts w:asciiTheme="minorHAnsi" w:hAnsiTheme="minorHAnsi" w:cstheme="minorHAnsi"/>
                <w:kern w:val="12"/>
                <w:lang w:val="en-IN"/>
              </w:rPr>
              <w:lastRenderedPageBreak/>
              <w:t>In case of shares of a</w:t>
            </w:r>
            <w:r w:rsidR="00A45CDE" w:rsidRPr="00192A44">
              <w:rPr>
                <w:rFonts w:asciiTheme="minorHAnsi" w:hAnsiTheme="minorHAnsi" w:cstheme="minorHAnsi"/>
                <w:kern w:val="12"/>
                <w:lang w:val="en-IN"/>
              </w:rPr>
              <w:t>n</w:t>
            </w:r>
            <w:r w:rsidRPr="00724B49">
              <w:rPr>
                <w:rFonts w:asciiTheme="minorHAnsi" w:hAnsiTheme="minorHAnsi" w:cstheme="minorHAnsi"/>
                <w:kern w:val="12"/>
                <w:lang w:val="en-IN"/>
              </w:rPr>
              <w:t xml:space="preserve"> </w:t>
            </w:r>
            <w:r w:rsidR="00FD56D2" w:rsidRPr="00192A44">
              <w:rPr>
                <w:rFonts w:asciiTheme="minorHAnsi" w:hAnsiTheme="minorHAnsi" w:cstheme="minorHAnsi"/>
                <w:kern w:val="12"/>
                <w:lang w:val="en-IN"/>
              </w:rPr>
              <w:t xml:space="preserve">unlisted </w:t>
            </w:r>
            <w:r w:rsidRPr="00724B49">
              <w:rPr>
                <w:rFonts w:asciiTheme="minorHAnsi" w:hAnsiTheme="minorHAnsi" w:cstheme="minorHAnsi"/>
                <w:kern w:val="12"/>
                <w:lang w:val="en-IN"/>
              </w:rPr>
              <w:t xml:space="preserve">company, the said Rule provides for </w:t>
            </w:r>
            <w:r w:rsidR="00EE34DD" w:rsidRPr="00192A44">
              <w:rPr>
                <w:rFonts w:asciiTheme="minorHAnsi" w:hAnsiTheme="minorHAnsi" w:cstheme="minorHAnsi"/>
                <w:kern w:val="12"/>
                <w:lang w:val="en-IN"/>
              </w:rPr>
              <w:t xml:space="preserve">determining enterprise value by </w:t>
            </w:r>
            <w:r w:rsidRPr="00724B49">
              <w:rPr>
                <w:rFonts w:asciiTheme="minorHAnsi" w:hAnsiTheme="minorHAnsi" w:cstheme="minorHAnsi"/>
                <w:kern w:val="12"/>
                <w:lang w:val="en-IN"/>
              </w:rPr>
              <w:t>taking most assets and liabilities at book value</w:t>
            </w:r>
            <w:r w:rsidRPr="00724B49">
              <w:rPr>
                <w:rStyle w:val="FootnoteReference"/>
                <w:rFonts w:asciiTheme="minorHAnsi" w:hAnsiTheme="minorHAnsi" w:cstheme="minorHAnsi"/>
                <w:kern w:val="12"/>
                <w:lang w:val="en-IN"/>
              </w:rPr>
              <w:footnoteReference w:id="2"/>
            </w:r>
            <w:r w:rsidRPr="00724B49">
              <w:rPr>
                <w:rFonts w:asciiTheme="minorHAnsi" w:hAnsiTheme="minorHAnsi" w:cstheme="minorHAnsi"/>
                <w:kern w:val="12"/>
                <w:lang w:val="en-IN"/>
              </w:rPr>
              <w:t xml:space="preserve"> except land and building, which is to be taken at stamp duty value.  </w:t>
            </w:r>
          </w:p>
          <w:p w14:paraId="4CBA2CCB" w14:textId="4350B4C0" w:rsidR="00BC6F7C" w:rsidRPr="00724B49" w:rsidRDefault="00B620E1" w:rsidP="00AA128D">
            <w:pPr>
              <w:pStyle w:val="ListParagraph"/>
              <w:widowControl/>
              <w:numPr>
                <w:ilvl w:val="0"/>
                <w:numId w:val="8"/>
              </w:numPr>
              <w:autoSpaceDE/>
              <w:autoSpaceDN/>
              <w:spacing w:after="160" w:line="276" w:lineRule="auto"/>
              <w:ind w:left="360"/>
              <w:jc w:val="both"/>
              <w:rPr>
                <w:rFonts w:asciiTheme="minorHAnsi" w:hAnsiTheme="minorHAnsi" w:cstheme="minorHAnsi"/>
              </w:rPr>
            </w:pPr>
            <w:r w:rsidRPr="00724B49">
              <w:rPr>
                <w:rFonts w:asciiTheme="minorHAnsi" w:hAnsiTheme="minorHAnsi" w:cstheme="minorHAnsi"/>
                <w:kern w:val="12"/>
                <w:lang w:val="en-IN"/>
              </w:rPr>
              <w:t>The method prescribed Rule 11UA/11UAA</w:t>
            </w:r>
            <w:r w:rsidR="00C10833" w:rsidRPr="00192A44">
              <w:rPr>
                <w:rFonts w:asciiTheme="minorHAnsi" w:hAnsiTheme="minorHAnsi" w:cstheme="minorHAnsi"/>
                <w:kern w:val="12"/>
                <w:lang w:val="en-IN"/>
              </w:rPr>
              <w:t xml:space="preserve"> (New Rule 57) </w:t>
            </w:r>
            <w:r w:rsidRPr="00724B49">
              <w:rPr>
                <w:rFonts w:asciiTheme="minorHAnsi" w:hAnsiTheme="minorHAnsi" w:cstheme="minorHAnsi"/>
                <w:kern w:val="12"/>
                <w:lang w:val="en-IN"/>
              </w:rPr>
              <w:t>is unreasonable and unequitable. Any acquisition of running</w:t>
            </w:r>
            <w:r w:rsidRPr="00724B49">
              <w:rPr>
                <w:rFonts w:asciiTheme="minorHAnsi" w:hAnsiTheme="minorHAnsi" w:cstheme="minorHAnsi"/>
              </w:rPr>
              <w:t xml:space="preserve"> business cannot be valued taking stamp duty value of land and building and book value of other assets and liabilities. Further, in case of leased land, there being restrictions on use and subsequent transfer on rights therein, the stamp duty value may not reflect the fair market value.</w:t>
            </w:r>
            <w:r w:rsidR="00A5344F" w:rsidRPr="00724B49">
              <w:rPr>
                <w:rFonts w:asciiTheme="minorHAnsi" w:hAnsiTheme="minorHAnsi" w:cstheme="minorHAnsi"/>
              </w:rPr>
              <w:t xml:space="preserve"> </w:t>
            </w:r>
            <w:r w:rsidR="00BC6F7C" w:rsidRPr="00724B49">
              <w:rPr>
                <w:rFonts w:asciiTheme="minorHAnsi" w:hAnsiTheme="minorHAnsi" w:cstheme="minorHAnsi"/>
              </w:rPr>
              <w:t>No separate valuation for different class</w:t>
            </w:r>
            <w:r w:rsidR="00B90B83" w:rsidRPr="00724B49">
              <w:rPr>
                <w:rFonts w:asciiTheme="minorHAnsi" w:hAnsiTheme="minorHAnsi" w:cstheme="minorHAnsi"/>
              </w:rPr>
              <w:t>es</w:t>
            </w:r>
            <w:r w:rsidR="00BC6F7C" w:rsidRPr="00724B49">
              <w:rPr>
                <w:rFonts w:asciiTheme="minorHAnsi" w:hAnsiTheme="minorHAnsi" w:cstheme="minorHAnsi"/>
              </w:rPr>
              <w:t xml:space="preserve"> of equity shares or where there are restrictions on free transferability</w:t>
            </w:r>
            <w:r w:rsidR="00A637B1" w:rsidRPr="00724B49">
              <w:rPr>
                <w:rFonts w:asciiTheme="minorHAnsi" w:hAnsiTheme="minorHAnsi" w:cstheme="minorHAnsi"/>
              </w:rPr>
              <w:t>. Rule 11UA valuation should provide for such contingency so as to achieve valuation which is closer to actually reality/ attribute of shares.</w:t>
            </w:r>
          </w:p>
          <w:p w14:paraId="56DC5AB9" w14:textId="45337400" w:rsidR="00BC6F7C" w:rsidRPr="00192A44" w:rsidRDefault="00BC6F7C" w:rsidP="00AA128D">
            <w:pPr>
              <w:pStyle w:val="ListParagraph"/>
              <w:widowControl/>
              <w:numPr>
                <w:ilvl w:val="0"/>
                <w:numId w:val="8"/>
              </w:numPr>
              <w:autoSpaceDE/>
              <w:autoSpaceDN/>
              <w:spacing w:after="160" w:line="276" w:lineRule="auto"/>
              <w:ind w:left="360"/>
              <w:jc w:val="both"/>
              <w:rPr>
                <w:rFonts w:asciiTheme="minorHAnsi" w:hAnsiTheme="minorHAnsi" w:cstheme="minorHAnsi"/>
              </w:rPr>
            </w:pPr>
            <w:r w:rsidRPr="00724B49">
              <w:rPr>
                <w:rFonts w:asciiTheme="minorHAnsi" w:hAnsiTheme="minorHAnsi" w:cstheme="minorHAnsi"/>
              </w:rPr>
              <w:t>There is difficulty to find out stamp duty/ ready reckoner value of under-construction property as ready reckoner value is generally suitable for completed building</w:t>
            </w:r>
            <w:r w:rsidR="00945047">
              <w:rPr>
                <w:rFonts w:asciiTheme="minorHAnsi" w:hAnsiTheme="minorHAnsi" w:cstheme="minorHAnsi"/>
              </w:rPr>
              <w:t xml:space="preserve">. It is also difficult to value foreign immovable property under this rule since </w:t>
            </w:r>
            <w:r w:rsidR="00DE4E9E">
              <w:rPr>
                <w:rFonts w:asciiTheme="minorHAnsi" w:hAnsiTheme="minorHAnsi" w:cstheme="minorHAnsi"/>
              </w:rPr>
              <w:t xml:space="preserve">foreign jurisdictions generally do not have stamp duty ready reckoner values. </w:t>
            </w:r>
            <w:r w:rsidR="00945047">
              <w:rPr>
                <w:rFonts w:asciiTheme="minorHAnsi" w:hAnsiTheme="minorHAnsi" w:cstheme="minorHAnsi"/>
              </w:rPr>
              <w:t xml:space="preserve"> </w:t>
            </w:r>
          </w:p>
          <w:p w14:paraId="47E26CFB" w14:textId="203DC28C" w:rsidR="0006550D" w:rsidRPr="00724B49" w:rsidRDefault="0006550D" w:rsidP="00AA128D">
            <w:pPr>
              <w:pStyle w:val="ListParagraph"/>
              <w:widowControl/>
              <w:numPr>
                <w:ilvl w:val="0"/>
                <w:numId w:val="8"/>
              </w:numPr>
              <w:autoSpaceDE/>
              <w:autoSpaceDN/>
              <w:spacing w:after="160" w:line="276" w:lineRule="auto"/>
              <w:ind w:left="360"/>
              <w:jc w:val="both"/>
              <w:rPr>
                <w:rFonts w:asciiTheme="minorHAnsi" w:hAnsiTheme="minorHAnsi" w:cstheme="minorHAnsi"/>
                <w:kern w:val="12"/>
                <w:lang w:val="en-IN"/>
              </w:rPr>
            </w:pPr>
            <w:r w:rsidRPr="00724B49">
              <w:rPr>
                <w:rFonts w:asciiTheme="minorHAnsi" w:hAnsiTheme="minorHAnsi" w:cstheme="minorHAnsi"/>
              </w:rPr>
              <w:t xml:space="preserve">In case where the normative values are much higher than commercial fair value of the specified assets, </w:t>
            </w:r>
            <w:r w:rsidRPr="00724B49">
              <w:rPr>
                <w:rFonts w:asciiTheme="minorHAnsi" w:hAnsiTheme="minorHAnsi" w:cstheme="minorHAnsi"/>
                <w:kern w:val="12"/>
                <w:lang w:val="en-IN"/>
              </w:rPr>
              <w:t xml:space="preserve">there is no option to value shares of an entity by any other method such as DCF method, which is a method used worldwide to compute enterprise value of a business. </w:t>
            </w:r>
          </w:p>
          <w:p w14:paraId="5D571957" w14:textId="77777777" w:rsidR="00B620E1" w:rsidRPr="00724B49" w:rsidRDefault="00B620E1" w:rsidP="00AA128D">
            <w:pPr>
              <w:spacing w:after="160" w:line="276" w:lineRule="auto"/>
              <w:jc w:val="both"/>
              <w:rPr>
                <w:rFonts w:asciiTheme="minorHAnsi" w:hAnsiTheme="minorHAnsi" w:cstheme="minorHAnsi"/>
                <w:b/>
                <w:bCs/>
              </w:rPr>
            </w:pPr>
            <w:r w:rsidRPr="00724B49">
              <w:rPr>
                <w:rFonts w:asciiTheme="minorHAnsi" w:hAnsiTheme="minorHAnsi" w:cstheme="minorHAnsi"/>
                <w:b/>
                <w:bCs/>
              </w:rPr>
              <w:t>Recommendation:</w:t>
            </w:r>
          </w:p>
          <w:p w14:paraId="7173F7EB" w14:textId="48A24A76" w:rsidR="00B620E1" w:rsidRPr="00724B49" w:rsidRDefault="00B620E1" w:rsidP="00AA128D">
            <w:pPr>
              <w:pStyle w:val="ListParagraph"/>
              <w:widowControl/>
              <w:numPr>
                <w:ilvl w:val="0"/>
                <w:numId w:val="8"/>
              </w:numPr>
              <w:autoSpaceDE/>
              <w:autoSpaceDN/>
              <w:spacing w:after="160" w:line="276" w:lineRule="auto"/>
              <w:ind w:left="360"/>
              <w:jc w:val="both"/>
              <w:rPr>
                <w:rFonts w:asciiTheme="minorHAnsi" w:hAnsiTheme="minorHAnsi" w:cstheme="minorHAnsi"/>
              </w:rPr>
            </w:pPr>
            <w:r w:rsidRPr="00724B49">
              <w:rPr>
                <w:rFonts w:asciiTheme="minorHAnsi" w:hAnsiTheme="minorHAnsi" w:cstheme="minorHAnsi"/>
              </w:rPr>
              <w:t>Amend Income Tax Rules and allow valuation of shares of a company by a merchant banker based o</w:t>
            </w:r>
            <w:r w:rsidR="00690D9F">
              <w:rPr>
                <w:rFonts w:asciiTheme="minorHAnsi" w:hAnsiTheme="minorHAnsi" w:cstheme="minorHAnsi"/>
              </w:rPr>
              <w:t>n</w:t>
            </w:r>
            <w:r w:rsidRPr="00724B49">
              <w:rPr>
                <w:rFonts w:asciiTheme="minorHAnsi" w:hAnsiTheme="minorHAnsi" w:cstheme="minorHAnsi"/>
              </w:rPr>
              <w:t xml:space="preserve"> DCF method or any other internationally accepted method at the option of the taxpayer where taxpayer claims that normative values as per Rule 11UA is higher than actual commercial fair value.</w:t>
            </w:r>
          </w:p>
          <w:p w14:paraId="24C18BCB" w14:textId="2B66AB3D" w:rsidR="003C3299" w:rsidRPr="00724B49" w:rsidRDefault="00B620E1" w:rsidP="00AA128D">
            <w:pPr>
              <w:pStyle w:val="ListParagraph"/>
              <w:widowControl/>
              <w:numPr>
                <w:ilvl w:val="0"/>
                <w:numId w:val="8"/>
              </w:numPr>
              <w:autoSpaceDE/>
              <w:autoSpaceDN/>
              <w:spacing w:after="160" w:line="276" w:lineRule="auto"/>
              <w:ind w:left="360"/>
              <w:jc w:val="both"/>
              <w:rPr>
                <w:rFonts w:asciiTheme="minorHAnsi" w:hAnsiTheme="minorHAnsi" w:cstheme="minorHAnsi"/>
              </w:rPr>
            </w:pPr>
            <w:r w:rsidRPr="00724B49">
              <w:rPr>
                <w:rFonts w:asciiTheme="minorHAnsi" w:hAnsiTheme="minorHAnsi" w:cstheme="minorHAnsi"/>
              </w:rPr>
              <w:t>Alternatively, in case</w:t>
            </w:r>
            <w:r w:rsidR="00C26894" w:rsidRPr="00724B49">
              <w:rPr>
                <w:rFonts w:asciiTheme="minorHAnsi" w:hAnsiTheme="minorHAnsi" w:cstheme="minorHAnsi"/>
              </w:rPr>
              <w:t>s</w:t>
            </w:r>
            <w:r w:rsidRPr="00724B49">
              <w:rPr>
                <w:rFonts w:asciiTheme="minorHAnsi" w:hAnsiTheme="minorHAnsi" w:cstheme="minorHAnsi"/>
              </w:rPr>
              <w:t xml:space="preserve"> the assessee contends that stamp duty value is not fair market value, then the AO should be empowered to refer the issue of valuation to a recognized government valuer for arriving fair market value.</w:t>
            </w:r>
          </w:p>
          <w:p w14:paraId="7A3DC8E9" w14:textId="54EBDF59" w:rsidR="00F110E3" w:rsidRPr="00724B49" w:rsidRDefault="00F110E3" w:rsidP="00AA128D">
            <w:pPr>
              <w:pStyle w:val="ListParagraph"/>
              <w:widowControl/>
              <w:numPr>
                <w:ilvl w:val="0"/>
                <w:numId w:val="8"/>
              </w:numPr>
              <w:autoSpaceDE/>
              <w:autoSpaceDN/>
              <w:spacing w:after="160" w:line="276" w:lineRule="auto"/>
              <w:ind w:left="360"/>
              <w:jc w:val="both"/>
              <w:rPr>
                <w:rFonts w:asciiTheme="minorHAnsi" w:hAnsiTheme="minorHAnsi" w:cstheme="minorHAnsi"/>
              </w:rPr>
            </w:pPr>
            <w:r w:rsidRPr="00724B49">
              <w:rPr>
                <w:rFonts w:asciiTheme="minorHAnsi" w:hAnsiTheme="minorHAnsi" w:cstheme="minorHAnsi"/>
              </w:rPr>
              <w:lastRenderedPageBreak/>
              <w:t>Rule 11UA</w:t>
            </w:r>
            <w:r w:rsidR="00B75459" w:rsidRPr="00724B49">
              <w:rPr>
                <w:rFonts w:asciiTheme="minorHAnsi" w:hAnsiTheme="minorHAnsi" w:cstheme="minorHAnsi"/>
              </w:rPr>
              <w:t xml:space="preserve"> of IT Rules 1962</w:t>
            </w:r>
            <w:r w:rsidR="00C26894" w:rsidRPr="00724B49">
              <w:rPr>
                <w:rFonts w:asciiTheme="minorHAnsi" w:hAnsiTheme="minorHAnsi" w:cstheme="minorHAnsi"/>
              </w:rPr>
              <w:t xml:space="preserve"> (Rule 57 of Draft Rules 2026)</w:t>
            </w:r>
            <w:r w:rsidRPr="00724B49">
              <w:rPr>
                <w:rFonts w:asciiTheme="minorHAnsi" w:hAnsiTheme="minorHAnsi" w:cstheme="minorHAnsi"/>
              </w:rPr>
              <w:t xml:space="preserve"> valuation may be modified to capture certain key attributes of shares such as differential rights, restrictions on free transferability etc</w:t>
            </w:r>
            <w:r w:rsidR="005A1703" w:rsidRPr="00724B49">
              <w:rPr>
                <w:rFonts w:asciiTheme="minorHAnsi" w:hAnsiTheme="minorHAnsi" w:cstheme="minorHAnsi"/>
              </w:rPr>
              <w:t>.</w:t>
            </w:r>
          </w:p>
          <w:p w14:paraId="08FADFFF" w14:textId="61EDF61E" w:rsidR="00C66C24" w:rsidRPr="00724B49" w:rsidRDefault="00F110E3" w:rsidP="00AA128D">
            <w:pPr>
              <w:pStyle w:val="ListParagraph"/>
              <w:widowControl/>
              <w:numPr>
                <w:ilvl w:val="0"/>
                <w:numId w:val="8"/>
              </w:numPr>
              <w:autoSpaceDE/>
              <w:autoSpaceDN/>
              <w:spacing w:after="160" w:line="276" w:lineRule="auto"/>
              <w:ind w:left="360"/>
              <w:jc w:val="both"/>
              <w:rPr>
                <w:rFonts w:asciiTheme="minorHAnsi" w:hAnsiTheme="minorHAnsi" w:cstheme="minorHAnsi"/>
              </w:rPr>
            </w:pPr>
            <w:r w:rsidRPr="00724B49">
              <w:rPr>
                <w:rFonts w:asciiTheme="minorHAnsi" w:hAnsiTheme="minorHAnsi" w:cstheme="minorHAnsi"/>
              </w:rPr>
              <w:t>Rule 11UA valuation may be modified to consider book value of such under construction property till the time it reaches stage to adopt ready reckoner value of building basis stamp duty law</w:t>
            </w:r>
            <w:r w:rsidR="00A1116D" w:rsidRPr="00724B49">
              <w:rPr>
                <w:rFonts w:asciiTheme="minorHAnsi" w:hAnsiTheme="minorHAnsi" w:cstheme="minorHAnsi"/>
              </w:rPr>
              <w:t>.</w:t>
            </w:r>
            <w:r w:rsidR="0075390D">
              <w:rPr>
                <w:rFonts w:asciiTheme="minorHAnsi" w:hAnsiTheme="minorHAnsi" w:cstheme="minorHAnsi"/>
              </w:rPr>
              <w:t xml:space="preserve"> Furthermore, foreign immovable property may be exempted from </w:t>
            </w:r>
            <w:r w:rsidR="00534273">
              <w:rPr>
                <w:rFonts w:asciiTheme="minorHAnsi" w:hAnsiTheme="minorHAnsi" w:cstheme="minorHAnsi"/>
              </w:rPr>
              <w:t>valuation at stamp duty ready reckoner value.</w:t>
            </w:r>
          </w:p>
        </w:tc>
      </w:tr>
      <w:tr w:rsidR="00A1116D" w:rsidRPr="004179E6" w14:paraId="4A0AB59F" w14:textId="77777777" w:rsidTr="00210D4C">
        <w:trPr>
          <w:trHeight w:val="20"/>
        </w:trPr>
        <w:tc>
          <w:tcPr>
            <w:tcW w:w="512" w:type="dxa"/>
          </w:tcPr>
          <w:p w14:paraId="063CDD9C" w14:textId="77777777" w:rsidR="00A1116D" w:rsidRPr="004179E6" w:rsidRDefault="00A1116D"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1A4050E7" w14:textId="52905342" w:rsidR="0027556D" w:rsidRPr="006A70DB" w:rsidRDefault="0027556D" w:rsidP="00AA128D">
            <w:pPr>
              <w:widowControl/>
              <w:autoSpaceDE/>
              <w:autoSpaceDN/>
              <w:spacing w:after="160" w:line="276" w:lineRule="auto"/>
              <w:jc w:val="both"/>
              <w:rPr>
                <w:rFonts w:asciiTheme="minorHAnsi" w:hAnsiTheme="minorHAnsi" w:cstheme="minorHAnsi"/>
                <w:b/>
                <w:kern w:val="12"/>
                <w:lang w:val="en-IN"/>
              </w:rPr>
            </w:pPr>
            <w:r w:rsidRPr="006A70DB">
              <w:rPr>
                <w:rFonts w:asciiTheme="minorHAnsi" w:hAnsiTheme="minorHAnsi" w:cstheme="minorHAnsi"/>
                <w:b/>
                <w:kern w:val="12"/>
                <w:lang w:val="en-IN"/>
              </w:rPr>
              <w:t>Fair Market Valuation (FMV) of unquoted shares under Rule 11UA/11UAA</w:t>
            </w:r>
            <w:r w:rsidR="00B75459" w:rsidRPr="006A70DB">
              <w:rPr>
                <w:rFonts w:asciiTheme="minorHAnsi" w:hAnsiTheme="minorHAnsi" w:cstheme="minorHAnsi"/>
                <w:b/>
                <w:kern w:val="12"/>
                <w:lang w:val="en-IN"/>
              </w:rPr>
              <w:t xml:space="preserve"> r</w:t>
            </w:r>
            <w:r w:rsidRPr="006A70DB">
              <w:rPr>
                <w:rFonts w:asciiTheme="minorHAnsi" w:hAnsiTheme="minorHAnsi" w:cstheme="minorHAnsi"/>
                <w:b/>
                <w:kern w:val="12"/>
                <w:lang w:val="en-IN"/>
              </w:rPr>
              <w:t xml:space="preserve">ead with Rule 11U of the Income-tax Rules 1962 </w:t>
            </w:r>
          </w:p>
          <w:p w14:paraId="680E4B63" w14:textId="4026ECDC" w:rsidR="00A1116D" w:rsidRPr="00D61A17" w:rsidRDefault="00B75459" w:rsidP="00AA128D">
            <w:pPr>
              <w:widowControl/>
              <w:autoSpaceDE/>
              <w:autoSpaceDN/>
              <w:spacing w:after="160" w:line="276" w:lineRule="auto"/>
              <w:jc w:val="both"/>
              <w:rPr>
                <w:rFonts w:asciiTheme="minorHAnsi" w:hAnsiTheme="minorHAnsi" w:cstheme="minorHAnsi"/>
                <w:b/>
                <w:kern w:val="12"/>
                <w:lang w:val="en-IN"/>
              </w:rPr>
            </w:pPr>
            <w:r w:rsidRPr="006A70DB">
              <w:rPr>
                <w:rFonts w:asciiTheme="minorHAnsi" w:hAnsiTheme="minorHAnsi" w:cstheme="minorHAnsi"/>
                <w:b/>
                <w:kern w:val="12"/>
                <w:lang w:val="en-IN"/>
              </w:rPr>
              <w:t>(</w:t>
            </w:r>
            <w:r w:rsidR="002651FA" w:rsidRPr="006A70DB">
              <w:rPr>
                <w:rFonts w:asciiTheme="minorHAnsi" w:hAnsiTheme="minorHAnsi" w:cstheme="minorHAnsi"/>
                <w:b/>
                <w:kern w:val="12"/>
                <w:lang w:val="en-IN"/>
              </w:rPr>
              <w:t xml:space="preserve">New </w:t>
            </w:r>
            <w:r w:rsidRPr="006A70DB">
              <w:rPr>
                <w:rFonts w:asciiTheme="minorHAnsi" w:hAnsiTheme="minorHAnsi" w:cstheme="minorHAnsi"/>
                <w:b/>
                <w:kern w:val="12"/>
                <w:lang w:val="en-IN"/>
              </w:rPr>
              <w:t>Rule 56 &amp; 57 of the Draft IT Rules, 2026)</w:t>
            </w:r>
          </w:p>
        </w:tc>
        <w:tc>
          <w:tcPr>
            <w:tcW w:w="10986" w:type="dxa"/>
          </w:tcPr>
          <w:p w14:paraId="791E1D7E" w14:textId="3C50007F" w:rsidR="0027556D" w:rsidRPr="004133E6" w:rsidRDefault="0027556D" w:rsidP="00AA128D">
            <w:pPr>
              <w:widowControl/>
              <w:autoSpaceDE/>
              <w:autoSpaceDN/>
              <w:spacing w:after="160" w:line="276" w:lineRule="auto"/>
              <w:jc w:val="both"/>
              <w:rPr>
                <w:rFonts w:asciiTheme="minorHAnsi" w:hAnsiTheme="minorHAnsi" w:cstheme="minorHAnsi"/>
                <w:b/>
                <w:bCs/>
                <w:kern w:val="12"/>
                <w:lang w:val="en-IN"/>
              </w:rPr>
            </w:pPr>
            <w:r w:rsidRPr="004133E6">
              <w:rPr>
                <w:rFonts w:asciiTheme="minorHAnsi" w:hAnsiTheme="minorHAnsi" w:cstheme="minorHAnsi"/>
                <w:b/>
                <w:bCs/>
                <w:kern w:val="12"/>
                <w:lang w:val="en-IN"/>
              </w:rPr>
              <w:t>Rationale</w:t>
            </w:r>
          </w:p>
          <w:p w14:paraId="3E719026" w14:textId="54633718" w:rsidR="0027556D" w:rsidRPr="00192A44" w:rsidRDefault="0027556D" w:rsidP="00AA128D">
            <w:pPr>
              <w:pStyle w:val="ListParagraph"/>
              <w:widowControl/>
              <w:numPr>
                <w:ilvl w:val="0"/>
                <w:numId w:val="8"/>
              </w:numPr>
              <w:autoSpaceDE/>
              <w:autoSpaceDN/>
              <w:spacing w:after="160" w:line="276" w:lineRule="auto"/>
              <w:ind w:left="360"/>
              <w:jc w:val="both"/>
              <w:rPr>
                <w:rFonts w:asciiTheme="minorHAnsi" w:hAnsiTheme="minorHAnsi" w:cstheme="minorHAnsi"/>
                <w:b/>
              </w:rPr>
            </w:pPr>
            <w:r w:rsidRPr="004133E6">
              <w:rPr>
                <w:rFonts w:asciiTheme="minorHAnsi" w:hAnsiTheme="minorHAnsi" w:cstheme="minorHAnsi"/>
                <w:kern w:val="12"/>
                <w:lang w:val="en-IN"/>
              </w:rPr>
              <w:t>Rule 11UA and Rule 11UAA</w:t>
            </w:r>
            <w:r w:rsidR="00673424" w:rsidRPr="004133E6">
              <w:rPr>
                <w:rFonts w:asciiTheme="minorHAnsi" w:hAnsiTheme="minorHAnsi" w:cstheme="minorHAnsi"/>
                <w:kern w:val="12"/>
                <w:lang w:val="en-IN"/>
              </w:rPr>
              <w:t xml:space="preserve"> of IT Rules 1962</w:t>
            </w:r>
            <w:r w:rsidR="00D746A9" w:rsidRPr="004133E6">
              <w:rPr>
                <w:rFonts w:asciiTheme="minorHAnsi" w:hAnsiTheme="minorHAnsi" w:cstheme="minorHAnsi"/>
                <w:kern w:val="12"/>
                <w:lang w:val="en-IN"/>
              </w:rPr>
              <w:t xml:space="preserve"> (New rule 56</w:t>
            </w:r>
            <w:r w:rsidR="00A76453" w:rsidRPr="004133E6">
              <w:rPr>
                <w:rFonts w:asciiTheme="minorHAnsi" w:hAnsiTheme="minorHAnsi" w:cstheme="minorHAnsi"/>
                <w:kern w:val="12"/>
                <w:lang w:val="en-IN"/>
              </w:rPr>
              <w:t xml:space="preserve"> and 57) </w:t>
            </w:r>
            <w:r w:rsidRPr="004133E6">
              <w:rPr>
                <w:rFonts w:asciiTheme="minorHAnsi" w:hAnsiTheme="minorHAnsi" w:cstheme="minorHAnsi"/>
                <w:kern w:val="12"/>
                <w:lang w:val="en-IN"/>
              </w:rPr>
              <w:t>provide for computation of fair market value for the purpose of section 56(2)(x) and section 50CA</w:t>
            </w:r>
            <w:r w:rsidR="00BE4EC9" w:rsidRPr="004133E6">
              <w:rPr>
                <w:rFonts w:asciiTheme="minorHAnsi" w:hAnsiTheme="minorHAnsi" w:cstheme="minorHAnsi"/>
                <w:kern w:val="12"/>
                <w:lang w:val="en-IN"/>
              </w:rPr>
              <w:t xml:space="preserve"> of the ITA, 1961</w:t>
            </w:r>
            <w:r w:rsidRPr="004133E6">
              <w:rPr>
                <w:rFonts w:asciiTheme="minorHAnsi" w:hAnsiTheme="minorHAnsi" w:cstheme="minorHAnsi"/>
                <w:kern w:val="12"/>
                <w:lang w:val="en-IN"/>
              </w:rPr>
              <w:t xml:space="preserve"> </w:t>
            </w:r>
            <w:r w:rsidR="00BE4EC9" w:rsidRPr="004133E6">
              <w:rPr>
                <w:rFonts w:asciiTheme="minorHAnsi" w:hAnsiTheme="minorHAnsi" w:cstheme="minorHAnsi"/>
                <w:kern w:val="12"/>
                <w:lang w:val="en-IN"/>
              </w:rPr>
              <w:t>[</w:t>
            </w:r>
            <w:r w:rsidR="00BE4EC9" w:rsidRPr="00192A44">
              <w:rPr>
                <w:rFonts w:asciiTheme="minorHAnsi" w:hAnsiTheme="minorHAnsi" w:cstheme="minorHAnsi"/>
              </w:rPr>
              <w:t>corresponding s.92(2)(m) and 79 of ITA 2025]</w:t>
            </w:r>
            <w:r w:rsidR="00673424" w:rsidRPr="00192A44">
              <w:rPr>
                <w:rFonts w:asciiTheme="minorHAnsi" w:hAnsiTheme="minorHAnsi" w:cstheme="minorHAnsi"/>
              </w:rPr>
              <w:t>.</w:t>
            </w:r>
          </w:p>
          <w:p w14:paraId="25B3E709" w14:textId="680F65D2" w:rsidR="0027556D" w:rsidRPr="004133E6" w:rsidRDefault="0027556D" w:rsidP="00AA128D">
            <w:pPr>
              <w:pStyle w:val="ListParagraph"/>
              <w:widowControl/>
              <w:numPr>
                <w:ilvl w:val="0"/>
                <w:numId w:val="8"/>
              </w:numPr>
              <w:autoSpaceDE/>
              <w:autoSpaceDN/>
              <w:spacing w:after="160" w:line="276" w:lineRule="auto"/>
              <w:ind w:left="360"/>
              <w:jc w:val="both"/>
              <w:rPr>
                <w:rFonts w:asciiTheme="minorHAnsi" w:hAnsiTheme="minorHAnsi" w:cstheme="minorHAnsi"/>
                <w:kern w:val="12"/>
                <w:lang w:val="en-IN"/>
              </w:rPr>
            </w:pPr>
            <w:r w:rsidRPr="004133E6">
              <w:rPr>
                <w:rFonts w:asciiTheme="minorHAnsi" w:hAnsiTheme="minorHAnsi" w:cstheme="minorHAnsi"/>
                <w:kern w:val="12"/>
                <w:lang w:val="en-IN"/>
              </w:rPr>
              <w:t>As per the</w:t>
            </w:r>
            <w:r w:rsidR="00925795" w:rsidRPr="004133E6">
              <w:rPr>
                <w:rFonts w:asciiTheme="minorHAnsi" w:hAnsiTheme="minorHAnsi" w:cstheme="minorHAnsi"/>
                <w:kern w:val="12"/>
                <w:lang w:val="en-IN"/>
              </w:rPr>
              <w:t xml:space="preserve"> Rule 56</w:t>
            </w:r>
            <w:r w:rsidRPr="004133E6">
              <w:rPr>
                <w:rFonts w:asciiTheme="minorHAnsi" w:hAnsiTheme="minorHAnsi" w:cstheme="minorHAnsi"/>
                <w:kern w:val="12"/>
                <w:lang w:val="en-IN"/>
              </w:rPr>
              <w:t>, FMV of unquoted shares must be computed as on the date on which the property or consideration, as the case may be, is received by the taxpayer. This results in practical challenges especially since the FMV must be computed before the transaction actually takes place to ensure that the transaction price adheres to the prescribed parameters. Moreover, there is an added challenge when the transaction is undertaken on a date other than the first/last day of the month since valuations are based upon balance sheet values and/or DCF which are prepared on a monthly/yearly basis.</w:t>
            </w:r>
          </w:p>
          <w:p w14:paraId="44EE4336" w14:textId="496B876E" w:rsidR="0027556D" w:rsidRPr="004133E6" w:rsidRDefault="0027556D" w:rsidP="00AA128D">
            <w:pPr>
              <w:pStyle w:val="ListParagraph"/>
              <w:widowControl/>
              <w:numPr>
                <w:ilvl w:val="0"/>
                <w:numId w:val="8"/>
              </w:numPr>
              <w:autoSpaceDE/>
              <w:autoSpaceDN/>
              <w:spacing w:after="160" w:line="276" w:lineRule="auto"/>
              <w:ind w:left="360"/>
              <w:jc w:val="both"/>
              <w:rPr>
                <w:rFonts w:asciiTheme="minorHAnsi" w:hAnsiTheme="minorHAnsi" w:cstheme="minorHAnsi"/>
                <w:kern w:val="12"/>
                <w:lang w:val="en-IN"/>
              </w:rPr>
            </w:pPr>
            <w:r w:rsidRPr="004133E6">
              <w:rPr>
                <w:rFonts w:asciiTheme="minorHAnsi" w:hAnsiTheme="minorHAnsi" w:cstheme="minorHAnsi"/>
                <w:kern w:val="12"/>
                <w:lang w:val="en-IN"/>
              </w:rPr>
              <w:t>The FEMA guidelines have clarified that transactions pertaining to share allotment</w:t>
            </w:r>
            <w:r w:rsidR="0077260B">
              <w:rPr>
                <w:rFonts w:asciiTheme="minorHAnsi" w:hAnsiTheme="minorHAnsi" w:cstheme="minorHAnsi"/>
                <w:kern w:val="12"/>
                <w:lang w:val="en-IN"/>
              </w:rPr>
              <w:t xml:space="preserve"> </w:t>
            </w:r>
            <w:r w:rsidRPr="004133E6">
              <w:rPr>
                <w:rFonts w:asciiTheme="minorHAnsi" w:hAnsiTheme="minorHAnsi" w:cstheme="minorHAnsi"/>
                <w:kern w:val="12"/>
                <w:lang w:val="en-IN"/>
              </w:rPr>
              <w:t>to non-residents must be supported by a valuation certificate not older than 90 days from the date of allotment.</w:t>
            </w:r>
            <w:r w:rsidR="004133E6" w:rsidRPr="00C12574">
              <w:rPr>
                <w:rFonts w:asciiTheme="minorHAnsi" w:hAnsiTheme="minorHAnsi" w:cstheme="minorHAnsi"/>
                <w:kern w:val="12"/>
                <w:lang w:val="en-IN"/>
              </w:rPr>
              <w:t xml:space="preserve"> </w:t>
            </w:r>
          </w:p>
          <w:p w14:paraId="7C5DF11D" w14:textId="5C6CCE8B" w:rsidR="0027556D" w:rsidRPr="004133E6" w:rsidRDefault="004133E6" w:rsidP="00AA128D">
            <w:pPr>
              <w:widowControl/>
              <w:autoSpaceDE/>
              <w:autoSpaceDN/>
              <w:spacing w:after="160" w:line="276" w:lineRule="auto"/>
              <w:jc w:val="both"/>
              <w:rPr>
                <w:rFonts w:asciiTheme="minorHAnsi" w:hAnsiTheme="minorHAnsi" w:cstheme="minorHAnsi"/>
                <w:b/>
                <w:bCs/>
                <w:kern w:val="12"/>
                <w:lang w:val="en-IN"/>
              </w:rPr>
            </w:pPr>
            <w:r>
              <w:rPr>
                <w:rFonts w:asciiTheme="minorHAnsi" w:hAnsiTheme="minorHAnsi" w:cstheme="minorHAnsi"/>
                <w:kern w:val="12"/>
                <w:lang w:val="en-IN"/>
              </w:rPr>
              <w:t xml:space="preserve"> </w:t>
            </w:r>
            <w:r w:rsidR="0027556D" w:rsidRPr="004133E6">
              <w:rPr>
                <w:rFonts w:asciiTheme="minorHAnsi" w:hAnsiTheme="minorHAnsi" w:cstheme="minorHAnsi"/>
                <w:b/>
                <w:bCs/>
                <w:kern w:val="12"/>
                <w:lang w:val="en-IN"/>
              </w:rPr>
              <w:t>Recommendation</w:t>
            </w:r>
          </w:p>
          <w:p w14:paraId="3AF7DB8C" w14:textId="20900A9F" w:rsidR="0027556D" w:rsidRPr="004133E6" w:rsidRDefault="0027556D" w:rsidP="00AA128D">
            <w:pPr>
              <w:pStyle w:val="ListParagraph"/>
              <w:widowControl/>
              <w:numPr>
                <w:ilvl w:val="0"/>
                <w:numId w:val="8"/>
              </w:numPr>
              <w:autoSpaceDE/>
              <w:autoSpaceDN/>
              <w:spacing w:after="160" w:line="276" w:lineRule="auto"/>
              <w:ind w:left="360"/>
              <w:jc w:val="both"/>
              <w:rPr>
                <w:rFonts w:asciiTheme="minorHAnsi" w:hAnsiTheme="minorHAnsi" w:cstheme="minorHAnsi"/>
                <w:kern w:val="12"/>
                <w:lang w:val="en-IN"/>
              </w:rPr>
            </w:pPr>
            <w:r w:rsidRPr="004133E6">
              <w:rPr>
                <w:rFonts w:asciiTheme="minorHAnsi" w:hAnsiTheme="minorHAnsi" w:cstheme="minorHAnsi"/>
                <w:kern w:val="12"/>
                <w:lang w:val="en-IN"/>
              </w:rPr>
              <w:t>It is recommended that a clarification be issued as regards valuation under Rule 11UA/</w:t>
            </w:r>
            <w:r w:rsidR="004A2191" w:rsidRPr="004133E6">
              <w:rPr>
                <w:rFonts w:asciiTheme="minorHAnsi" w:hAnsiTheme="minorHAnsi" w:cstheme="minorHAnsi"/>
                <w:kern w:val="12"/>
                <w:lang w:val="en-IN"/>
              </w:rPr>
              <w:t xml:space="preserve"> </w:t>
            </w:r>
            <w:r w:rsidRPr="004133E6">
              <w:rPr>
                <w:rFonts w:asciiTheme="minorHAnsi" w:hAnsiTheme="minorHAnsi" w:cstheme="minorHAnsi"/>
                <w:kern w:val="12"/>
                <w:lang w:val="en-IN"/>
              </w:rPr>
              <w:t xml:space="preserve">11UAA </w:t>
            </w:r>
            <w:r w:rsidR="007B6B74" w:rsidRPr="004133E6">
              <w:rPr>
                <w:rFonts w:asciiTheme="minorHAnsi" w:hAnsiTheme="minorHAnsi" w:cstheme="minorHAnsi"/>
                <w:kern w:val="12"/>
                <w:lang w:val="en-IN"/>
              </w:rPr>
              <w:t xml:space="preserve">of IT Rules 1962 </w:t>
            </w:r>
            <w:r w:rsidR="00EA0BF4" w:rsidRPr="004133E6">
              <w:rPr>
                <w:rFonts w:asciiTheme="minorHAnsi" w:hAnsiTheme="minorHAnsi" w:cstheme="minorHAnsi"/>
                <w:kern w:val="12"/>
                <w:lang w:val="en-IN"/>
              </w:rPr>
              <w:t>(R</w:t>
            </w:r>
            <w:r w:rsidR="00316BA9" w:rsidRPr="004133E6">
              <w:rPr>
                <w:rFonts w:asciiTheme="minorHAnsi" w:hAnsiTheme="minorHAnsi" w:cstheme="minorHAnsi"/>
                <w:kern w:val="12"/>
                <w:lang w:val="en-IN"/>
              </w:rPr>
              <w:t>ule</w:t>
            </w:r>
            <w:r w:rsidR="00EA0BF4" w:rsidRPr="004133E6">
              <w:rPr>
                <w:rFonts w:asciiTheme="minorHAnsi" w:hAnsiTheme="minorHAnsi" w:cstheme="minorHAnsi"/>
                <w:kern w:val="12"/>
                <w:lang w:val="en-IN"/>
              </w:rPr>
              <w:t xml:space="preserve"> 57 of the Draft IT Rules, 2026) </w:t>
            </w:r>
            <w:r w:rsidRPr="004133E6">
              <w:rPr>
                <w:rFonts w:asciiTheme="minorHAnsi" w:hAnsiTheme="minorHAnsi" w:cstheme="minorHAnsi"/>
                <w:kern w:val="12"/>
                <w:lang w:val="en-IN"/>
              </w:rPr>
              <w:t>wherein valuation within a prescribed threshold (e.g. 90 days) prior to the actual date of transfer would be considered as sufficient compliance with the said Rule.</w:t>
            </w:r>
          </w:p>
          <w:p w14:paraId="076F0B21" w14:textId="51AE66FF" w:rsidR="00A1116D" w:rsidRPr="004133E6" w:rsidRDefault="0027556D" w:rsidP="00AA128D">
            <w:pPr>
              <w:pStyle w:val="ListParagraph"/>
              <w:widowControl/>
              <w:numPr>
                <w:ilvl w:val="0"/>
                <w:numId w:val="8"/>
              </w:numPr>
              <w:autoSpaceDE/>
              <w:autoSpaceDN/>
              <w:spacing w:after="160" w:line="276" w:lineRule="auto"/>
              <w:ind w:left="360"/>
              <w:jc w:val="both"/>
              <w:rPr>
                <w:rFonts w:asciiTheme="minorHAnsi" w:hAnsiTheme="minorHAnsi" w:cstheme="minorHAnsi"/>
                <w:kern w:val="12"/>
                <w:lang w:val="en-IN"/>
              </w:rPr>
            </w:pPr>
            <w:r w:rsidRPr="004133E6">
              <w:rPr>
                <w:rFonts w:asciiTheme="minorHAnsi" w:hAnsiTheme="minorHAnsi" w:cstheme="minorHAnsi"/>
                <w:kern w:val="12"/>
                <w:lang w:val="en-IN"/>
              </w:rPr>
              <w:lastRenderedPageBreak/>
              <w:t>Alternatively, it is recommended that a similar provision be made applicable for valuation under Rule 11UA/ 11UAA as well so as to absolve the taxpayers from the hassles of securing a fresh valuation in cases where there is no material change in the asset base vis-à-vis the immediate previous financial year.</w:t>
            </w:r>
          </w:p>
        </w:tc>
      </w:tr>
      <w:tr w:rsidR="003C3299" w:rsidRPr="004179E6" w14:paraId="72F313E2" w14:textId="77777777" w:rsidTr="00210D4C">
        <w:trPr>
          <w:trHeight w:val="20"/>
        </w:trPr>
        <w:tc>
          <w:tcPr>
            <w:tcW w:w="14454" w:type="dxa"/>
            <w:gridSpan w:val="3"/>
            <w:shd w:val="clear" w:color="auto" w:fill="D9D9D9" w:themeFill="background1" w:themeFillShade="D9"/>
          </w:tcPr>
          <w:p w14:paraId="750243E1" w14:textId="5F0FCF94" w:rsidR="007031A7" w:rsidRPr="006A70DB" w:rsidRDefault="007031A7" w:rsidP="00AA128D">
            <w:pPr>
              <w:spacing w:after="160" w:line="276" w:lineRule="auto"/>
              <w:jc w:val="center"/>
              <w:rPr>
                <w:rFonts w:asciiTheme="minorHAnsi" w:hAnsiTheme="minorHAnsi" w:cstheme="minorHAnsi"/>
                <w:b/>
              </w:rPr>
            </w:pPr>
            <w:r w:rsidRPr="006A70DB">
              <w:rPr>
                <w:rFonts w:asciiTheme="minorHAnsi" w:hAnsiTheme="minorHAnsi" w:cstheme="minorHAnsi"/>
                <w:b/>
              </w:rPr>
              <w:lastRenderedPageBreak/>
              <w:t>Tax deducted at source</w:t>
            </w:r>
          </w:p>
        </w:tc>
      </w:tr>
      <w:tr w:rsidR="003C3299" w:rsidRPr="004179E6" w14:paraId="02529298" w14:textId="77777777" w:rsidTr="00210D4C">
        <w:trPr>
          <w:trHeight w:val="20"/>
        </w:trPr>
        <w:tc>
          <w:tcPr>
            <w:tcW w:w="512" w:type="dxa"/>
          </w:tcPr>
          <w:p w14:paraId="7681DCF1" w14:textId="77777777" w:rsidR="007031A7" w:rsidRPr="004179E6" w:rsidRDefault="007031A7"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6F05EEDA" w14:textId="61449851" w:rsidR="002A3473" w:rsidRPr="006A70DB" w:rsidRDefault="007031A7" w:rsidP="00AA128D">
            <w:pPr>
              <w:spacing w:after="160" w:line="276" w:lineRule="auto"/>
              <w:rPr>
                <w:rFonts w:asciiTheme="minorHAnsi" w:hAnsiTheme="minorHAnsi" w:cstheme="minorHAnsi"/>
                <w:b/>
              </w:rPr>
            </w:pPr>
            <w:r w:rsidRPr="006A70DB">
              <w:rPr>
                <w:rFonts w:asciiTheme="minorHAnsi" w:hAnsiTheme="minorHAnsi" w:cstheme="minorHAnsi"/>
                <w:b/>
              </w:rPr>
              <w:t>Form 26AS /Annual Information Statement (AIS) to include PAN of deductor, Unique TDS Certificate Number and Invoice</w:t>
            </w:r>
            <w:r w:rsidR="004F4233" w:rsidRPr="006A70DB">
              <w:rPr>
                <w:rFonts w:asciiTheme="minorHAnsi" w:hAnsiTheme="minorHAnsi" w:cstheme="minorHAnsi"/>
                <w:b/>
              </w:rPr>
              <w:t>-</w:t>
            </w:r>
            <w:r w:rsidRPr="006A70DB">
              <w:rPr>
                <w:rFonts w:asciiTheme="minorHAnsi" w:hAnsiTheme="minorHAnsi" w:cstheme="minorHAnsi"/>
                <w:b/>
              </w:rPr>
              <w:t>wise break for Sales data</w:t>
            </w:r>
          </w:p>
        </w:tc>
        <w:tc>
          <w:tcPr>
            <w:tcW w:w="10986" w:type="dxa"/>
          </w:tcPr>
          <w:p w14:paraId="51A91136" w14:textId="051B394A" w:rsidR="00E27F42" w:rsidRPr="0015283E" w:rsidRDefault="00E27F42" w:rsidP="00AA128D">
            <w:pPr>
              <w:spacing w:after="160" w:line="276" w:lineRule="auto"/>
              <w:jc w:val="both"/>
              <w:rPr>
                <w:rFonts w:asciiTheme="minorHAnsi" w:hAnsiTheme="minorHAnsi" w:cstheme="minorHAnsi"/>
              </w:rPr>
            </w:pPr>
            <w:r w:rsidRPr="0015283E">
              <w:rPr>
                <w:rFonts w:asciiTheme="minorHAnsi" w:hAnsiTheme="minorHAnsi" w:cstheme="minorHAnsi"/>
                <w:b/>
              </w:rPr>
              <w:t>Rationale</w:t>
            </w:r>
            <w:r w:rsidRPr="0015283E">
              <w:rPr>
                <w:rFonts w:asciiTheme="minorHAnsi" w:hAnsiTheme="minorHAnsi" w:cstheme="minorHAnsi"/>
              </w:rPr>
              <w:t>:</w:t>
            </w:r>
          </w:p>
          <w:p w14:paraId="5E0633BC" w14:textId="06D4D403" w:rsidR="00E27F42" w:rsidRPr="0015283E" w:rsidRDefault="00E27F42" w:rsidP="00AA128D">
            <w:pPr>
              <w:pStyle w:val="ListParagraph"/>
              <w:widowControl/>
              <w:numPr>
                <w:ilvl w:val="0"/>
                <w:numId w:val="1"/>
              </w:numPr>
              <w:autoSpaceDE/>
              <w:spacing w:after="160" w:line="276" w:lineRule="auto"/>
              <w:ind w:left="389"/>
              <w:jc w:val="both"/>
              <w:rPr>
                <w:rFonts w:asciiTheme="minorHAnsi" w:hAnsiTheme="minorHAnsi" w:cstheme="minorHAnsi"/>
              </w:rPr>
            </w:pPr>
            <w:r w:rsidRPr="0015283E">
              <w:rPr>
                <w:rFonts w:asciiTheme="minorHAnsi" w:hAnsiTheme="minorHAnsi" w:cstheme="minorHAnsi"/>
              </w:rPr>
              <w:t>With Section 194Q introduced for TDS on purchase of goods</w:t>
            </w:r>
            <w:r w:rsidR="00B03D8C">
              <w:rPr>
                <w:rFonts w:asciiTheme="minorHAnsi" w:hAnsiTheme="minorHAnsi" w:cstheme="minorHAnsi"/>
              </w:rPr>
              <w:t xml:space="preserve"> (S. 393(1) of ITA 2025</w:t>
            </w:r>
            <w:r w:rsidRPr="0015283E">
              <w:rPr>
                <w:rFonts w:asciiTheme="minorHAnsi" w:hAnsiTheme="minorHAnsi" w:cstheme="minorHAnsi"/>
              </w:rPr>
              <w:t>, the volume of transactions covered under the ambit of TDS has increased.</w:t>
            </w:r>
          </w:p>
          <w:p w14:paraId="2EFB9B73" w14:textId="509D5849" w:rsidR="00E27F42" w:rsidRPr="0015283E" w:rsidRDefault="00E27F42" w:rsidP="00AA128D">
            <w:pPr>
              <w:pStyle w:val="ListParagraph"/>
              <w:widowControl/>
              <w:numPr>
                <w:ilvl w:val="0"/>
                <w:numId w:val="1"/>
              </w:numPr>
              <w:autoSpaceDE/>
              <w:spacing w:after="160" w:line="276" w:lineRule="auto"/>
              <w:ind w:left="389"/>
              <w:jc w:val="both"/>
              <w:rPr>
                <w:rFonts w:asciiTheme="minorHAnsi" w:hAnsiTheme="minorHAnsi" w:cstheme="minorHAnsi"/>
              </w:rPr>
            </w:pPr>
            <w:r w:rsidRPr="0015283E">
              <w:rPr>
                <w:rFonts w:asciiTheme="minorHAnsi" w:hAnsiTheme="minorHAnsi" w:cstheme="minorHAnsi"/>
              </w:rPr>
              <w:t xml:space="preserve">Currently, Form 26AS/Annual Information Statement (AIS) </w:t>
            </w:r>
            <w:r w:rsidR="002959A6">
              <w:rPr>
                <w:rFonts w:asciiTheme="minorHAnsi" w:hAnsiTheme="minorHAnsi" w:cstheme="minorHAnsi"/>
              </w:rPr>
              <w:t xml:space="preserve">(New Form 168) </w:t>
            </w:r>
            <w:r w:rsidRPr="0015283E">
              <w:rPr>
                <w:rFonts w:asciiTheme="minorHAnsi" w:hAnsiTheme="minorHAnsi" w:cstheme="minorHAnsi"/>
              </w:rPr>
              <w:t>contains the details of Name and TAN of the deductor. However, PAN of the deductor does not appear in the statement. In absence of PAN, it is difficult to match the TDS as per 26AS with the books of the accounts of the deductee-companies since the customer details are generally PAN based.</w:t>
            </w:r>
          </w:p>
          <w:p w14:paraId="325ACC8F" w14:textId="77777777" w:rsidR="00E27F42" w:rsidRPr="0015283E" w:rsidRDefault="00E27F42" w:rsidP="00AA128D">
            <w:pPr>
              <w:pStyle w:val="ListParagraph"/>
              <w:widowControl/>
              <w:numPr>
                <w:ilvl w:val="0"/>
                <w:numId w:val="1"/>
              </w:numPr>
              <w:autoSpaceDE/>
              <w:spacing w:after="160" w:line="276" w:lineRule="auto"/>
              <w:ind w:left="389"/>
              <w:jc w:val="both"/>
              <w:rPr>
                <w:rFonts w:asciiTheme="minorHAnsi" w:hAnsiTheme="minorHAnsi" w:cstheme="minorHAnsi"/>
              </w:rPr>
            </w:pPr>
            <w:r w:rsidRPr="0015283E">
              <w:rPr>
                <w:rFonts w:asciiTheme="minorHAnsi" w:hAnsiTheme="minorHAnsi" w:cstheme="minorHAnsi"/>
              </w:rPr>
              <w:t>Similarly, in case of large companies, matching of TDS as per 26AS with TDS as per books becomes very difficult. Further, there can be various sales returns on which the large corporates, for ease of compliance, may not be reversing the TDS deducted and already deposited with the government. This leads to a challenge in claiming of TDS / TCS reconciliation and TDS / TCS credit claim.</w:t>
            </w:r>
          </w:p>
          <w:p w14:paraId="1AB8DD02" w14:textId="36FFB3D4" w:rsidR="002E31E8" w:rsidRPr="0015283E" w:rsidRDefault="00E27F42" w:rsidP="00AA128D">
            <w:pPr>
              <w:pStyle w:val="ListParagraph"/>
              <w:widowControl/>
              <w:numPr>
                <w:ilvl w:val="0"/>
                <w:numId w:val="1"/>
              </w:numPr>
              <w:autoSpaceDE/>
              <w:spacing w:after="160" w:line="276" w:lineRule="auto"/>
              <w:ind w:left="389"/>
              <w:jc w:val="both"/>
              <w:rPr>
                <w:rFonts w:asciiTheme="minorHAnsi" w:hAnsiTheme="minorHAnsi" w:cstheme="minorHAnsi"/>
              </w:rPr>
            </w:pPr>
            <w:r w:rsidRPr="0015283E">
              <w:rPr>
                <w:rFonts w:asciiTheme="minorHAnsi" w:hAnsiTheme="minorHAnsi" w:cstheme="minorHAnsi"/>
              </w:rPr>
              <w:t xml:space="preserve">Also, while sales data from GST returns is captured in AIS and sales data is captured from TDS u/s. 194Q, there is no invoice wise break up available which will facilitate automated reconciliation through software to identify data mismatches. </w:t>
            </w:r>
          </w:p>
          <w:p w14:paraId="29381333" w14:textId="02FC2104" w:rsidR="007E4C80" w:rsidRPr="0015283E" w:rsidRDefault="002E31E8" w:rsidP="00AA128D">
            <w:pPr>
              <w:pStyle w:val="ListParagraph"/>
              <w:widowControl/>
              <w:numPr>
                <w:ilvl w:val="0"/>
                <w:numId w:val="1"/>
              </w:numPr>
              <w:autoSpaceDE/>
              <w:spacing w:after="160" w:line="276" w:lineRule="auto"/>
              <w:ind w:left="389"/>
              <w:jc w:val="both"/>
              <w:rPr>
                <w:rFonts w:asciiTheme="minorHAnsi" w:hAnsiTheme="minorHAnsi" w:cstheme="minorHAnsi"/>
              </w:rPr>
            </w:pPr>
            <w:r w:rsidRPr="0015283E">
              <w:rPr>
                <w:rFonts w:asciiTheme="minorHAnsi" w:hAnsiTheme="minorHAnsi" w:cstheme="minorHAnsi"/>
              </w:rPr>
              <w:t>Further, i</w:t>
            </w:r>
            <w:r w:rsidR="007E4C80" w:rsidRPr="0015283E">
              <w:rPr>
                <w:rFonts w:asciiTheme="minorHAnsi" w:hAnsiTheme="minorHAnsi" w:cstheme="minorHAnsi"/>
              </w:rPr>
              <w:t>n TDS certificate currently PAN of deductee is mentioned. In case of a company having multiple units with different TAN across different locations who have transactions with same deductor, it becomes difficult to</w:t>
            </w:r>
            <w:r w:rsidRPr="0015283E">
              <w:rPr>
                <w:rFonts w:asciiTheme="minorHAnsi" w:hAnsiTheme="minorHAnsi" w:cstheme="minorHAnsi"/>
              </w:rPr>
              <w:t xml:space="preserve"> </w:t>
            </w:r>
            <w:r w:rsidR="007E4C80" w:rsidRPr="0015283E">
              <w:rPr>
                <w:rFonts w:asciiTheme="minorHAnsi" w:hAnsiTheme="minorHAnsi" w:cstheme="minorHAnsi"/>
              </w:rPr>
              <w:t>identify the deductee unit.</w:t>
            </w:r>
          </w:p>
          <w:p w14:paraId="35232C03" w14:textId="5FDC7E38" w:rsidR="00E27F42" w:rsidRPr="0015283E" w:rsidRDefault="00E27F42" w:rsidP="00AA128D">
            <w:pPr>
              <w:spacing w:after="160" w:line="276" w:lineRule="auto"/>
              <w:jc w:val="both"/>
              <w:rPr>
                <w:rFonts w:asciiTheme="minorHAnsi" w:hAnsiTheme="minorHAnsi" w:cstheme="minorHAnsi"/>
              </w:rPr>
            </w:pPr>
            <w:r w:rsidRPr="0015283E">
              <w:rPr>
                <w:rFonts w:asciiTheme="minorHAnsi" w:hAnsiTheme="minorHAnsi" w:cstheme="minorHAnsi"/>
                <w:b/>
              </w:rPr>
              <w:lastRenderedPageBreak/>
              <w:t>Recommendation</w:t>
            </w:r>
            <w:r w:rsidRPr="0015283E">
              <w:rPr>
                <w:rFonts w:asciiTheme="minorHAnsi" w:hAnsiTheme="minorHAnsi" w:cstheme="minorHAnsi"/>
              </w:rPr>
              <w:t>:</w:t>
            </w:r>
          </w:p>
          <w:p w14:paraId="215C4CC1" w14:textId="76BFC997" w:rsidR="00E27F42" w:rsidRPr="0015283E" w:rsidRDefault="00E27F42" w:rsidP="00AA128D">
            <w:pPr>
              <w:pStyle w:val="ListParagraph"/>
              <w:widowControl/>
              <w:numPr>
                <w:ilvl w:val="0"/>
                <w:numId w:val="1"/>
              </w:numPr>
              <w:autoSpaceDE/>
              <w:spacing w:after="160" w:line="276" w:lineRule="auto"/>
              <w:ind w:left="389"/>
              <w:jc w:val="both"/>
              <w:rPr>
                <w:rFonts w:asciiTheme="minorHAnsi" w:hAnsiTheme="minorHAnsi" w:cstheme="minorHAnsi"/>
              </w:rPr>
            </w:pPr>
            <w:r w:rsidRPr="0015283E">
              <w:rPr>
                <w:rFonts w:asciiTheme="minorHAnsi" w:hAnsiTheme="minorHAnsi" w:cstheme="minorHAnsi"/>
              </w:rPr>
              <w:t xml:space="preserve">TDS credit should be allowed basis the Form 26AS </w:t>
            </w:r>
            <w:r w:rsidR="00DB7FB7">
              <w:rPr>
                <w:rFonts w:asciiTheme="minorHAnsi" w:hAnsiTheme="minorHAnsi" w:cstheme="minorHAnsi"/>
              </w:rPr>
              <w:t>(N</w:t>
            </w:r>
            <w:r w:rsidR="00950322">
              <w:rPr>
                <w:rFonts w:asciiTheme="minorHAnsi" w:hAnsiTheme="minorHAnsi" w:cstheme="minorHAnsi"/>
              </w:rPr>
              <w:t>e</w:t>
            </w:r>
            <w:r w:rsidR="00DB7FB7">
              <w:rPr>
                <w:rFonts w:asciiTheme="minorHAnsi" w:hAnsiTheme="minorHAnsi" w:cstheme="minorHAnsi"/>
              </w:rPr>
              <w:t xml:space="preserve">w Form 168) </w:t>
            </w:r>
            <w:r w:rsidRPr="0015283E">
              <w:rPr>
                <w:rFonts w:asciiTheme="minorHAnsi" w:hAnsiTheme="minorHAnsi" w:cstheme="minorHAnsi"/>
              </w:rPr>
              <w:t>credit, irrespective of the timing difference of purchase / sales recorded in books of taxpayer vs TDS / TCS credit appearing in a different financial year.</w:t>
            </w:r>
          </w:p>
          <w:p w14:paraId="6CF93D89" w14:textId="27182C62" w:rsidR="00E27F42" w:rsidRPr="0015283E" w:rsidRDefault="00E27F42" w:rsidP="00AA128D">
            <w:pPr>
              <w:pStyle w:val="ListParagraph"/>
              <w:widowControl/>
              <w:numPr>
                <w:ilvl w:val="0"/>
                <w:numId w:val="1"/>
              </w:numPr>
              <w:autoSpaceDE/>
              <w:spacing w:after="160" w:line="276" w:lineRule="auto"/>
              <w:ind w:left="389"/>
              <w:jc w:val="both"/>
              <w:rPr>
                <w:rFonts w:asciiTheme="minorHAnsi" w:hAnsiTheme="minorHAnsi" w:cstheme="minorHAnsi"/>
              </w:rPr>
            </w:pPr>
            <w:r w:rsidRPr="0015283E">
              <w:rPr>
                <w:rFonts w:asciiTheme="minorHAnsi" w:hAnsiTheme="minorHAnsi" w:cstheme="minorHAnsi"/>
              </w:rPr>
              <w:t>Alternatively, Form 26AS/AIS</w:t>
            </w:r>
            <w:r w:rsidR="00DB7FB7">
              <w:rPr>
                <w:rFonts w:asciiTheme="minorHAnsi" w:hAnsiTheme="minorHAnsi" w:cstheme="minorHAnsi"/>
              </w:rPr>
              <w:t xml:space="preserve"> (New For</w:t>
            </w:r>
            <w:r w:rsidR="00C52BE6">
              <w:rPr>
                <w:rFonts w:asciiTheme="minorHAnsi" w:hAnsiTheme="minorHAnsi" w:cstheme="minorHAnsi"/>
              </w:rPr>
              <w:t>m</w:t>
            </w:r>
            <w:r w:rsidR="00DB7FB7">
              <w:rPr>
                <w:rFonts w:asciiTheme="minorHAnsi" w:hAnsiTheme="minorHAnsi" w:cstheme="minorHAnsi"/>
              </w:rPr>
              <w:t xml:space="preserve"> 168)</w:t>
            </w:r>
            <w:r w:rsidRPr="0015283E">
              <w:rPr>
                <w:rFonts w:asciiTheme="minorHAnsi" w:hAnsiTheme="minorHAnsi" w:cstheme="minorHAnsi"/>
              </w:rPr>
              <w:t xml:space="preserve"> should also incorporate the PAN of the deductor and the unique certificate number so that the same can be reviewed and matched with the books of accounts of the company.</w:t>
            </w:r>
          </w:p>
          <w:p w14:paraId="773B25D7" w14:textId="5DF74968" w:rsidR="007031A7" w:rsidRPr="0015283E" w:rsidRDefault="00E27F42" w:rsidP="00AA128D">
            <w:pPr>
              <w:pStyle w:val="ListParagraph"/>
              <w:widowControl/>
              <w:numPr>
                <w:ilvl w:val="0"/>
                <w:numId w:val="1"/>
              </w:numPr>
              <w:autoSpaceDE/>
              <w:autoSpaceDN/>
              <w:spacing w:after="160" w:line="276" w:lineRule="auto"/>
              <w:ind w:left="389"/>
              <w:jc w:val="both"/>
              <w:rPr>
                <w:rFonts w:asciiTheme="minorHAnsi" w:hAnsiTheme="minorHAnsi" w:cstheme="minorHAnsi"/>
              </w:rPr>
            </w:pPr>
            <w:r w:rsidRPr="0015283E">
              <w:rPr>
                <w:rFonts w:asciiTheme="minorHAnsi" w:hAnsiTheme="minorHAnsi" w:cstheme="minorHAnsi"/>
              </w:rPr>
              <w:t xml:space="preserve">Furthermore, the reporting of TDS u/s. 194Q </w:t>
            </w:r>
            <w:r w:rsidR="00DB7FB7">
              <w:rPr>
                <w:rFonts w:asciiTheme="minorHAnsi" w:hAnsiTheme="minorHAnsi" w:cstheme="minorHAnsi"/>
              </w:rPr>
              <w:t xml:space="preserve">(S. 393(1) of ITA 2025) </w:t>
            </w:r>
            <w:r w:rsidRPr="0015283E">
              <w:rPr>
                <w:rFonts w:asciiTheme="minorHAnsi" w:hAnsiTheme="minorHAnsi" w:cstheme="minorHAnsi"/>
              </w:rPr>
              <w:t>in quarterly TDS</w:t>
            </w:r>
            <w:r w:rsidR="00CC74AE" w:rsidRPr="0015283E">
              <w:rPr>
                <w:rFonts w:asciiTheme="minorHAnsi" w:hAnsiTheme="minorHAnsi" w:cstheme="minorHAnsi"/>
              </w:rPr>
              <w:t xml:space="preserve"> </w:t>
            </w:r>
            <w:r w:rsidRPr="0015283E">
              <w:rPr>
                <w:rFonts w:asciiTheme="minorHAnsi" w:hAnsiTheme="minorHAnsi" w:cstheme="minorHAnsi"/>
              </w:rPr>
              <w:t xml:space="preserve">statements should include invoice wise break up such that it is reflected in Form 26AS/AIS </w:t>
            </w:r>
            <w:r w:rsidR="00DB7FB7">
              <w:rPr>
                <w:rFonts w:asciiTheme="minorHAnsi" w:hAnsiTheme="minorHAnsi" w:cstheme="minorHAnsi"/>
              </w:rPr>
              <w:t>(New Form 168)</w:t>
            </w:r>
            <w:r w:rsidRPr="0015283E">
              <w:rPr>
                <w:rFonts w:asciiTheme="minorHAnsi" w:hAnsiTheme="minorHAnsi" w:cstheme="minorHAnsi"/>
              </w:rPr>
              <w:t>of the taxpayer and facilitates reconciliation with books of account.</w:t>
            </w:r>
            <w:r w:rsidR="00AA2279" w:rsidRPr="0015283E">
              <w:rPr>
                <w:rFonts w:asciiTheme="minorHAnsi" w:hAnsiTheme="minorHAnsi" w:cstheme="minorHAnsi"/>
              </w:rPr>
              <w:t xml:space="preserve"> </w:t>
            </w:r>
          </w:p>
          <w:p w14:paraId="0B70DCFC" w14:textId="465944A5" w:rsidR="005F1BE1" w:rsidRPr="0015283E" w:rsidRDefault="005F1BE1" w:rsidP="00AA128D">
            <w:pPr>
              <w:pStyle w:val="ListParagraph"/>
              <w:widowControl/>
              <w:numPr>
                <w:ilvl w:val="0"/>
                <w:numId w:val="1"/>
              </w:numPr>
              <w:autoSpaceDE/>
              <w:autoSpaceDN/>
              <w:spacing w:after="160" w:line="276" w:lineRule="auto"/>
              <w:ind w:left="389"/>
              <w:jc w:val="both"/>
              <w:rPr>
                <w:rFonts w:asciiTheme="minorHAnsi" w:hAnsiTheme="minorHAnsi" w:cstheme="minorHAnsi"/>
              </w:rPr>
            </w:pPr>
            <w:r w:rsidRPr="0015283E">
              <w:rPr>
                <w:rFonts w:asciiTheme="minorHAnsi" w:hAnsiTheme="minorHAnsi" w:cstheme="minorHAnsi"/>
              </w:rPr>
              <w:t>Form 26AS</w:t>
            </w:r>
            <w:r w:rsidRPr="0015283E">
              <w:rPr>
                <w:rFonts w:asciiTheme="minorHAnsi" w:hAnsiTheme="minorHAnsi" w:cstheme="minorHAnsi"/>
                <w:bCs/>
              </w:rPr>
              <w:t xml:space="preserve"> </w:t>
            </w:r>
            <w:r w:rsidR="00C52BE6">
              <w:rPr>
                <w:rFonts w:asciiTheme="minorHAnsi" w:hAnsiTheme="minorHAnsi" w:cstheme="minorHAnsi"/>
                <w:bCs/>
              </w:rPr>
              <w:t>(New Form 168)</w:t>
            </w:r>
            <w:r w:rsidR="00C52BE6" w:rsidRPr="0015283E">
              <w:rPr>
                <w:rFonts w:asciiTheme="minorHAnsi" w:hAnsiTheme="minorHAnsi" w:cstheme="minorHAnsi"/>
              </w:rPr>
              <w:t xml:space="preserve"> </w:t>
            </w:r>
            <w:r w:rsidRPr="0015283E">
              <w:rPr>
                <w:rFonts w:asciiTheme="minorHAnsi" w:hAnsiTheme="minorHAnsi" w:cstheme="minorHAnsi"/>
              </w:rPr>
              <w:t xml:space="preserve">should be suitably amended to capture transactional details like invoice number, invoice date, etc. </w:t>
            </w:r>
          </w:p>
          <w:p w14:paraId="30BA9E2B" w14:textId="507C8C0E" w:rsidR="001C5FA4" w:rsidRPr="0015283E" w:rsidRDefault="001C5FA4" w:rsidP="00AA128D">
            <w:pPr>
              <w:pStyle w:val="ListParagraph"/>
              <w:widowControl/>
              <w:numPr>
                <w:ilvl w:val="0"/>
                <w:numId w:val="1"/>
              </w:numPr>
              <w:autoSpaceDE/>
              <w:autoSpaceDN/>
              <w:spacing w:after="160" w:line="276" w:lineRule="auto"/>
              <w:ind w:left="389"/>
              <w:jc w:val="both"/>
              <w:rPr>
                <w:rFonts w:asciiTheme="minorHAnsi" w:hAnsiTheme="minorHAnsi" w:cstheme="minorHAnsi"/>
              </w:rPr>
            </w:pPr>
            <w:r w:rsidRPr="0015283E">
              <w:rPr>
                <w:rFonts w:asciiTheme="minorHAnsi" w:hAnsiTheme="minorHAnsi" w:cstheme="minorHAnsi"/>
              </w:rPr>
              <w:t>TAN of the deductee should be mentioned in the TDS certificate and Form 26AS</w:t>
            </w:r>
            <w:r w:rsidR="006A70DB">
              <w:rPr>
                <w:rFonts w:asciiTheme="minorHAnsi" w:hAnsiTheme="minorHAnsi" w:cstheme="minorHAnsi"/>
              </w:rPr>
              <w:t xml:space="preserve"> </w:t>
            </w:r>
            <w:r w:rsidR="00B76AE8">
              <w:rPr>
                <w:rFonts w:asciiTheme="minorHAnsi" w:hAnsiTheme="minorHAnsi" w:cstheme="minorHAnsi"/>
              </w:rPr>
              <w:t>(Form 168)</w:t>
            </w:r>
            <w:r w:rsidR="006A70DB">
              <w:rPr>
                <w:rFonts w:asciiTheme="minorHAnsi" w:hAnsiTheme="minorHAnsi" w:cstheme="minorHAnsi"/>
              </w:rPr>
              <w:t>.</w:t>
            </w:r>
          </w:p>
        </w:tc>
      </w:tr>
      <w:tr w:rsidR="00E86C3A" w:rsidRPr="004179E6" w14:paraId="5B2D7798" w14:textId="77777777" w:rsidTr="00210D4C">
        <w:trPr>
          <w:trHeight w:val="20"/>
        </w:trPr>
        <w:tc>
          <w:tcPr>
            <w:tcW w:w="512" w:type="dxa"/>
          </w:tcPr>
          <w:p w14:paraId="71D04B81" w14:textId="77777777" w:rsidR="00E86C3A" w:rsidRPr="004179E6" w:rsidRDefault="00E86C3A"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5EED9676" w14:textId="1DF65194" w:rsidR="00E86C3A" w:rsidRPr="006A70DB" w:rsidRDefault="006401AF" w:rsidP="00AA128D">
            <w:pPr>
              <w:spacing w:after="160" w:line="276" w:lineRule="auto"/>
              <w:rPr>
                <w:rFonts w:asciiTheme="minorHAnsi" w:hAnsiTheme="minorHAnsi" w:cstheme="minorHAnsi"/>
                <w:b/>
              </w:rPr>
            </w:pPr>
            <w:r w:rsidRPr="006A70DB">
              <w:rPr>
                <w:rFonts w:asciiTheme="minorHAnsi" w:eastAsia="Arial" w:hAnsiTheme="minorHAnsi" w:cstheme="minorHAnsi"/>
                <w:b/>
              </w:rPr>
              <w:t>TDS credit to be allowed solely based on Annual Tax Statement / Form 26AS</w:t>
            </w:r>
            <w:r w:rsidR="00306AC8" w:rsidRPr="006A70DB">
              <w:rPr>
                <w:rFonts w:asciiTheme="minorHAnsi" w:eastAsia="Arial" w:hAnsiTheme="minorHAnsi" w:cstheme="minorHAnsi"/>
                <w:b/>
              </w:rPr>
              <w:t xml:space="preserve"> and issue of TDS/TCS certificates be dispensed (barring a few exceptions)</w:t>
            </w:r>
          </w:p>
        </w:tc>
        <w:tc>
          <w:tcPr>
            <w:tcW w:w="10986" w:type="dxa"/>
          </w:tcPr>
          <w:p w14:paraId="08C3F021" w14:textId="4C21294F" w:rsidR="00A913AB" w:rsidRPr="001F6051" w:rsidRDefault="00A913AB" w:rsidP="00AA128D">
            <w:pPr>
              <w:spacing w:after="160" w:line="276" w:lineRule="auto"/>
              <w:jc w:val="both"/>
              <w:rPr>
                <w:rFonts w:asciiTheme="minorHAnsi" w:hAnsiTheme="minorHAnsi" w:cstheme="minorHAnsi"/>
                <w:shd w:val="clear" w:color="auto" w:fill="FFFFFF"/>
              </w:rPr>
            </w:pPr>
            <w:r w:rsidRPr="001F6051">
              <w:rPr>
                <w:rFonts w:asciiTheme="minorHAnsi" w:hAnsiTheme="minorHAnsi" w:cstheme="minorHAnsi"/>
                <w:b/>
                <w:shd w:val="clear" w:color="auto" w:fill="FFFFFF"/>
              </w:rPr>
              <w:t>Rationale and Issue</w:t>
            </w:r>
            <w:r w:rsidRPr="001F6051">
              <w:rPr>
                <w:rFonts w:asciiTheme="minorHAnsi" w:hAnsiTheme="minorHAnsi" w:cstheme="minorHAnsi"/>
                <w:shd w:val="clear" w:color="auto" w:fill="FFFFFF"/>
              </w:rPr>
              <w:t>:</w:t>
            </w:r>
          </w:p>
          <w:p w14:paraId="6DED5058" w14:textId="498A6A2A" w:rsidR="00EF630F" w:rsidRPr="001F6051" w:rsidRDefault="002D1BF1" w:rsidP="00AA128D">
            <w:pPr>
              <w:pStyle w:val="ListParagraph"/>
              <w:numPr>
                <w:ilvl w:val="0"/>
                <w:numId w:val="70"/>
              </w:numPr>
              <w:spacing w:after="160" w:line="276" w:lineRule="auto"/>
              <w:ind w:left="389"/>
              <w:jc w:val="both"/>
              <w:rPr>
                <w:rFonts w:asciiTheme="minorHAnsi" w:hAnsiTheme="minorHAnsi" w:cstheme="minorHAnsi"/>
                <w:shd w:val="clear" w:color="auto" w:fill="FFFFFF"/>
              </w:rPr>
            </w:pPr>
            <w:r w:rsidRPr="001F6051">
              <w:rPr>
                <w:rFonts w:asciiTheme="minorHAnsi" w:hAnsiTheme="minorHAnsi" w:cstheme="minorHAnsi"/>
                <w:shd w:val="clear" w:color="auto" w:fill="FFFFFF"/>
              </w:rPr>
              <w:t xml:space="preserve">Provisions of </w:t>
            </w:r>
            <w:r w:rsidR="682F869A" w:rsidRPr="001F6051">
              <w:rPr>
                <w:rFonts w:asciiTheme="minorHAnsi" w:hAnsiTheme="minorHAnsi" w:cstheme="minorHAnsi"/>
                <w:shd w:val="clear" w:color="auto" w:fill="FFFFFF"/>
              </w:rPr>
              <w:t xml:space="preserve">s. </w:t>
            </w:r>
            <w:r w:rsidRPr="001F6051">
              <w:rPr>
                <w:rFonts w:asciiTheme="minorHAnsi" w:hAnsiTheme="minorHAnsi" w:cstheme="minorHAnsi"/>
                <w:shd w:val="clear" w:color="auto" w:fill="FFFFFF"/>
              </w:rPr>
              <w:t xml:space="preserve">203 of the </w:t>
            </w:r>
            <w:r w:rsidR="7264239E" w:rsidRPr="001F6051">
              <w:rPr>
                <w:rFonts w:asciiTheme="minorHAnsi" w:hAnsiTheme="minorHAnsi" w:cstheme="minorHAnsi"/>
                <w:shd w:val="clear" w:color="auto" w:fill="FFFFFF"/>
              </w:rPr>
              <w:t>ITA</w:t>
            </w:r>
            <w:r w:rsidR="00E522F8" w:rsidRPr="001F6051">
              <w:rPr>
                <w:rFonts w:asciiTheme="minorHAnsi" w:hAnsiTheme="minorHAnsi" w:cstheme="minorHAnsi"/>
                <w:shd w:val="clear" w:color="auto" w:fill="FFFFFF"/>
              </w:rPr>
              <w:t>, 1961</w:t>
            </w:r>
            <w:r w:rsidRPr="001F6051">
              <w:rPr>
                <w:rFonts w:asciiTheme="minorHAnsi" w:hAnsiTheme="minorHAnsi" w:cstheme="minorHAnsi"/>
                <w:shd w:val="clear" w:color="auto" w:fill="FFFFFF"/>
              </w:rPr>
              <w:t xml:space="preserve"> read with rule 31 </w:t>
            </w:r>
            <w:r w:rsidR="00BD29A0" w:rsidRPr="001F6051">
              <w:rPr>
                <w:rFonts w:asciiTheme="minorHAnsi" w:hAnsiTheme="minorHAnsi" w:cstheme="minorHAnsi"/>
                <w:shd w:val="clear" w:color="auto" w:fill="FFFFFF"/>
              </w:rPr>
              <w:t xml:space="preserve">of IT Rules 1962 </w:t>
            </w:r>
            <w:r w:rsidR="00C05C52" w:rsidRPr="001F6051">
              <w:rPr>
                <w:rFonts w:asciiTheme="minorHAnsi" w:hAnsiTheme="minorHAnsi" w:cstheme="minorHAnsi"/>
                <w:shd w:val="clear" w:color="auto" w:fill="FFFFFF"/>
              </w:rPr>
              <w:t>(</w:t>
            </w:r>
            <w:r w:rsidR="00BD29A0" w:rsidRPr="001F6051">
              <w:rPr>
                <w:rFonts w:asciiTheme="minorHAnsi" w:hAnsiTheme="minorHAnsi" w:cstheme="minorHAnsi"/>
                <w:shd w:val="clear" w:color="auto" w:fill="FFFFFF"/>
              </w:rPr>
              <w:t xml:space="preserve">S. 395 of ITA 2025 r.w. </w:t>
            </w:r>
            <w:r w:rsidR="00C05C52" w:rsidRPr="001F6051">
              <w:rPr>
                <w:rFonts w:asciiTheme="minorHAnsi" w:hAnsiTheme="minorHAnsi" w:cstheme="minorHAnsi"/>
                <w:shd w:val="clear" w:color="auto" w:fill="FFFFFF"/>
              </w:rPr>
              <w:t>R</w:t>
            </w:r>
            <w:r w:rsidR="00DA3A3A" w:rsidRPr="001F6051">
              <w:rPr>
                <w:rFonts w:asciiTheme="minorHAnsi" w:hAnsiTheme="minorHAnsi" w:cstheme="minorHAnsi"/>
                <w:shd w:val="clear" w:color="auto" w:fill="FFFFFF"/>
              </w:rPr>
              <w:t>ule</w:t>
            </w:r>
            <w:r w:rsidR="00C05C52" w:rsidRPr="001F6051">
              <w:rPr>
                <w:rFonts w:asciiTheme="minorHAnsi" w:hAnsiTheme="minorHAnsi" w:cstheme="minorHAnsi"/>
                <w:shd w:val="clear" w:color="auto" w:fill="FFFFFF"/>
              </w:rPr>
              <w:t xml:space="preserve"> 215 of the Draft IT Rules, 2026)</w:t>
            </w:r>
            <w:r w:rsidRPr="001F6051">
              <w:rPr>
                <w:rFonts w:asciiTheme="minorHAnsi" w:hAnsiTheme="minorHAnsi" w:cstheme="minorHAnsi"/>
                <w:shd w:val="clear" w:color="auto" w:fill="FFFFFF"/>
              </w:rPr>
              <w:t xml:space="preserve"> require every deductor to issue </w:t>
            </w:r>
            <w:r w:rsidRPr="000F32BA">
              <w:rPr>
                <w:rFonts w:asciiTheme="minorHAnsi" w:hAnsiTheme="minorHAnsi" w:cstheme="minorHAnsi"/>
                <w:shd w:val="clear" w:color="auto" w:fill="FFFFFF"/>
              </w:rPr>
              <w:t>certificate of </w:t>
            </w:r>
            <w:hyperlink r:id="rId10" w:tgtFrame="_blank" w:history="1">
              <w:r w:rsidRPr="000F32BA">
                <w:rPr>
                  <w:rStyle w:val="Strong"/>
                  <w:rFonts w:asciiTheme="minorHAnsi" w:hAnsiTheme="minorHAnsi" w:cstheme="minorHAnsi"/>
                  <w:b w:val="0"/>
                  <w:bCs w:val="0"/>
                  <w:shd w:val="clear" w:color="auto" w:fill="FFFFFF"/>
                </w:rPr>
                <w:t>tax deducted at source</w:t>
              </w:r>
            </w:hyperlink>
            <w:r w:rsidRPr="001F6051">
              <w:rPr>
                <w:rFonts w:asciiTheme="minorHAnsi" w:hAnsiTheme="minorHAnsi" w:cstheme="minorHAnsi"/>
                <w:shd w:val="clear" w:color="auto" w:fill="FFFFFF"/>
              </w:rPr>
              <w:t xml:space="preserve"> (in Form 16A) </w:t>
            </w:r>
            <w:r w:rsidR="003B693F" w:rsidRPr="001F6051">
              <w:rPr>
                <w:rFonts w:asciiTheme="minorHAnsi" w:hAnsiTheme="minorHAnsi" w:cstheme="minorHAnsi"/>
                <w:shd w:val="clear" w:color="auto" w:fill="FFFFFF"/>
              </w:rPr>
              <w:t>(</w:t>
            </w:r>
            <w:r w:rsidR="001350DD" w:rsidRPr="001F6051">
              <w:rPr>
                <w:rFonts w:asciiTheme="minorHAnsi" w:hAnsiTheme="minorHAnsi" w:cstheme="minorHAnsi"/>
                <w:shd w:val="clear" w:color="auto" w:fill="FFFFFF"/>
              </w:rPr>
              <w:t xml:space="preserve">New </w:t>
            </w:r>
            <w:r w:rsidR="003B693F" w:rsidRPr="001F6051">
              <w:rPr>
                <w:rFonts w:asciiTheme="minorHAnsi" w:hAnsiTheme="minorHAnsi" w:cstheme="minorHAnsi"/>
                <w:shd w:val="clear" w:color="auto" w:fill="FFFFFF"/>
              </w:rPr>
              <w:t>Form 131</w:t>
            </w:r>
            <w:r w:rsidRPr="001F6051">
              <w:rPr>
                <w:rFonts w:asciiTheme="minorHAnsi" w:hAnsiTheme="minorHAnsi" w:cstheme="minorHAnsi"/>
                <w:shd w:val="clear" w:color="auto" w:fill="FFFFFF"/>
              </w:rPr>
              <w:t xml:space="preserve"> </w:t>
            </w:r>
            <w:r w:rsidR="006A41A2" w:rsidRPr="001F6051">
              <w:rPr>
                <w:rFonts w:asciiTheme="minorHAnsi" w:hAnsiTheme="minorHAnsi" w:cstheme="minorHAnsi"/>
                <w:shd w:val="clear" w:color="auto" w:fill="FFFFFF"/>
              </w:rPr>
              <w:t>from the Draft IT Rules, 2026)</w:t>
            </w:r>
            <w:r w:rsidRPr="001F6051">
              <w:rPr>
                <w:rFonts w:asciiTheme="minorHAnsi" w:hAnsiTheme="minorHAnsi" w:cstheme="minorHAnsi"/>
                <w:shd w:val="clear" w:color="auto" w:fill="FFFFFF"/>
              </w:rPr>
              <w:t xml:space="preserve"> within 15 days from the due date for furnishing the statement of tax deducted at source. Similarly, section 206C(5) </w:t>
            </w:r>
            <w:r w:rsidR="001350DD" w:rsidRPr="001F6051">
              <w:rPr>
                <w:rFonts w:asciiTheme="minorHAnsi" w:hAnsiTheme="minorHAnsi" w:cstheme="minorHAnsi"/>
                <w:shd w:val="clear" w:color="auto" w:fill="FFFFFF"/>
              </w:rPr>
              <w:t xml:space="preserve">of ITA 1961 </w:t>
            </w:r>
            <w:r w:rsidR="00A34B25" w:rsidRPr="001F6051">
              <w:rPr>
                <w:rFonts w:asciiTheme="minorHAnsi" w:hAnsiTheme="minorHAnsi" w:cstheme="minorHAnsi"/>
                <w:shd w:val="clear" w:color="auto" w:fill="FFFFFF"/>
              </w:rPr>
              <w:t>(</w:t>
            </w:r>
            <w:r w:rsidR="001350DD" w:rsidRPr="001F6051">
              <w:rPr>
                <w:rFonts w:asciiTheme="minorHAnsi" w:hAnsiTheme="minorHAnsi" w:cstheme="minorHAnsi"/>
                <w:shd w:val="clear" w:color="auto" w:fill="FFFFFF"/>
              </w:rPr>
              <w:t>S.</w:t>
            </w:r>
            <w:r w:rsidR="00EE3EAD" w:rsidRPr="001F6051">
              <w:rPr>
                <w:rFonts w:asciiTheme="minorHAnsi" w:hAnsiTheme="minorHAnsi" w:cstheme="minorHAnsi"/>
                <w:shd w:val="clear" w:color="auto" w:fill="FFFFFF"/>
              </w:rPr>
              <w:t xml:space="preserve">395(4)(a) of the ITA, 2025) </w:t>
            </w:r>
            <w:r w:rsidRPr="001F6051">
              <w:rPr>
                <w:rFonts w:asciiTheme="minorHAnsi" w:hAnsiTheme="minorHAnsi" w:cstheme="minorHAnsi"/>
                <w:shd w:val="clear" w:color="auto" w:fill="FFFFFF"/>
              </w:rPr>
              <w:t>provides for issue of TCS certificate</w:t>
            </w:r>
            <w:r w:rsidR="00944E04" w:rsidRPr="001F6051">
              <w:rPr>
                <w:rFonts w:asciiTheme="minorHAnsi" w:hAnsiTheme="minorHAnsi" w:cstheme="minorHAnsi"/>
                <w:shd w:val="clear" w:color="auto" w:fill="FFFFFF"/>
              </w:rPr>
              <w:t>.</w:t>
            </w:r>
          </w:p>
          <w:p w14:paraId="58A2E2C6" w14:textId="17023E36" w:rsidR="00EF630F" w:rsidRPr="001F6051" w:rsidRDefault="00AC1FFE" w:rsidP="00AA128D">
            <w:pPr>
              <w:pStyle w:val="ListParagraph"/>
              <w:numPr>
                <w:ilvl w:val="0"/>
                <w:numId w:val="70"/>
              </w:numPr>
              <w:spacing w:after="160" w:line="276" w:lineRule="auto"/>
              <w:ind w:left="389"/>
              <w:jc w:val="both"/>
              <w:rPr>
                <w:rFonts w:asciiTheme="minorHAnsi" w:hAnsiTheme="minorHAnsi" w:cstheme="minorHAnsi"/>
                <w:shd w:val="clear" w:color="auto" w:fill="FFFFFF"/>
              </w:rPr>
            </w:pPr>
            <w:r w:rsidRPr="001F6051">
              <w:rPr>
                <w:rFonts w:asciiTheme="minorHAnsi" w:eastAsia="Arial" w:hAnsiTheme="minorHAnsi" w:cstheme="minorHAnsi"/>
              </w:rPr>
              <w:t>TDS/TCS certificates are required to be issued under the Act by the payer within prescribed timelines and are to be maintained by payees for claiming the corresponding tax credit. However, in practice</w:t>
            </w:r>
            <w:r w:rsidR="00E96751" w:rsidRPr="001F6051">
              <w:rPr>
                <w:rFonts w:asciiTheme="minorHAnsi" w:eastAsia="Arial" w:hAnsiTheme="minorHAnsi" w:cstheme="minorHAnsi"/>
              </w:rPr>
              <w:t xml:space="preserve"> and in law as per Rule 37BA</w:t>
            </w:r>
            <w:r w:rsidR="003A3584" w:rsidRPr="001F6051">
              <w:rPr>
                <w:rFonts w:asciiTheme="minorHAnsi" w:eastAsia="Arial" w:hAnsiTheme="minorHAnsi" w:cstheme="minorHAnsi"/>
              </w:rPr>
              <w:t>(1)</w:t>
            </w:r>
            <w:r w:rsidR="0004602B" w:rsidRPr="001F6051">
              <w:rPr>
                <w:rFonts w:asciiTheme="minorHAnsi" w:eastAsia="Arial" w:hAnsiTheme="minorHAnsi" w:cstheme="minorHAnsi"/>
              </w:rPr>
              <w:t>/37I(1)</w:t>
            </w:r>
            <w:r w:rsidR="00E05D6A" w:rsidRPr="001F6051">
              <w:rPr>
                <w:rFonts w:asciiTheme="minorHAnsi" w:eastAsia="Arial" w:hAnsiTheme="minorHAnsi" w:cstheme="minorHAnsi"/>
              </w:rPr>
              <w:t xml:space="preserve"> of IT Rules 1962</w:t>
            </w:r>
            <w:r w:rsidR="00474061" w:rsidRPr="001F6051">
              <w:rPr>
                <w:rFonts w:asciiTheme="minorHAnsi" w:eastAsia="Arial" w:hAnsiTheme="minorHAnsi" w:cstheme="minorHAnsi"/>
              </w:rPr>
              <w:t xml:space="preserve"> (corresponding R</w:t>
            </w:r>
            <w:r w:rsidR="00346ADC" w:rsidRPr="001F6051">
              <w:rPr>
                <w:rFonts w:asciiTheme="minorHAnsi" w:eastAsia="Arial" w:hAnsiTheme="minorHAnsi" w:cstheme="minorHAnsi"/>
              </w:rPr>
              <w:t>ule</w:t>
            </w:r>
            <w:r w:rsidR="00474061" w:rsidRPr="001F6051">
              <w:rPr>
                <w:rFonts w:asciiTheme="minorHAnsi" w:eastAsia="Arial" w:hAnsiTheme="minorHAnsi" w:cstheme="minorHAnsi"/>
              </w:rPr>
              <w:t xml:space="preserve"> 203 of the Draft IT Rules, 2026</w:t>
            </w:r>
            <w:r w:rsidR="0004602B" w:rsidRPr="001F6051">
              <w:rPr>
                <w:rFonts w:asciiTheme="minorHAnsi" w:eastAsia="Arial" w:hAnsiTheme="minorHAnsi" w:cstheme="minorHAnsi"/>
              </w:rPr>
              <w:t>)</w:t>
            </w:r>
            <w:r w:rsidRPr="001F6051">
              <w:rPr>
                <w:rFonts w:asciiTheme="minorHAnsi" w:eastAsia="Arial" w:hAnsiTheme="minorHAnsi" w:cstheme="minorHAnsi"/>
              </w:rPr>
              <w:t>, tax authorities in a number of cases only</w:t>
            </w:r>
            <w:r w:rsidR="009E2680" w:rsidRPr="001F6051">
              <w:rPr>
                <w:rFonts w:asciiTheme="minorHAnsi" w:eastAsia="Arial" w:hAnsiTheme="minorHAnsi" w:cstheme="minorHAnsi"/>
              </w:rPr>
              <w:t xml:space="preserve"> rely on Annual Tax Statement/ Form 26AS for granting tax credit during tax assessments</w:t>
            </w:r>
          </w:p>
          <w:p w14:paraId="090465E3" w14:textId="5515E0FB" w:rsidR="00EF630F" w:rsidRPr="001F6051" w:rsidRDefault="009E2680" w:rsidP="00AA128D">
            <w:pPr>
              <w:pStyle w:val="ListParagraph"/>
              <w:numPr>
                <w:ilvl w:val="0"/>
                <w:numId w:val="70"/>
              </w:numPr>
              <w:spacing w:after="160" w:line="276" w:lineRule="auto"/>
              <w:ind w:left="389"/>
              <w:jc w:val="both"/>
              <w:rPr>
                <w:rFonts w:asciiTheme="minorHAnsi" w:hAnsiTheme="minorHAnsi" w:cstheme="minorHAnsi"/>
                <w:shd w:val="clear" w:color="auto" w:fill="FFFFFF"/>
              </w:rPr>
            </w:pPr>
            <w:r w:rsidRPr="001F6051">
              <w:rPr>
                <w:rFonts w:asciiTheme="minorHAnsi" w:eastAsia="Times New Roman" w:hAnsiTheme="minorHAnsi" w:cstheme="minorHAnsi"/>
                <w:lang w:eastAsia="en-IN"/>
              </w:rPr>
              <w:t>Issue of TDS and TCS certificates unnecessarily increase</w:t>
            </w:r>
            <w:r w:rsidR="00694585" w:rsidRPr="001F6051">
              <w:rPr>
                <w:rFonts w:asciiTheme="minorHAnsi" w:eastAsia="Times New Roman" w:hAnsiTheme="minorHAnsi" w:cstheme="minorHAnsi"/>
                <w:lang w:eastAsia="en-IN"/>
              </w:rPr>
              <w:t>s</w:t>
            </w:r>
            <w:r w:rsidRPr="001F6051">
              <w:rPr>
                <w:rFonts w:asciiTheme="minorHAnsi" w:eastAsia="Times New Roman" w:hAnsiTheme="minorHAnsi" w:cstheme="minorHAnsi"/>
                <w:lang w:eastAsia="en-IN"/>
              </w:rPr>
              <w:t xml:space="preserve"> the administrative compliance burden and cost to the </w:t>
            </w:r>
            <w:r w:rsidRPr="001F6051">
              <w:rPr>
                <w:rFonts w:asciiTheme="minorHAnsi" w:eastAsia="Times New Roman" w:hAnsiTheme="minorHAnsi" w:cstheme="minorHAnsi"/>
                <w:lang w:eastAsia="en-IN"/>
              </w:rPr>
              <w:lastRenderedPageBreak/>
              <w:t xml:space="preserve">assessee. Now all TDS/TCS related information is readily available under Form 26AS/ AIS. </w:t>
            </w:r>
            <w:r w:rsidRPr="001F6051">
              <w:rPr>
                <w:rFonts w:asciiTheme="minorHAnsi" w:eastAsia="Arial" w:hAnsiTheme="minorHAnsi" w:cstheme="minorHAnsi"/>
              </w:rPr>
              <w:t xml:space="preserve">Moreover, </w:t>
            </w:r>
            <w:r w:rsidRPr="001F6051">
              <w:rPr>
                <w:rFonts w:asciiTheme="minorHAnsi" w:hAnsiTheme="minorHAnsi" w:cstheme="minorHAnsi"/>
              </w:rPr>
              <w:t xml:space="preserve">with increasing reliance on Form 26AS/ AIS </w:t>
            </w:r>
            <w:r w:rsidR="00EF5EC2" w:rsidRPr="001F6051">
              <w:rPr>
                <w:rFonts w:asciiTheme="minorHAnsi" w:hAnsiTheme="minorHAnsi" w:cstheme="minorHAnsi"/>
              </w:rPr>
              <w:t>(</w:t>
            </w:r>
            <w:r w:rsidR="00694585" w:rsidRPr="001F6051">
              <w:rPr>
                <w:rFonts w:asciiTheme="minorHAnsi" w:hAnsiTheme="minorHAnsi" w:cstheme="minorHAnsi"/>
              </w:rPr>
              <w:t>New</w:t>
            </w:r>
            <w:r w:rsidR="00EF5EC2" w:rsidRPr="001F6051">
              <w:rPr>
                <w:rFonts w:asciiTheme="minorHAnsi" w:hAnsiTheme="minorHAnsi" w:cstheme="minorHAnsi"/>
              </w:rPr>
              <w:t xml:space="preserve"> Form 168) </w:t>
            </w:r>
            <w:r w:rsidRPr="001F6051">
              <w:rPr>
                <w:rFonts w:asciiTheme="minorHAnsi" w:hAnsiTheme="minorHAnsi" w:cstheme="minorHAnsi"/>
              </w:rPr>
              <w:t>by the deductees for claim of TDS /TCS credit and information being auto updated in the returns of income, such certificates are not much of relevance</w:t>
            </w:r>
            <w:r w:rsidR="006A70DB">
              <w:rPr>
                <w:rFonts w:asciiTheme="minorHAnsi" w:hAnsiTheme="minorHAnsi" w:cstheme="minorHAnsi"/>
              </w:rPr>
              <w:t>.</w:t>
            </w:r>
          </w:p>
          <w:p w14:paraId="1065A233" w14:textId="27B08FBA" w:rsidR="009E2680" w:rsidRPr="001F6051" w:rsidRDefault="009E2680" w:rsidP="00AA128D">
            <w:pPr>
              <w:pStyle w:val="ListParagraph"/>
              <w:numPr>
                <w:ilvl w:val="0"/>
                <w:numId w:val="70"/>
              </w:numPr>
              <w:spacing w:after="160" w:line="276" w:lineRule="auto"/>
              <w:ind w:left="389"/>
              <w:jc w:val="both"/>
              <w:rPr>
                <w:rFonts w:asciiTheme="minorHAnsi" w:hAnsiTheme="minorHAnsi" w:cstheme="minorHAnsi"/>
                <w:shd w:val="clear" w:color="auto" w:fill="FFFFFF"/>
              </w:rPr>
            </w:pPr>
            <w:r w:rsidRPr="001F6051">
              <w:rPr>
                <w:rFonts w:asciiTheme="minorHAnsi" w:eastAsia="Arial" w:hAnsiTheme="minorHAnsi" w:cstheme="minorHAnsi"/>
              </w:rPr>
              <w:t>Maintaining Forms 16A</w:t>
            </w:r>
            <w:r w:rsidR="00C70C6E" w:rsidRPr="00192A44">
              <w:rPr>
                <w:rFonts w:asciiTheme="minorHAnsi" w:eastAsia="Arial" w:hAnsiTheme="minorHAnsi" w:cstheme="minorHAnsi"/>
              </w:rPr>
              <w:t xml:space="preserve"> (New Form 131)</w:t>
            </w:r>
            <w:r w:rsidRPr="001F6051">
              <w:rPr>
                <w:rFonts w:asciiTheme="minorHAnsi" w:eastAsia="Arial" w:hAnsiTheme="minorHAnsi" w:cstheme="minorHAnsi"/>
              </w:rPr>
              <w:t xml:space="preserve">/ Form 27D </w:t>
            </w:r>
            <w:r w:rsidR="005714B7" w:rsidRPr="00192A44">
              <w:rPr>
                <w:rFonts w:asciiTheme="minorHAnsi" w:eastAsia="Arial" w:hAnsiTheme="minorHAnsi" w:cstheme="minorHAnsi"/>
              </w:rPr>
              <w:t xml:space="preserve">(New Form 133) </w:t>
            </w:r>
            <w:r w:rsidRPr="001F6051">
              <w:rPr>
                <w:rFonts w:asciiTheme="minorHAnsi" w:eastAsia="Arial" w:hAnsiTheme="minorHAnsi" w:cstheme="minorHAnsi"/>
              </w:rPr>
              <w:t xml:space="preserve">and subsequent reconciliation of these with Annual Tax Statement / Form 26AS </w:t>
            </w:r>
            <w:r w:rsidR="00357CEC" w:rsidRPr="00192A44">
              <w:rPr>
                <w:rFonts w:asciiTheme="minorHAnsi" w:eastAsia="Arial" w:hAnsiTheme="minorHAnsi" w:cstheme="minorHAnsi"/>
              </w:rPr>
              <w:t xml:space="preserve">(New Form 168) </w:t>
            </w:r>
            <w:r w:rsidRPr="001F6051">
              <w:rPr>
                <w:rFonts w:asciiTheme="minorHAnsi" w:eastAsia="Arial" w:hAnsiTheme="minorHAnsi" w:cstheme="minorHAnsi"/>
              </w:rPr>
              <w:t xml:space="preserve">for claiming TDS/TCS credit increases the compliance time and efforts. This is contrary to the motive of ease in compliance, for the following reasons: </w:t>
            </w:r>
          </w:p>
          <w:p w14:paraId="7E05D197" w14:textId="429EAE23" w:rsidR="00892B17" w:rsidRPr="001F6051" w:rsidRDefault="009E2680" w:rsidP="00AA128D">
            <w:pPr>
              <w:widowControl/>
              <w:numPr>
                <w:ilvl w:val="1"/>
                <w:numId w:val="134"/>
              </w:numPr>
              <w:autoSpaceDE/>
              <w:autoSpaceDN/>
              <w:spacing w:after="160" w:line="276" w:lineRule="auto"/>
              <w:ind w:left="815" w:right="113"/>
              <w:jc w:val="both"/>
              <w:rPr>
                <w:rFonts w:asciiTheme="minorHAnsi" w:hAnsiTheme="minorHAnsi" w:cstheme="minorHAnsi"/>
              </w:rPr>
            </w:pPr>
            <w:r w:rsidRPr="001F6051">
              <w:rPr>
                <w:rFonts w:asciiTheme="minorHAnsi" w:eastAsia="Arial" w:hAnsiTheme="minorHAnsi" w:cstheme="minorHAnsi"/>
              </w:rPr>
              <w:t>The taxpayer, being a deductor/collector, is required to incur additional costs of setting up a sophisticated system to issue, process and track the certificates sent (the certificates essentially capture the information submitted in TDS/TCS return which is also already reflected in the Annual Tax Statement / Form 26AS</w:t>
            </w:r>
            <w:r w:rsidR="0062630A" w:rsidRPr="00192A44">
              <w:rPr>
                <w:rFonts w:asciiTheme="minorHAnsi" w:eastAsia="Arial" w:hAnsiTheme="minorHAnsi" w:cstheme="minorHAnsi"/>
              </w:rPr>
              <w:t xml:space="preserve"> (New Form 168) </w:t>
            </w:r>
            <w:r w:rsidRPr="001F6051">
              <w:rPr>
                <w:rFonts w:asciiTheme="minorHAnsi" w:eastAsia="Arial" w:hAnsiTheme="minorHAnsi" w:cstheme="minorHAnsi"/>
              </w:rPr>
              <w:t xml:space="preserve"> of the payee). </w:t>
            </w:r>
          </w:p>
          <w:p w14:paraId="11F45D87" w14:textId="44C1CEF1" w:rsidR="001F1E59" w:rsidRPr="001F6051" w:rsidRDefault="009E2680" w:rsidP="00AA128D">
            <w:pPr>
              <w:widowControl/>
              <w:numPr>
                <w:ilvl w:val="1"/>
                <w:numId w:val="134"/>
              </w:numPr>
              <w:autoSpaceDE/>
              <w:autoSpaceDN/>
              <w:spacing w:after="160" w:line="276" w:lineRule="auto"/>
              <w:ind w:left="815" w:right="113"/>
              <w:jc w:val="both"/>
              <w:rPr>
                <w:rFonts w:asciiTheme="minorHAnsi" w:hAnsiTheme="minorHAnsi" w:cstheme="minorHAnsi"/>
              </w:rPr>
            </w:pPr>
            <w:r w:rsidRPr="001F6051">
              <w:rPr>
                <w:rFonts w:asciiTheme="minorHAnsi" w:eastAsia="Arial" w:hAnsiTheme="minorHAnsi" w:cstheme="minorHAnsi"/>
              </w:rPr>
              <w:t>A taxpayer, as a deductee/collectee, is required to keep track of TDS /TCS deductions, certificate collections, etc. and undertake manual reconciliations in respect of the certificates collected from various deductors/ collectors. Further, in case of any revisions, one has to keep track of collecting revised Form 16A/27D</w:t>
            </w:r>
            <w:r w:rsidR="005556F6" w:rsidRPr="00192A44">
              <w:rPr>
                <w:rFonts w:asciiTheme="minorHAnsi" w:eastAsia="Arial" w:hAnsiTheme="minorHAnsi" w:cstheme="minorHAnsi"/>
              </w:rPr>
              <w:t xml:space="preserve"> (New Form 131/133)</w:t>
            </w:r>
            <w:r w:rsidRPr="001F6051">
              <w:rPr>
                <w:rFonts w:asciiTheme="minorHAnsi" w:eastAsia="Arial" w:hAnsiTheme="minorHAnsi" w:cstheme="minorHAnsi"/>
              </w:rPr>
              <w:t>.</w:t>
            </w:r>
          </w:p>
          <w:p w14:paraId="66BC749C" w14:textId="6A99256B" w:rsidR="002B26FA" w:rsidRPr="001F6051" w:rsidRDefault="009E2680" w:rsidP="00AA128D">
            <w:pPr>
              <w:widowControl/>
              <w:numPr>
                <w:ilvl w:val="1"/>
                <w:numId w:val="134"/>
              </w:numPr>
              <w:autoSpaceDE/>
              <w:autoSpaceDN/>
              <w:spacing w:after="160" w:line="276" w:lineRule="auto"/>
              <w:ind w:left="815" w:right="113"/>
              <w:jc w:val="both"/>
              <w:rPr>
                <w:rFonts w:asciiTheme="minorHAnsi" w:hAnsiTheme="minorHAnsi" w:cstheme="minorHAnsi"/>
              </w:rPr>
            </w:pPr>
            <w:r w:rsidRPr="001F6051">
              <w:rPr>
                <w:rFonts w:asciiTheme="minorHAnsi" w:eastAsia="Arial" w:hAnsiTheme="minorHAnsi" w:cstheme="minorHAnsi"/>
              </w:rPr>
              <w:t>Each taxpayer has to undertake both the above for its payments and its receipts.  In both cases above, owing to large volume of certificates to be issued or high number of transactions to be covered in a particular certificate, the Income</w:t>
            </w:r>
            <w:r w:rsidR="002B26FA" w:rsidRPr="001F6051">
              <w:rPr>
                <w:rFonts w:asciiTheme="minorHAnsi" w:eastAsia="Arial" w:hAnsiTheme="minorHAnsi" w:cstheme="minorHAnsi"/>
              </w:rPr>
              <w:t xml:space="preserve"> tax portal/ functionality at times is unable to generate the certificates or prompts an error, or in some cases the taxpayer’s own system may not support such large volumes unless the system is highly advanced and sophisticated – leading to enormous time and effort going into this process. </w:t>
            </w:r>
          </w:p>
          <w:p w14:paraId="1B1698CA" w14:textId="6E42CCAF" w:rsidR="00AC1FFE" w:rsidRPr="001F6051" w:rsidRDefault="002B26FA" w:rsidP="00AA128D">
            <w:pPr>
              <w:pStyle w:val="ListParagraph"/>
              <w:widowControl/>
              <w:numPr>
                <w:ilvl w:val="0"/>
                <w:numId w:val="71"/>
              </w:numPr>
              <w:autoSpaceDE/>
              <w:autoSpaceDN/>
              <w:spacing w:after="160" w:line="276" w:lineRule="auto"/>
              <w:ind w:left="389" w:right="113"/>
              <w:jc w:val="both"/>
              <w:rPr>
                <w:rFonts w:asciiTheme="minorHAnsi" w:hAnsiTheme="minorHAnsi" w:cstheme="minorHAnsi"/>
              </w:rPr>
            </w:pPr>
            <w:r w:rsidRPr="001F6051">
              <w:rPr>
                <w:rFonts w:asciiTheme="minorHAnsi" w:hAnsiTheme="minorHAnsi" w:cstheme="minorHAnsi"/>
              </w:rPr>
              <w:t>The need for issue of TDS/ TCS certificates in the present circumstance exists only in three cases viz – Salary TDS certificates in Form 16</w:t>
            </w:r>
            <w:r w:rsidR="00133CF4" w:rsidRPr="00192A44">
              <w:rPr>
                <w:rFonts w:asciiTheme="minorHAnsi" w:hAnsiTheme="minorHAnsi" w:cstheme="minorHAnsi"/>
              </w:rPr>
              <w:t xml:space="preserve"> (New Form 131)</w:t>
            </w:r>
            <w:r w:rsidRPr="001F6051">
              <w:rPr>
                <w:rFonts w:asciiTheme="minorHAnsi" w:hAnsiTheme="minorHAnsi" w:cstheme="minorHAnsi"/>
              </w:rPr>
              <w:t xml:space="preserve">, issue of TDS certificates to NRs to enable them to claim FTC in their home </w:t>
            </w:r>
            <w:r w:rsidRPr="001F6051">
              <w:rPr>
                <w:rFonts w:asciiTheme="minorHAnsi" w:hAnsiTheme="minorHAnsi" w:cstheme="minorHAnsi"/>
              </w:rPr>
              <w:lastRenderedPageBreak/>
              <w:t>country and S.206AA/s.206CC</w:t>
            </w:r>
            <w:r w:rsidR="00CF0F7D" w:rsidRPr="001F6051">
              <w:rPr>
                <w:rFonts w:asciiTheme="minorHAnsi" w:hAnsiTheme="minorHAnsi" w:cstheme="minorHAnsi"/>
              </w:rPr>
              <w:t xml:space="preserve"> of ITA 1961 (S.</w:t>
            </w:r>
            <w:r w:rsidR="009D2E93" w:rsidRPr="001F6051">
              <w:rPr>
                <w:rFonts w:asciiTheme="minorHAnsi" w:hAnsiTheme="minorHAnsi" w:cstheme="minorHAnsi"/>
              </w:rPr>
              <w:t xml:space="preserve"> 397 </w:t>
            </w:r>
            <w:r w:rsidR="00CF0F7D" w:rsidRPr="001F6051">
              <w:rPr>
                <w:rFonts w:asciiTheme="minorHAnsi" w:hAnsiTheme="minorHAnsi" w:cstheme="minorHAnsi"/>
              </w:rPr>
              <w:t>of ITA 2025)</w:t>
            </w:r>
            <w:r w:rsidRPr="001F6051">
              <w:rPr>
                <w:rFonts w:asciiTheme="minorHAnsi" w:hAnsiTheme="minorHAnsi" w:cstheme="minorHAnsi"/>
              </w:rPr>
              <w:t xml:space="preserve"> cases where PAN is not available as the TDS/ TCS cannot be populated in Form 26AS.</w:t>
            </w:r>
          </w:p>
          <w:p w14:paraId="578CC154" w14:textId="7E865A6C" w:rsidR="001F1E59" w:rsidRPr="001F6051" w:rsidRDefault="001F1E59" w:rsidP="00AA128D">
            <w:pPr>
              <w:widowControl/>
              <w:autoSpaceDE/>
              <w:autoSpaceDN/>
              <w:spacing w:after="160" w:line="276" w:lineRule="auto"/>
              <w:ind w:right="113"/>
              <w:jc w:val="both"/>
              <w:rPr>
                <w:rFonts w:asciiTheme="minorHAnsi" w:hAnsiTheme="minorHAnsi" w:cstheme="minorHAnsi"/>
              </w:rPr>
            </w:pPr>
            <w:r w:rsidRPr="001F6051">
              <w:rPr>
                <w:rFonts w:asciiTheme="minorHAnsi" w:hAnsiTheme="minorHAnsi" w:cstheme="minorHAnsi"/>
                <w:b/>
              </w:rPr>
              <w:t>Recommendation</w:t>
            </w:r>
            <w:r w:rsidRPr="001F6051">
              <w:rPr>
                <w:rFonts w:asciiTheme="minorHAnsi" w:hAnsiTheme="minorHAnsi" w:cstheme="minorHAnsi"/>
              </w:rPr>
              <w:t>:</w:t>
            </w:r>
          </w:p>
          <w:p w14:paraId="33B59B07" w14:textId="347F7C77" w:rsidR="00947C9D" w:rsidRPr="001F6051" w:rsidRDefault="00947C9D" w:rsidP="00AA128D">
            <w:pPr>
              <w:pStyle w:val="ListParagraph"/>
              <w:widowControl/>
              <w:numPr>
                <w:ilvl w:val="0"/>
                <w:numId w:val="71"/>
              </w:numPr>
              <w:autoSpaceDE/>
              <w:autoSpaceDN/>
              <w:spacing w:after="160" w:line="276" w:lineRule="auto"/>
              <w:ind w:left="389" w:right="113"/>
              <w:jc w:val="both"/>
              <w:rPr>
                <w:rFonts w:asciiTheme="minorHAnsi" w:hAnsiTheme="minorHAnsi" w:cstheme="minorHAnsi"/>
              </w:rPr>
            </w:pPr>
            <w:r w:rsidRPr="001F6051">
              <w:rPr>
                <w:rFonts w:asciiTheme="minorHAnsi" w:hAnsiTheme="minorHAnsi" w:cstheme="minorHAnsi"/>
              </w:rPr>
              <w:t>To</w:t>
            </w:r>
            <w:r w:rsidRPr="001F6051">
              <w:rPr>
                <w:rFonts w:asciiTheme="minorHAnsi" w:eastAsia="Arial" w:hAnsiTheme="minorHAnsi" w:cstheme="minorHAnsi"/>
              </w:rPr>
              <w:t xml:space="preserve"> substantially reduce compliance costs and efforts, thus promoting ease of doing business, the following recommendations are made:</w:t>
            </w:r>
          </w:p>
          <w:p w14:paraId="699FF28F" w14:textId="72ED4E3F" w:rsidR="00354F1B" w:rsidRPr="001F6051" w:rsidRDefault="00947C9D" w:rsidP="00AA128D">
            <w:pPr>
              <w:pStyle w:val="ListParagraph"/>
              <w:numPr>
                <w:ilvl w:val="0"/>
                <w:numId w:val="72"/>
              </w:numPr>
              <w:spacing w:after="160" w:line="276" w:lineRule="auto"/>
              <w:ind w:left="815" w:right="56"/>
              <w:jc w:val="both"/>
              <w:rPr>
                <w:rFonts w:asciiTheme="minorHAnsi" w:hAnsiTheme="minorHAnsi" w:cstheme="minorHAnsi"/>
              </w:rPr>
            </w:pPr>
            <w:r w:rsidRPr="001F6051">
              <w:rPr>
                <w:rFonts w:asciiTheme="minorHAnsi" w:eastAsia="Arial" w:hAnsiTheme="minorHAnsi" w:cstheme="minorHAnsi"/>
              </w:rPr>
              <w:t>T</w:t>
            </w:r>
            <w:r w:rsidRPr="001F6051">
              <w:rPr>
                <w:rFonts w:asciiTheme="minorHAnsi" w:eastAsia="Times New Roman" w:hAnsiTheme="minorHAnsi" w:cstheme="minorHAnsi"/>
                <w:lang w:eastAsia="en-IN"/>
              </w:rPr>
              <w:t xml:space="preserve">he requirement to issue Form 16A </w:t>
            </w:r>
            <w:r w:rsidR="00F633B9" w:rsidRPr="00192A44">
              <w:rPr>
                <w:rFonts w:asciiTheme="minorHAnsi" w:eastAsia="Times New Roman" w:hAnsiTheme="minorHAnsi" w:cstheme="minorHAnsi"/>
                <w:lang w:eastAsia="en-IN"/>
              </w:rPr>
              <w:t>(New Form 131)</w:t>
            </w:r>
            <w:r w:rsidRPr="001F6051">
              <w:rPr>
                <w:rFonts w:asciiTheme="minorHAnsi" w:eastAsia="Times New Roman" w:hAnsiTheme="minorHAnsi" w:cstheme="minorHAnsi"/>
                <w:lang w:eastAsia="en-IN"/>
              </w:rPr>
              <w:t>(TDS Certificate) under Rule 31(1)(b)</w:t>
            </w:r>
            <w:r w:rsidR="008254A4" w:rsidRPr="00192A44">
              <w:rPr>
                <w:rFonts w:asciiTheme="minorHAnsi" w:eastAsia="Times New Roman" w:hAnsiTheme="minorHAnsi" w:cstheme="minorHAnsi"/>
                <w:lang w:eastAsia="en-IN"/>
              </w:rPr>
              <w:t xml:space="preserve"> (</w:t>
            </w:r>
            <w:r w:rsidR="005E3187" w:rsidRPr="00192A44">
              <w:rPr>
                <w:rFonts w:asciiTheme="minorHAnsi" w:eastAsia="Times New Roman" w:hAnsiTheme="minorHAnsi" w:cstheme="minorHAnsi"/>
                <w:lang w:eastAsia="en-IN"/>
              </w:rPr>
              <w:t xml:space="preserve">New </w:t>
            </w:r>
            <w:r w:rsidR="008254A4" w:rsidRPr="00192A44">
              <w:rPr>
                <w:rFonts w:asciiTheme="minorHAnsi" w:eastAsia="Times New Roman" w:hAnsiTheme="minorHAnsi" w:cstheme="minorHAnsi"/>
                <w:lang w:eastAsia="en-IN"/>
              </w:rPr>
              <w:t xml:space="preserve">Rule 215 </w:t>
            </w:r>
            <w:r w:rsidR="005E3187" w:rsidRPr="00192A44">
              <w:rPr>
                <w:rFonts w:asciiTheme="minorHAnsi" w:eastAsia="Times New Roman" w:hAnsiTheme="minorHAnsi" w:cstheme="minorHAnsi"/>
                <w:lang w:eastAsia="en-IN"/>
              </w:rPr>
              <w:t>)</w:t>
            </w:r>
            <w:r w:rsidRPr="001F6051">
              <w:rPr>
                <w:rFonts w:asciiTheme="minorHAnsi" w:eastAsia="Times New Roman" w:hAnsiTheme="minorHAnsi" w:cstheme="minorHAnsi"/>
                <w:lang w:eastAsia="en-IN"/>
              </w:rPr>
              <w:t xml:space="preserve"> and Form 27D</w:t>
            </w:r>
            <w:r w:rsidR="00F217A2" w:rsidRPr="00192A44">
              <w:rPr>
                <w:rFonts w:asciiTheme="minorHAnsi" w:eastAsia="Times New Roman" w:hAnsiTheme="minorHAnsi" w:cstheme="minorHAnsi"/>
                <w:lang w:eastAsia="en-IN"/>
              </w:rPr>
              <w:t xml:space="preserve"> (New Form 133)</w:t>
            </w:r>
            <w:r w:rsidRPr="001F6051">
              <w:rPr>
                <w:rFonts w:asciiTheme="minorHAnsi" w:eastAsia="Times New Roman" w:hAnsiTheme="minorHAnsi" w:cstheme="minorHAnsi"/>
                <w:lang w:eastAsia="en-IN"/>
              </w:rPr>
              <w:t xml:space="preserve"> (TCS Certificate) under Rule 37D</w:t>
            </w:r>
            <w:r w:rsidR="00A12F4E" w:rsidRPr="001F6051">
              <w:rPr>
                <w:rFonts w:asciiTheme="minorHAnsi" w:eastAsia="Times New Roman" w:hAnsiTheme="minorHAnsi" w:cstheme="minorHAnsi"/>
                <w:lang w:eastAsia="en-IN"/>
              </w:rPr>
              <w:t xml:space="preserve"> of IT Rules 1962 (Rule </w:t>
            </w:r>
            <w:r w:rsidR="0057273E" w:rsidRPr="001F6051">
              <w:rPr>
                <w:rFonts w:asciiTheme="minorHAnsi" w:eastAsia="Times New Roman" w:hAnsiTheme="minorHAnsi" w:cstheme="minorHAnsi"/>
                <w:lang w:eastAsia="en-IN"/>
              </w:rPr>
              <w:t xml:space="preserve">215 </w:t>
            </w:r>
            <w:r w:rsidR="00A12F4E" w:rsidRPr="001F6051">
              <w:rPr>
                <w:rFonts w:asciiTheme="minorHAnsi" w:eastAsia="Times New Roman" w:hAnsiTheme="minorHAnsi" w:cstheme="minorHAnsi"/>
                <w:lang w:eastAsia="en-IN"/>
              </w:rPr>
              <w:t xml:space="preserve">of </w:t>
            </w:r>
            <w:r w:rsidR="0057273E" w:rsidRPr="001F6051">
              <w:rPr>
                <w:rFonts w:asciiTheme="minorHAnsi" w:eastAsia="Times New Roman" w:hAnsiTheme="minorHAnsi" w:cstheme="minorHAnsi"/>
                <w:lang w:eastAsia="en-IN"/>
              </w:rPr>
              <w:t xml:space="preserve">Draft </w:t>
            </w:r>
            <w:r w:rsidR="00A12F4E" w:rsidRPr="001F6051">
              <w:rPr>
                <w:rFonts w:asciiTheme="minorHAnsi" w:eastAsia="Times New Roman" w:hAnsiTheme="minorHAnsi" w:cstheme="minorHAnsi"/>
                <w:lang w:eastAsia="en-IN"/>
              </w:rPr>
              <w:t>IT Rules 2026)</w:t>
            </w:r>
            <w:r w:rsidRPr="001F6051">
              <w:rPr>
                <w:rFonts w:asciiTheme="minorHAnsi" w:eastAsia="Times New Roman" w:hAnsiTheme="minorHAnsi" w:cstheme="minorHAnsi"/>
                <w:lang w:eastAsia="en-IN"/>
              </w:rPr>
              <w:t xml:space="preserve"> should be discontinued </w:t>
            </w:r>
            <w:r w:rsidRPr="001F6051">
              <w:rPr>
                <w:rFonts w:asciiTheme="minorHAnsi" w:eastAsia="Arial" w:hAnsiTheme="minorHAnsi" w:cstheme="minorHAnsi"/>
              </w:rPr>
              <w:t>and consider</w:t>
            </w:r>
            <w:r w:rsidR="003527FD" w:rsidRPr="001F6051">
              <w:rPr>
                <w:rFonts w:asciiTheme="minorHAnsi" w:eastAsia="Arial" w:hAnsiTheme="minorHAnsi" w:cstheme="minorHAnsi"/>
              </w:rPr>
              <w:t xml:space="preserve"> prescribing Annual Tax Statement / Form 26AS (generated through secure safeguards to ensure payee information is not allowed to be tampered with) as the basis for tax authorities to grant tax credit.</w:t>
            </w:r>
          </w:p>
          <w:p w14:paraId="4810CF2A" w14:textId="22B04C37" w:rsidR="00625F6E" w:rsidRPr="001F6051" w:rsidRDefault="00625F6E" w:rsidP="00AA128D">
            <w:pPr>
              <w:pStyle w:val="ListParagraph"/>
              <w:numPr>
                <w:ilvl w:val="0"/>
                <w:numId w:val="72"/>
              </w:numPr>
              <w:spacing w:after="160" w:line="276" w:lineRule="auto"/>
              <w:ind w:left="815" w:right="56"/>
              <w:jc w:val="both"/>
              <w:rPr>
                <w:rFonts w:asciiTheme="minorHAnsi" w:hAnsiTheme="minorHAnsi" w:cstheme="minorHAnsi"/>
              </w:rPr>
            </w:pPr>
            <w:r w:rsidRPr="001F6051">
              <w:rPr>
                <w:rFonts w:asciiTheme="minorHAnsi" w:eastAsia="Arial" w:hAnsiTheme="minorHAnsi" w:cstheme="minorHAnsi"/>
              </w:rPr>
              <w:t>Consider the requirement of issuing TDS/TCS certificates only in below cases:</w:t>
            </w:r>
          </w:p>
          <w:p w14:paraId="47E8516E" w14:textId="2B4BB686" w:rsidR="00625F6E" w:rsidRPr="001F6051" w:rsidRDefault="00625F6E" w:rsidP="00AA128D">
            <w:pPr>
              <w:pStyle w:val="ListParagraph"/>
              <w:widowControl/>
              <w:numPr>
                <w:ilvl w:val="0"/>
                <w:numId w:val="49"/>
              </w:numPr>
              <w:autoSpaceDE/>
              <w:autoSpaceDN/>
              <w:spacing w:after="160" w:line="276" w:lineRule="auto"/>
              <w:ind w:left="1098" w:right="113"/>
              <w:jc w:val="both"/>
              <w:rPr>
                <w:rFonts w:asciiTheme="minorHAnsi" w:eastAsia="Arial" w:hAnsiTheme="minorHAnsi" w:cstheme="minorHAnsi"/>
              </w:rPr>
            </w:pPr>
            <w:r w:rsidRPr="001F6051">
              <w:rPr>
                <w:rFonts w:asciiTheme="minorHAnsi" w:eastAsia="Arial" w:hAnsiTheme="minorHAnsi" w:cstheme="minorHAnsi"/>
              </w:rPr>
              <w:t>Issue of TDS certificates to NRs to enable them to claim foreign tax credit (FTC) in their country of residence).</w:t>
            </w:r>
          </w:p>
          <w:p w14:paraId="5581E138" w14:textId="00613985" w:rsidR="00625F6E" w:rsidRPr="001F6051" w:rsidRDefault="00625F6E" w:rsidP="00AA128D">
            <w:pPr>
              <w:pStyle w:val="ListParagraph"/>
              <w:widowControl/>
              <w:numPr>
                <w:ilvl w:val="0"/>
                <w:numId w:val="49"/>
              </w:numPr>
              <w:autoSpaceDE/>
              <w:autoSpaceDN/>
              <w:spacing w:after="160" w:line="276" w:lineRule="auto"/>
              <w:ind w:left="1098" w:right="113"/>
              <w:jc w:val="both"/>
              <w:rPr>
                <w:rFonts w:asciiTheme="minorHAnsi" w:hAnsiTheme="minorHAnsi" w:cstheme="minorHAnsi"/>
              </w:rPr>
            </w:pPr>
            <w:r w:rsidRPr="001F6051">
              <w:rPr>
                <w:rFonts w:asciiTheme="minorHAnsi" w:hAnsiTheme="minorHAnsi" w:cstheme="minorHAnsi"/>
              </w:rPr>
              <w:t>S.206AA/s.206CC</w:t>
            </w:r>
            <w:r w:rsidR="00A12F4E" w:rsidRPr="001F6051">
              <w:rPr>
                <w:rFonts w:asciiTheme="minorHAnsi" w:hAnsiTheme="minorHAnsi" w:cstheme="minorHAnsi"/>
              </w:rPr>
              <w:t xml:space="preserve"> of ITA 1961</w:t>
            </w:r>
            <w:r w:rsidR="00FE1B2E" w:rsidRPr="00192A44">
              <w:rPr>
                <w:rFonts w:asciiTheme="minorHAnsi" w:hAnsiTheme="minorHAnsi" w:cstheme="minorHAnsi"/>
              </w:rPr>
              <w:t xml:space="preserve"> (S. 397 of ITA 2025) </w:t>
            </w:r>
            <w:r w:rsidRPr="001F6051">
              <w:rPr>
                <w:rFonts w:asciiTheme="minorHAnsi" w:hAnsiTheme="minorHAnsi" w:cstheme="minorHAnsi"/>
              </w:rPr>
              <w:t>cases where PAN is not available as the TDS/ TCS cannot be populated in Form 26AS.</w:t>
            </w:r>
          </w:p>
          <w:p w14:paraId="17F46F0C" w14:textId="3085C7E5" w:rsidR="00625F6E" w:rsidRPr="001F6051" w:rsidRDefault="00625F6E" w:rsidP="00AA128D">
            <w:pPr>
              <w:pStyle w:val="ListParagraph"/>
              <w:widowControl/>
              <w:numPr>
                <w:ilvl w:val="0"/>
                <w:numId w:val="49"/>
              </w:numPr>
              <w:autoSpaceDE/>
              <w:autoSpaceDN/>
              <w:spacing w:after="160" w:line="276" w:lineRule="auto"/>
              <w:ind w:left="1098" w:right="113"/>
              <w:jc w:val="both"/>
              <w:rPr>
                <w:rFonts w:asciiTheme="minorHAnsi" w:hAnsiTheme="minorHAnsi" w:cstheme="minorHAnsi"/>
              </w:rPr>
            </w:pPr>
            <w:r w:rsidRPr="001F6051">
              <w:rPr>
                <w:rFonts w:asciiTheme="minorHAnsi" w:hAnsiTheme="minorHAnsi" w:cstheme="minorHAnsi"/>
              </w:rPr>
              <w:t>Salary TDS certificates in Form 16</w:t>
            </w:r>
            <w:r w:rsidR="00E4579F" w:rsidRPr="00192A44">
              <w:rPr>
                <w:rFonts w:asciiTheme="minorHAnsi" w:hAnsiTheme="minorHAnsi" w:cstheme="minorHAnsi"/>
              </w:rPr>
              <w:t xml:space="preserve"> (New Form 130)</w:t>
            </w:r>
          </w:p>
          <w:p w14:paraId="423365F3" w14:textId="01658FD0" w:rsidR="00BA6C8A" w:rsidRPr="001F6051" w:rsidRDefault="00BA6C8A" w:rsidP="00AA128D">
            <w:pPr>
              <w:pStyle w:val="ListParagraph"/>
              <w:widowControl/>
              <w:numPr>
                <w:ilvl w:val="0"/>
                <w:numId w:val="49"/>
              </w:numPr>
              <w:autoSpaceDE/>
              <w:autoSpaceDN/>
              <w:spacing w:after="160" w:line="276" w:lineRule="auto"/>
              <w:ind w:left="1098" w:right="113"/>
              <w:jc w:val="both"/>
              <w:rPr>
                <w:rFonts w:asciiTheme="minorHAnsi" w:hAnsiTheme="minorHAnsi" w:cstheme="minorHAnsi"/>
              </w:rPr>
            </w:pPr>
            <w:r w:rsidRPr="001F6051">
              <w:rPr>
                <w:rFonts w:asciiTheme="minorHAnsi" w:hAnsiTheme="minorHAnsi" w:cstheme="minorHAnsi"/>
              </w:rPr>
              <w:t>Any other case where the deductee/collectee requests the deductor/collector to issue TDS/TCS certificate through Income tax portal</w:t>
            </w:r>
          </w:p>
          <w:p w14:paraId="5BB21DC8" w14:textId="414A1C6C" w:rsidR="00D65238" w:rsidRPr="001F6051" w:rsidRDefault="00D65238" w:rsidP="00AA128D">
            <w:pPr>
              <w:pStyle w:val="ListParagraph"/>
              <w:widowControl/>
              <w:numPr>
                <w:ilvl w:val="0"/>
                <w:numId w:val="73"/>
              </w:numPr>
              <w:autoSpaceDE/>
              <w:autoSpaceDN/>
              <w:spacing w:after="160" w:line="276" w:lineRule="auto"/>
              <w:ind w:left="815" w:right="113"/>
              <w:jc w:val="both"/>
              <w:rPr>
                <w:rFonts w:asciiTheme="minorHAnsi" w:hAnsiTheme="minorHAnsi" w:cstheme="minorHAnsi"/>
              </w:rPr>
            </w:pPr>
            <w:r w:rsidRPr="001F6051">
              <w:rPr>
                <w:rFonts w:asciiTheme="minorHAnsi" w:eastAsia="Arial" w:hAnsiTheme="minorHAnsi" w:cstheme="minorHAnsi"/>
              </w:rPr>
              <w:t xml:space="preserve">Alternatively, the inputs provided in TDS/TCS returns (under certification by company) is used by ITD for generation of Annual Tax Statement/Form 26AS </w:t>
            </w:r>
            <w:r w:rsidR="005E47E1" w:rsidRPr="00192A44">
              <w:rPr>
                <w:rFonts w:asciiTheme="minorHAnsi" w:eastAsia="Arial" w:hAnsiTheme="minorHAnsi" w:cstheme="minorHAnsi"/>
              </w:rPr>
              <w:t xml:space="preserve">(New Form </w:t>
            </w:r>
            <w:r w:rsidR="001F6051" w:rsidRPr="00192A44">
              <w:rPr>
                <w:rFonts w:asciiTheme="minorHAnsi" w:eastAsia="Arial" w:hAnsiTheme="minorHAnsi" w:cstheme="minorHAnsi"/>
              </w:rPr>
              <w:t xml:space="preserve">168) </w:t>
            </w:r>
            <w:r w:rsidRPr="001F6051">
              <w:rPr>
                <w:rFonts w:asciiTheme="minorHAnsi" w:eastAsia="Arial" w:hAnsiTheme="minorHAnsi" w:cstheme="minorHAnsi"/>
              </w:rPr>
              <w:t>of deductees. The same input should be used to distribute TDS/TCS certificate automatically by TDS CPC.</w:t>
            </w:r>
          </w:p>
        </w:tc>
      </w:tr>
      <w:tr w:rsidR="003C3299" w:rsidRPr="004179E6" w14:paraId="23D9A135" w14:textId="77777777" w:rsidTr="00210D4C">
        <w:trPr>
          <w:trHeight w:val="20"/>
        </w:trPr>
        <w:tc>
          <w:tcPr>
            <w:tcW w:w="512" w:type="dxa"/>
          </w:tcPr>
          <w:p w14:paraId="3E84FDB4" w14:textId="77777777" w:rsidR="007031A7" w:rsidRPr="004179E6" w:rsidRDefault="007031A7"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46E1D6C5" w14:textId="77777777" w:rsidR="007031A7" w:rsidRPr="006A70DB" w:rsidRDefault="007031A7" w:rsidP="00AA128D">
            <w:pPr>
              <w:spacing w:after="160" w:line="276" w:lineRule="auto"/>
              <w:rPr>
                <w:rFonts w:asciiTheme="minorHAnsi" w:hAnsiTheme="minorHAnsi" w:cstheme="minorHAnsi"/>
                <w:b/>
              </w:rPr>
            </w:pPr>
            <w:r w:rsidRPr="006A70DB">
              <w:rPr>
                <w:rFonts w:asciiTheme="minorHAnsi" w:hAnsiTheme="minorHAnsi" w:cstheme="minorHAnsi"/>
                <w:b/>
              </w:rPr>
              <w:t xml:space="preserve">Liberalise Rule 30(3) </w:t>
            </w:r>
            <w:r w:rsidR="00B32227" w:rsidRPr="006A70DB">
              <w:rPr>
                <w:rFonts w:asciiTheme="minorHAnsi" w:hAnsiTheme="minorHAnsi" w:cstheme="minorHAnsi"/>
                <w:b/>
              </w:rPr>
              <w:t xml:space="preserve">of the ITR, 1962 </w:t>
            </w:r>
            <w:r w:rsidRPr="006A70DB">
              <w:rPr>
                <w:rFonts w:asciiTheme="minorHAnsi" w:hAnsiTheme="minorHAnsi" w:cstheme="minorHAnsi"/>
                <w:b/>
              </w:rPr>
              <w:t>by expanding scope coverage and laying down transparent guidelines prescribing circumstances in which such facility can be availed</w:t>
            </w:r>
          </w:p>
          <w:p w14:paraId="0F05AED2" w14:textId="1E099DEF" w:rsidR="007031A7" w:rsidRPr="006A70DB" w:rsidRDefault="002178E4" w:rsidP="00AA128D">
            <w:pPr>
              <w:spacing w:after="160" w:line="276" w:lineRule="auto"/>
              <w:rPr>
                <w:rFonts w:asciiTheme="minorHAnsi" w:hAnsiTheme="minorHAnsi" w:cstheme="minorHAnsi"/>
                <w:b/>
              </w:rPr>
            </w:pPr>
            <w:r>
              <w:rPr>
                <w:rFonts w:asciiTheme="minorHAnsi" w:hAnsiTheme="minorHAnsi" w:cstheme="minorHAnsi"/>
                <w:b/>
              </w:rPr>
              <w:t>(</w:t>
            </w:r>
            <w:r w:rsidR="00AB486E" w:rsidRPr="006A70DB">
              <w:rPr>
                <w:rFonts w:asciiTheme="minorHAnsi" w:hAnsiTheme="minorHAnsi" w:cstheme="minorHAnsi"/>
                <w:b/>
              </w:rPr>
              <w:t>Rule 218</w:t>
            </w:r>
            <w:r w:rsidR="00D97D80" w:rsidRPr="006A70DB">
              <w:rPr>
                <w:rFonts w:asciiTheme="minorHAnsi" w:hAnsiTheme="minorHAnsi" w:cstheme="minorHAnsi"/>
                <w:b/>
              </w:rPr>
              <w:t>(4)</w:t>
            </w:r>
            <w:r w:rsidR="00AB486E" w:rsidRPr="006A70DB">
              <w:rPr>
                <w:rFonts w:asciiTheme="minorHAnsi" w:hAnsiTheme="minorHAnsi" w:cstheme="minorHAnsi"/>
                <w:b/>
              </w:rPr>
              <w:t xml:space="preserve"> of the Draft IT</w:t>
            </w:r>
            <w:r w:rsidR="00DB6C91" w:rsidRPr="006A70DB">
              <w:rPr>
                <w:rFonts w:asciiTheme="minorHAnsi" w:hAnsiTheme="minorHAnsi" w:cstheme="minorHAnsi"/>
                <w:b/>
              </w:rPr>
              <w:t xml:space="preserve"> </w:t>
            </w:r>
            <w:r w:rsidR="00AB486E" w:rsidRPr="006A70DB">
              <w:rPr>
                <w:rFonts w:asciiTheme="minorHAnsi" w:hAnsiTheme="minorHAnsi" w:cstheme="minorHAnsi"/>
                <w:b/>
              </w:rPr>
              <w:t>R</w:t>
            </w:r>
            <w:r w:rsidR="00DB6C91" w:rsidRPr="006A70DB">
              <w:rPr>
                <w:rFonts w:asciiTheme="minorHAnsi" w:hAnsiTheme="minorHAnsi" w:cstheme="minorHAnsi"/>
                <w:b/>
              </w:rPr>
              <w:t>ules</w:t>
            </w:r>
            <w:r w:rsidR="00AB486E" w:rsidRPr="006A70DB">
              <w:rPr>
                <w:rFonts w:asciiTheme="minorHAnsi" w:hAnsiTheme="minorHAnsi" w:cstheme="minorHAnsi"/>
                <w:b/>
              </w:rPr>
              <w:t xml:space="preserve">, </w:t>
            </w:r>
            <w:r w:rsidR="00D84BFC" w:rsidRPr="006A70DB">
              <w:rPr>
                <w:rFonts w:asciiTheme="minorHAnsi" w:hAnsiTheme="minorHAnsi" w:cstheme="minorHAnsi"/>
                <w:b/>
              </w:rPr>
              <w:t>2026</w:t>
            </w:r>
            <w:r>
              <w:rPr>
                <w:rFonts w:asciiTheme="minorHAnsi" w:hAnsiTheme="minorHAnsi" w:cstheme="minorHAnsi"/>
                <w:b/>
              </w:rPr>
              <w:t>)</w:t>
            </w:r>
          </w:p>
        </w:tc>
        <w:tc>
          <w:tcPr>
            <w:tcW w:w="10986" w:type="dxa"/>
          </w:tcPr>
          <w:p w14:paraId="68106C41" w14:textId="77777777" w:rsidR="007031A7" w:rsidRPr="004179E6" w:rsidRDefault="007031A7" w:rsidP="00AA128D">
            <w:pPr>
              <w:widowControl/>
              <w:autoSpaceDE/>
              <w:autoSpaceDN/>
              <w:spacing w:after="160" w:line="276" w:lineRule="auto"/>
              <w:jc w:val="both"/>
              <w:rPr>
                <w:rFonts w:asciiTheme="minorHAnsi" w:hAnsiTheme="minorHAnsi" w:cstheme="minorHAnsi"/>
                <w:b/>
                <w:bCs/>
              </w:rPr>
            </w:pPr>
            <w:r w:rsidRPr="004179E6">
              <w:rPr>
                <w:rFonts w:asciiTheme="minorHAnsi" w:hAnsiTheme="minorHAnsi" w:cstheme="minorHAnsi"/>
                <w:b/>
                <w:bCs/>
              </w:rPr>
              <w:t>Rationale:</w:t>
            </w:r>
          </w:p>
          <w:p w14:paraId="5915DBC5" w14:textId="77777777" w:rsidR="007031A7" w:rsidRPr="004179E6" w:rsidRDefault="007031A7"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Rule 30(3) permits TDS AO to permit quarterly payment of TDS instead of monthly payments. But this rule has several attached conditions as follows :-</w:t>
            </w:r>
          </w:p>
          <w:p w14:paraId="369CEC75" w14:textId="658AC526" w:rsidR="007031A7" w:rsidRPr="004179E6" w:rsidRDefault="007031A7" w:rsidP="00AA128D">
            <w:pPr>
              <w:pStyle w:val="ListParagraph"/>
              <w:widowControl/>
              <w:numPr>
                <w:ilvl w:val="2"/>
                <w:numId w:val="22"/>
              </w:numPr>
              <w:autoSpaceDE/>
              <w:autoSpaceDN/>
              <w:spacing w:after="160" w:line="276" w:lineRule="auto"/>
              <w:ind w:left="785" w:hanging="425"/>
              <w:jc w:val="both"/>
              <w:rPr>
                <w:rFonts w:asciiTheme="minorHAnsi" w:hAnsiTheme="minorHAnsi" w:cstheme="minorHAnsi"/>
              </w:rPr>
            </w:pPr>
            <w:r w:rsidRPr="004179E6">
              <w:rPr>
                <w:rFonts w:asciiTheme="minorHAnsi" w:hAnsiTheme="minorHAnsi" w:cstheme="minorHAnsi"/>
              </w:rPr>
              <w:t>The facility is permitted only in ‘special cases’ but there is no definition or guidance on what such ‘special cases’ could be</w:t>
            </w:r>
            <w:r w:rsidR="00026776" w:rsidRPr="004179E6">
              <w:rPr>
                <w:rFonts w:asciiTheme="minorHAnsi" w:hAnsiTheme="minorHAnsi" w:cstheme="minorHAnsi"/>
              </w:rPr>
              <w:t>.</w:t>
            </w:r>
          </w:p>
          <w:p w14:paraId="3D2820D1" w14:textId="2D7F638E" w:rsidR="007031A7" w:rsidRPr="004179E6" w:rsidRDefault="007031A7" w:rsidP="00AA128D">
            <w:pPr>
              <w:pStyle w:val="ListParagraph"/>
              <w:widowControl/>
              <w:numPr>
                <w:ilvl w:val="2"/>
                <w:numId w:val="22"/>
              </w:numPr>
              <w:autoSpaceDE/>
              <w:autoSpaceDN/>
              <w:spacing w:after="160" w:line="276" w:lineRule="auto"/>
              <w:ind w:left="785" w:hanging="425"/>
              <w:jc w:val="both"/>
              <w:rPr>
                <w:rFonts w:asciiTheme="minorHAnsi" w:hAnsiTheme="minorHAnsi" w:cstheme="minorHAnsi"/>
              </w:rPr>
            </w:pPr>
            <w:r w:rsidRPr="004179E6">
              <w:rPr>
                <w:rFonts w:asciiTheme="minorHAnsi" w:hAnsiTheme="minorHAnsi" w:cstheme="minorHAnsi"/>
              </w:rPr>
              <w:t xml:space="preserve">The facility is permitted only for four types of TDS on payments viz. (a) salary TDS u/s. 192 </w:t>
            </w:r>
            <w:r w:rsidR="00C554DF">
              <w:rPr>
                <w:rFonts w:asciiTheme="minorHAnsi" w:hAnsiTheme="minorHAnsi" w:cstheme="minorHAnsi"/>
              </w:rPr>
              <w:t xml:space="preserve">(S. </w:t>
            </w:r>
            <w:r w:rsidR="00C554DF" w:rsidRPr="00C554DF">
              <w:rPr>
                <w:rFonts w:asciiTheme="minorHAnsi" w:hAnsiTheme="minorHAnsi" w:cstheme="minorHAnsi"/>
              </w:rPr>
              <w:t xml:space="preserve">392 </w:t>
            </w:r>
            <w:r w:rsidR="00C554DF">
              <w:rPr>
                <w:rFonts w:asciiTheme="minorHAnsi" w:hAnsiTheme="minorHAnsi" w:cstheme="minorHAnsi"/>
              </w:rPr>
              <w:t>of the ITA, 2025)</w:t>
            </w:r>
            <w:r w:rsidRPr="004179E6">
              <w:rPr>
                <w:rFonts w:asciiTheme="minorHAnsi" w:hAnsiTheme="minorHAnsi" w:cstheme="minorHAnsi"/>
              </w:rPr>
              <w:t xml:space="preserve"> (b) payment of interest other than interest on securities to residents u/s. 194A</w:t>
            </w:r>
            <w:r w:rsidR="00025DA7">
              <w:rPr>
                <w:rFonts w:asciiTheme="minorHAnsi" w:hAnsiTheme="minorHAnsi" w:cstheme="minorHAnsi"/>
              </w:rPr>
              <w:t xml:space="preserve"> (</w:t>
            </w:r>
            <w:r w:rsidR="00025DA7" w:rsidRPr="00025DA7">
              <w:rPr>
                <w:rFonts w:asciiTheme="minorHAnsi" w:hAnsiTheme="minorHAnsi" w:cstheme="minorHAnsi"/>
              </w:rPr>
              <w:t>Section 393(1) &amp; its Table: Sl. No. 5(ii) &amp; (iii)</w:t>
            </w:r>
            <w:r w:rsidR="00025DA7">
              <w:rPr>
                <w:rFonts w:asciiTheme="minorHAnsi" w:hAnsiTheme="minorHAnsi" w:cstheme="minorHAnsi"/>
              </w:rPr>
              <w:t xml:space="preserve"> of the ITA, 2025)</w:t>
            </w:r>
            <w:r w:rsidRPr="004179E6">
              <w:rPr>
                <w:rFonts w:asciiTheme="minorHAnsi" w:hAnsiTheme="minorHAnsi" w:cstheme="minorHAnsi"/>
              </w:rPr>
              <w:t xml:space="preserve"> (c) payment of insurance commission to residents u/s. 194D</w:t>
            </w:r>
            <w:r w:rsidR="005C6500">
              <w:rPr>
                <w:rFonts w:asciiTheme="minorHAnsi" w:hAnsiTheme="minorHAnsi" w:cstheme="minorHAnsi"/>
              </w:rPr>
              <w:t xml:space="preserve"> (</w:t>
            </w:r>
            <w:r w:rsidR="005C6500" w:rsidRPr="005C6500">
              <w:rPr>
                <w:rFonts w:asciiTheme="minorHAnsi" w:hAnsiTheme="minorHAnsi" w:cstheme="minorHAnsi"/>
              </w:rPr>
              <w:t>Section 393(1) &amp; its Table: Sl. No. 1(i)</w:t>
            </w:r>
            <w:r w:rsidR="005C6500">
              <w:rPr>
                <w:rFonts w:asciiTheme="minorHAnsi" w:hAnsiTheme="minorHAnsi" w:cstheme="minorHAnsi"/>
              </w:rPr>
              <w:t xml:space="preserve"> of the ITA, 2025)</w:t>
            </w:r>
            <w:r w:rsidRPr="004179E6">
              <w:rPr>
                <w:rFonts w:asciiTheme="minorHAnsi" w:hAnsiTheme="minorHAnsi" w:cstheme="minorHAnsi"/>
              </w:rPr>
              <w:t xml:space="preserve"> and (d) payment of commission/brokerage to residents  u/s. 194H</w:t>
            </w:r>
            <w:r w:rsidR="00B760E2">
              <w:rPr>
                <w:rFonts w:asciiTheme="minorHAnsi" w:hAnsiTheme="minorHAnsi" w:cstheme="minorHAnsi"/>
              </w:rPr>
              <w:t xml:space="preserve"> (</w:t>
            </w:r>
            <w:r w:rsidR="00B760E2" w:rsidRPr="00B760E2">
              <w:rPr>
                <w:rFonts w:asciiTheme="minorHAnsi" w:hAnsiTheme="minorHAnsi" w:cstheme="minorHAnsi"/>
              </w:rPr>
              <w:t>Sections 393(1) &amp; its Table: Sl. No. 1(ii)</w:t>
            </w:r>
            <w:r w:rsidR="00B760E2">
              <w:rPr>
                <w:rFonts w:asciiTheme="minorHAnsi" w:hAnsiTheme="minorHAnsi" w:cstheme="minorHAnsi"/>
              </w:rPr>
              <w:t xml:space="preserve"> of the ITA, 2025)</w:t>
            </w:r>
            <w:r w:rsidR="008F4D75" w:rsidRPr="004179E6">
              <w:rPr>
                <w:rFonts w:asciiTheme="minorHAnsi" w:hAnsiTheme="minorHAnsi" w:cstheme="minorHAnsi"/>
              </w:rPr>
              <w:t>.</w:t>
            </w:r>
          </w:p>
          <w:p w14:paraId="477FC35F" w14:textId="77777777" w:rsidR="007031A7" w:rsidRPr="004179E6" w:rsidRDefault="007031A7" w:rsidP="00AA128D">
            <w:pPr>
              <w:pStyle w:val="ListParagraph"/>
              <w:widowControl/>
              <w:numPr>
                <w:ilvl w:val="2"/>
                <w:numId w:val="22"/>
              </w:numPr>
              <w:autoSpaceDE/>
              <w:autoSpaceDN/>
              <w:spacing w:after="160" w:line="276" w:lineRule="auto"/>
              <w:ind w:left="785" w:hanging="425"/>
              <w:jc w:val="both"/>
              <w:rPr>
                <w:rFonts w:asciiTheme="minorHAnsi" w:hAnsiTheme="minorHAnsi" w:cstheme="minorHAnsi"/>
              </w:rPr>
            </w:pPr>
            <w:r w:rsidRPr="004179E6">
              <w:rPr>
                <w:rFonts w:asciiTheme="minorHAnsi" w:hAnsiTheme="minorHAnsi" w:cstheme="minorHAnsi"/>
              </w:rPr>
              <w:t>The TDS AO is required to obtain prior approval of JCIT before granting such facility</w:t>
            </w:r>
          </w:p>
          <w:p w14:paraId="0B76FE5D" w14:textId="78656F3E" w:rsidR="007031A7" w:rsidRPr="004179E6" w:rsidRDefault="007031A7"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Further, the process for obtaining approval under Rule 30(3) is a manual process unlike the process for obtaining lower/NIL TDS certificates u/s. 197</w:t>
            </w:r>
            <w:r w:rsidR="00063E79">
              <w:rPr>
                <w:rFonts w:asciiTheme="minorHAnsi" w:hAnsiTheme="minorHAnsi" w:cstheme="minorHAnsi"/>
              </w:rPr>
              <w:t xml:space="preserve"> of the ITA, 1961 (</w:t>
            </w:r>
            <w:r w:rsidR="00063E79" w:rsidRPr="00063E79">
              <w:rPr>
                <w:rFonts w:asciiTheme="minorHAnsi" w:hAnsiTheme="minorHAnsi" w:cstheme="minorHAnsi"/>
              </w:rPr>
              <w:t>Section 395(1)</w:t>
            </w:r>
            <w:r w:rsidR="00063E79">
              <w:rPr>
                <w:rFonts w:asciiTheme="minorHAnsi" w:hAnsiTheme="minorHAnsi" w:cstheme="minorHAnsi"/>
              </w:rPr>
              <w:t xml:space="preserve"> of the ITA, 2025)</w:t>
            </w:r>
            <w:r w:rsidRPr="004179E6">
              <w:rPr>
                <w:rFonts w:asciiTheme="minorHAnsi" w:hAnsiTheme="minorHAnsi" w:cstheme="minorHAnsi"/>
              </w:rPr>
              <w:t xml:space="preserve">. </w:t>
            </w:r>
          </w:p>
          <w:p w14:paraId="6F08EA02" w14:textId="77777777" w:rsidR="007031A7" w:rsidRPr="004179E6" w:rsidRDefault="007031A7"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Due to highly discretionary nature of the facility under Rule 30(3), it is seldom being used by the industry which makes the facility a dead letter in the Rules.</w:t>
            </w:r>
          </w:p>
          <w:p w14:paraId="44063FB8" w14:textId="77777777" w:rsidR="007031A7" w:rsidRPr="004179E6" w:rsidRDefault="007031A7" w:rsidP="00AA128D">
            <w:pPr>
              <w:widowControl/>
              <w:autoSpaceDE/>
              <w:autoSpaceDN/>
              <w:spacing w:after="160" w:line="276" w:lineRule="auto"/>
              <w:jc w:val="both"/>
              <w:rPr>
                <w:rFonts w:asciiTheme="minorHAnsi" w:hAnsiTheme="minorHAnsi" w:cstheme="minorHAnsi"/>
              </w:rPr>
            </w:pPr>
            <w:r w:rsidRPr="004179E6">
              <w:rPr>
                <w:rFonts w:asciiTheme="minorHAnsi" w:hAnsiTheme="minorHAnsi" w:cstheme="minorHAnsi"/>
                <w:b/>
                <w:bCs/>
              </w:rPr>
              <w:t>Recommendation</w:t>
            </w:r>
          </w:p>
          <w:p w14:paraId="3EC74C63" w14:textId="77777777" w:rsidR="007031A7" w:rsidRPr="004179E6" w:rsidRDefault="007031A7"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To streamline the process and enable more taxpayers to avail the facility of quarterly TDS payments, the following suggestions may be considered :-</w:t>
            </w:r>
          </w:p>
          <w:p w14:paraId="7ECA43EF" w14:textId="6C3A295D" w:rsidR="007031A7" w:rsidRPr="004179E6" w:rsidRDefault="007031A7" w:rsidP="00AA128D">
            <w:pPr>
              <w:pStyle w:val="ListParagraph"/>
              <w:widowControl/>
              <w:numPr>
                <w:ilvl w:val="2"/>
                <w:numId w:val="22"/>
              </w:numPr>
              <w:autoSpaceDE/>
              <w:autoSpaceDN/>
              <w:spacing w:after="160" w:line="276" w:lineRule="auto"/>
              <w:ind w:hanging="293"/>
              <w:jc w:val="both"/>
              <w:rPr>
                <w:rFonts w:asciiTheme="minorHAnsi" w:hAnsiTheme="minorHAnsi" w:cstheme="minorHAnsi"/>
              </w:rPr>
            </w:pPr>
            <w:r w:rsidRPr="004179E6">
              <w:rPr>
                <w:rFonts w:asciiTheme="minorHAnsi" w:hAnsiTheme="minorHAnsi" w:cstheme="minorHAnsi"/>
              </w:rPr>
              <w:t>The facility may be made more broad-based and extended to all TDS provisions</w:t>
            </w:r>
            <w:r w:rsidR="004340E6" w:rsidRPr="004179E6">
              <w:rPr>
                <w:rFonts w:asciiTheme="minorHAnsi" w:hAnsiTheme="minorHAnsi" w:cstheme="minorHAnsi"/>
              </w:rPr>
              <w:t>.</w:t>
            </w:r>
          </w:p>
          <w:p w14:paraId="309D1D17" w14:textId="552F1B94" w:rsidR="007031A7" w:rsidRPr="004179E6" w:rsidRDefault="007031A7" w:rsidP="00AA128D">
            <w:pPr>
              <w:pStyle w:val="ListParagraph"/>
              <w:widowControl/>
              <w:numPr>
                <w:ilvl w:val="2"/>
                <w:numId w:val="22"/>
              </w:numPr>
              <w:autoSpaceDE/>
              <w:autoSpaceDN/>
              <w:spacing w:after="160" w:line="276" w:lineRule="auto"/>
              <w:ind w:hanging="293"/>
              <w:jc w:val="both"/>
              <w:rPr>
                <w:rFonts w:asciiTheme="minorHAnsi" w:hAnsiTheme="minorHAnsi" w:cstheme="minorHAnsi"/>
              </w:rPr>
            </w:pPr>
            <w:r w:rsidRPr="004179E6">
              <w:rPr>
                <w:rFonts w:asciiTheme="minorHAnsi" w:hAnsiTheme="minorHAnsi" w:cstheme="minorHAnsi"/>
              </w:rPr>
              <w:lastRenderedPageBreak/>
              <w:t>The nature of ‘special cases’ may be defined either through Rules or CBDT guidelines to provide more transparency and guidance to both taxpayers and Tax Authorities</w:t>
            </w:r>
            <w:r w:rsidR="004340E6" w:rsidRPr="004179E6">
              <w:rPr>
                <w:rFonts w:asciiTheme="minorHAnsi" w:hAnsiTheme="minorHAnsi" w:cstheme="minorHAnsi"/>
              </w:rPr>
              <w:t>.</w:t>
            </w:r>
          </w:p>
          <w:p w14:paraId="1671B92D" w14:textId="4FFFDC21" w:rsidR="00DA66F0" w:rsidRPr="004179E6" w:rsidRDefault="007031A7" w:rsidP="00AA128D">
            <w:pPr>
              <w:pStyle w:val="ListParagraph"/>
              <w:widowControl/>
              <w:numPr>
                <w:ilvl w:val="2"/>
                <w:numId w:val="22"/>
              </w:numPr>
              <w:autoSpaceDE/>
              <w:autoSpaceDN/>
              <w:spacing w:after="160" w:line="276" w:lineRule="auto"/>
              <w:ind w:hanging="293"/>
              <w:jc w:val="both"/>
              <w:rPr>
                <w:rFonts w:asciiTheme="minorHAnsi" w:hAnsiTheme="minorHAnsi" w:cstheme="minorHAnsi"/>
              </w:rPr>
            </w:pPr>
            <w:r w:rsidRPr="004179E6">
              <w:rPr>
                <w:rFonts w:asciiTheme="minorHAnsi" w:hAnsiTheme="minorHAnsi" w:cstheme="minorHAnsi"/>
              </w:rPr>
              <w:t xml:space="preserve">Timebound online procedure for making and disposing applications under Rule 30(3) </w:t>
            </w:r>
            <w:r w:rsidR="002E4759">
              <w:rPr>
                <w:rFonts w:asciiTheme="minorHAnsi" w:hAnsiTheme="minorHAnsi" w:cstheme="minorHAnsi"/>
              </w:rPr>
              <w:t xml:space="preserve">of IT Rules 1962, (Rule 218(4) of IT Rules 2026) </w:t>
            </w:r>
            <w:r w:rsidRPr="004179E6">
              <w:rPr>
                <w:rFonts w:asciiTheme="minorHAnsi" w:hAnsiTheme="minorHAnsi" w:cstheme="minorHAnsi"/>
              </w:rPr>
              <w:t>may be introduced</w:t>
            </w:r>
            <w:r w:rsidR="004340E6" w:rsidRPr="004179E6">
              <w:rPr>
                <w:rFonts w:asciiTheme="minorHAnsi" w:hAnsiTheme="minorHAnsi" w:cstheme="minorHAnsi"/>
              </w:rPr>
              <w:t>.</w:t>
            </w:r>
          </w:p>
        </w:tc>
      </w:tr>
      <w:tr w:rsidR="003C3299" w:rsidRPr="004179E6" w14:paraId="2681EEF5" w14:textId="77777777" w:rsidTr="00210D4C">
        <w:trPr>
          <w:trHeight w:val="20"/>
        </w:trPr>
        <w:tc>
          <w:tcPr>
            <w:tcW w:w="512" w:type="dxa"/>
          </w:tcPr>
          <w:p w14:paraId="6F0A2805" w14:textId="77777777" w:rsidR="007031A7" w:rsidRPr="004179E6" w:rsidRDefault="007031A7"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73AE49BD" w14:textId="4453B0F6" w:rsidR="007031A7" w:rsidRPr="006A70DB" w:rsidRDefault="007031A7" w:rsidP="00AA128D">
            <w:pPr>
              <w:spacing w:after="160" w:line="276" w:lineRule="auto"/>
              <w:rPr>
                <w:rFonts w:asciiTheme="minorHAnsi" w:hAnsiTheme="minorHAnsi" w:cstheme="minorHAnsi"/>
                <w:b/>
              </w:rPr>
            </w:pPr>
            <w:r w:rsidRPr="006A70DB">
              <w:rPr>
                <w:rFonts w:asciiTheme="minorHAnsi" w:hAnsiTheme="minorHAnsi" w:cstheme="minorHAnsi"/>
                <w:b/>
              </w:rPr>
              <w:t>Section 197 - Lower Withholding Tax Certificate</w:t>
            </w:r>
          </w:p>
        </w:tc>
        <w:tc>
          <w:tcPr>
            <w:tcW w:w="10986" w:type="dxa"/>
          </w:tcPr>
          <w:p w14:paraId="004FD6AB" w14:textId="4F4B9CEA" w:rsidR="007031A7" w:rsidRPr="003D3C06" w:rsidRDefault="007031A7" w:rsidP="00AA128D">
            <w:pPr>
              <w:spacing w:after="160" w:line="276" w:lineRule="auto"/>
              <w:jc w:val="both"/>
              <w:rPr>
                <w:rFonts w:asciiTheme="minorHAnsi" w:eastAsia="Times New Roman" w:hAnsiTheme="minorHAnsi" w:cstheme="minorHAnsi"/>
                <w:u w:val="single"/>
              </w:rPr>
            </w:pPr>
            <w:r w:rsidRPr="003D3C06">
              <w:rPr>
                <w:rFonts w:asciiTheme="minorHAnsi" w:hAnsiTheme="minorHAnsi" w:cstheme="minorHAnsi"/>
                <w:b/>
              </w:rPr>
              <w:t>Rationale</w:t>
            </w:r>
            <w:r w:rsidRPr="003D3C06">
              <w:rPr>
                <w:rFonts w:asciiTheme="minorHAnsi" w:eastAsia="Times New Roman" w:hAnsiTheme="minorHAnsi" w:cstheme="minorHAnsi"/>
                <w:u w:val="single"/>
              </w:rPr>
              <w:t>:</w:t>
            </w:r>
          </w:p>
          <w:p w14:paraId="11EB0D1B" w14:textId="6DA80BA8" w:rsidR="007031A7" w:rsidRPr="003D3C06" w:rsidRDefault="007031A7" w:rsidP="00AA128D">
            <w:pPr>
              <w:pStyle w:val="ListParagraph"/>
              <w:widowControl/>
              <w:numPr>
                <w:ilvl w:val="0"/>
                <w:numId w:val="6"/>
              </w:numPr>
              <w:autoSpaceDE/>
              <w:autoSpaceDN/>
              <w:spacing w:after="160" w:line="276" w:lineRule="auto"/>
              <w:ind w:left="328"/>
              <w:jc w:val="both"/>
              <w:rPr>
                <w:rFonts w:asciiTheme="minorHAnsi" w:eastAsiaTheme="minorHAnsi" w:hAnsiTheme="minorHAnsi" w:cstheme="minorHAnsi"/>
              </w:rPr>
            </w:pPr>
            <w:r w:rsidRPr="003D3C06">
              <w:rPr>
                <w:rFonts w:asciiTheme="minorHAnsi" w:hAnsiTheme="minorHAnsi" w:cstheme="minorHAnsi"/>
              </w:rPr>
              <w:t>Generally,</w:t>
            </w:r>
            <w:r w:rsidRPr="003D3C06">
              <w:rPr>
                <w:rFonts w:asciiTheme="minorHAnsi" w:eastAsia="Times New Roman" w:hAnsiTheme="minorHAnsi" w:cstheme="minorHAnsi"/>
              </w:rPr>
              <w:t xml:space="preserve"> there is an upper limit specified in concessional TDS Certificates issued u/s 197</w:t>
            </w:r>
            <w:r w:rsidR="00A459B2">
              <w:rPr>
                <w:rFonts w:asciiTheme="minorHAnsi" w:eastAsia="Times New Roman" w:hAnsiTheme="minorHAnsi" w:cstheme="minorHAnsi"/>
              </w:rPr>
              <w:t xml:space="preserve"> of ITA 1961 (S. </w:t>
            </w:r>
            <w:r w:rsidR="004F2EB0">
              <w:rPr>
                <w:rFonts w:asciiTheme="minorHAnsi" w:eastAsia="Times New Roman" w:hAnsiTheme="minorHAnsi" w:cstheme="minorHAnsi"/>
              </w:rPr>
              <w:t>395 of ITA 2025)</w:t>
            </w:r>
            <w:r w:rsidR="004340E6" w:rsidRPr="003D3C06">
              <w:rPr>
                <w:rFonts w:asciiTheme="minorHAnsi" w:eastAsia="Times New Roman" w:hAnsiTheme="minorHAnsi" w:cstheme="minorHAnsi"/>
              </w:rPr>
              <w:t>.</w:t>
            </w:r>
          </w:p>
          <w:p w14:paraId="01627405" w14:textId="17670539" w:rsidR="007031A7" w:rsidRPr="003D3C06" w:rsidRDefault="007031A7" w:rsidP="00AA128D">
            <w:pPr>
              <w:pStyle w:val="ListParagraph"/>
              <w:widowControl/>
              <w:numPr>
                <w:ilvl w:val="0"/>
                <w:numId w:val="6"/>
              </w:numPr>
              <w:autoSpaceDE/>
              <w:autoSpaceDN/>
              <w:spacing w:after="160" w:line="276" w:lineRule="auto"/>
              <w:ind w:left="328"/>
              <w:jc w:val="both"/>
              <w:rPr>
                <w:rFonts w:asciiTheme="minorHAnsi" w:eastAsia="Times New Roman" w:hAnsiTheme="minorHAnsi" w:cstheme="minorHAnsi"/>
              </w:rPr>
            </w:pPr>
            <w:r w:rsidRPr="003D3C06">
              <w:rPr>
                <w:rFonts w:asciiTheme="minorHAnsi" w:eastAsia="Times New Roman" w:hAnsiTheme="minorHAnsi" w:cstheme="minorHAnsi"/>
              </w:rPr>
              <w:t xml:space="preserve">In </w:t>
            </w:r>
            <w:r w:rsidRPr="003D3C06">
              <w:rPr>
                <w:rFonts w:asciiTheme="minorHAnsi" w:hAnsiTheme="minorHAnsi" w:cstheme="minorHAnsi"/>
              </w:rPr>
              <w:t>case of large organisations, it is very difficult to keep a track/check of the amount of payments on which concessional TDS rate has been applied for each of the various deductees</w:t>
            </w:r>
            <w:r w:rsidRPr="003D3C06">
              <w:rPr>
                <w:rFonts w:asciiTheme="minorHAnsi" w:eastAsia="Times New Roman" w:hAnsiTheme="minorHAnsi" w:cstheme="minorHAnsi"/>
              </w:rPr>
              <w:t xml:space="preserve"> so that the concessional rate is not applied beyond the threshold limit</w:t>
            </w:r>
            <w:r w:rsidR="004340E6" w:rsidRPr="003D3C06">
              <w:rPr>
                <w:rFonts w:asciiTheme="minorHAnsi" w:eastAsia="Times New Roman" w:hAnsiTheme="minorHAnsi" w:cstheme="minorHAnsi"/>
              </w:rPr>
              <w:t>.</w:t>
            </w:r>
          </w:p>
          <w:p w14:paraId="39098FEE" w14:textId="4364EC9A" w:rsidR="007031A7" w:rsidRPr="003D3C06" w:rsidRDefault="007031A7" w:rsidP="00AA128D">
            <w:pPr>
              <w:spacing w:after="160" w:line="276" w:lineRule="auto"/>
              <w:jc w:val="both"/>
              <w:rPr>
                <w:rFonts w:asciiTheme="minorHAnsi" w:eastAsia="Times New Roman" w:hAnsiTheme="minorHAnsi" w:cstheme="minorHAnsi"/>
                <w:u w:val="single"/>
              </w:rPr>
            </w:pPr>
            <w:r w:rsidRPr="003D3C06">
              <w:rPr>
                <w:rFonts w:asciiTheme="minorHAnsi" w:hAnsiTheme="minorHAnsi" w:cstheme="minorHAnsi"/>
                <w:b/>
              </w:rPr>
              <w:t>Recommendation</w:t>
            </w:r>
          </w:p>
          <w:p w14:paraId="5C543BAB" w14:textId="2375FABA" w:rsidR="008D27BD" w:rsidRPr="003D3C06" w:rsidRDefault="007031A7" w:rsidP="00AA128D">
            <w:pPr>
              <w:pStyle w:val="ListParagraph"/>
              <w:widowControl/>
              <w:numPr>
                <w:ilvl w:val="0"/>
                <w:numId w:val="6"/>
              </w:numPr>
              <w:autoSpaceDE/>
              <w:autoSpaceDN/>
              <w:spacing w:after="160" w:line="276" w:lineRule="auto"/>
              <w:ind w:left="328"/>
              <w:jc w:val="both"/>
              <w:rPr>
                <w:rFonts w:asciiTheme="minorHAnsi" w:eastAsia="Times New Roman" w:hAnsiTheme="minorHAnsi" w:cstheme="minorHAnsi"/>
              </w:rPr>
            </w:pPr>
            <w:r w:rsidRPr="003D3C06">
              <w:rPr>
                <w:rFonts w:asciiTheme="minorHAnsi" w:eastAsia="Times New Roman" w:hAnsiTheme="minorHAnsi" w:cstheme="minorHAnsi"/>
              </w:rPr>
              <w:t xml:space="preserve">In order to avoid the complexities, it is requested to look into the possibility of not to </w:t>
            </w:r>
            <w:r w:rsidRPr="003D3C06">
              <w:rPr>
                <w:rFonts w:asciiTheme="minorHAnsi" w:hAnsiTheme="minorHAnsi" w:cstheme="minorHAnsi"/>
              </w:rPr>
              <w:t>keep</w:t>
            </w:r>
            <w:r w:rsidRPr="003D3C06">
              <w:rPr>
                <w:rFonts w:asciiTheme="minorHAnsi" w:eastAsia="Times New Roman" w:hAnsiTheme="minorHAnsi" w:cstheme="minorHAnsi"/>
              </w:rPr>
              <w:t xml:space="preserve"> any upper limit for the said concessional certificates u/s 197</w:t>
            </w:r>
            <w:r w:rsidR="004F2EB0">
              <w:rPr>
                <w:rFonts w:asciiTheme="minorHAnsi" w:eastAsia="Times New Roman" w:hAnsiTheme="minorHAnsi" w:cstheme="minorHAnsi"/>
              </w:rPr>
              <w:t xml:space="preserve"> of ITA 1961 (S. 395 of ITA 2025)</w:t>
            </w:r>
            <w:r w:rsidR="004340E6" w:rsidRPr="003D3C06">
              <w:rPr>
                <w:rFonts w:asciiTheme="minorHAnsi" w:eastAsia="Times New Roman" w:hAnsiTheme="minorHAnsi" w:cstheme="minorHAnsi"/>
              </w:rPr>
              <w:t>.</w:t>
            </w:r>
          </w:p>
        </w:tc>
      </w:tr>
      <w:tr w:rsidR="00AB7FAE" w:rsidRPr="004179E6" w14:paraId="7948F570" w14:textId="77777777" w:rsidTr="00210D4C">
        <w:trPr>
          <w:trHeight w:val="20"/>
        </w:trPr>
        <w:tc>
          <w:tcPr>
            <w:tcW w:w="512" w:type="dxa"/>
          </w:tcPr>
          <w:p w14:paraId="2DC53062" w14:textId="77777777" w:rsidR="00AB7FAE" w:rsidRPr="004179E6" w:rsidRDefault="00AB7FAE"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7865B030" w14:textId="77777777" w:rsidR="00AB7FAE" w:rsidRPr="006A70DB" w:rsidRDefault="00947A12" w:rsidP="00AA128D">
            <w:pPr>
              <w:spacing w:after="160" w:line="276" w:lineRule="auto"/>
              <w:rPr>
                <w:rFonts w:asciiTheme="minorHAnsi" w:hAnsiTheme="minorHAnsi" w:cstheme="minorHAnsi"/>
                <w:b/>
              </w:rPr>
            </w:pPr>
            <w:r w:rsidRPr="006A70DB">
              <w:rPr>
                <w:rFonts w:asciiTheme="minorHAnsi" w:hAnsiTheme="minorHAnsi" w:cstheme="minorHAnsi"/>
                <w:b/>
              </w:rPr>
              <w:t>Unutilized / unconsumed TDS Challans</w:t>
            </w:r>
          </w:p>
          <w:p w14:paraId="00DDDB66" w14:textId="7818092B" w:rsidR="00F0221F" w:rsidRPr="006A70DB" w:rsidRDefault="00F0221F" w:rsidP="00AA128D">
            <w:pPr>
              <w:spacing w:after="160" w:line="276" w:lineRule="auto"/>
              <w:rPr>
                <w:rFonts w:asciiTheme="minorHAnsi" w:hAnsiTheme="minorHAnsi" w:cstheme="minorHAnsi"/>
                <w:b/>
              </w:rPr>
            </w:pPr>
          </w:p>
        </w:tc>
        <w:tc>
          <w:tcPr>
            <w:tcW w:w="10986" w:type="dxa"/>
          </w:tcPr>
          <w:p w14:paraId="2041B3A6" w14:textId="77777777" w:rsidR="00AB7FAE" w:rsidRPr="004179E6" w:rsidRDefault="00EA5D22" w:rsidP="00AA128D">
            <w:pPr>
              <w:spacing w:after="160" w:line="276" w:lineRule="auto"/>
              <w:jc w:val="both"/>
              <w:rPr>
                <w:rFonts w:asciiTheme="minorHAnsi" w:hAnsiTheme="minorHAnsi" w:cstheme="minorHAnsi"/>
                <w:b/>
                <w:bCs/>
              </w:rPr>
            </w:pPr>
            <w:r w:rsidRPr="004179E6">
              <w:rPr>
                <w:rFonts w:asciiTheme="minorHAnsi" w:hAnsiTheme="minorHAnsi" w:cstheme="minorHAnsi"/>
                <w:b/>
                <w:bCs/>
              </w:rPr>
              <w:t>Rationale and Issue:</w:t>
            </w:r>
          </w:p>
          <w:p w14:paraId="068406E7" w14:textId="392CE6B6" w:rsidR="007735B0" w:rsidRPr="004179E6" w:rsidRDefault="007735B0" w:rsidP="00AA128D">
            <w:pPr>
              <w:pStyle w:val="ListParagraph"/>
              <w:numPr>
                <w:ilvl w:val="0"/>
                <w:numId w:val="6"/>
              </w:numPr>
              <w:spacing w:after="160" w:line="276" w:lineRule="auto"/>
              <w:jc w:val="both"/>
              <w:rPr>
                <w:rFonts w:asciiTheme="minorHAnsi" w:hAnsiTheme="minorHAnsi" w:cstheme="minorHAnsi"/>
              </w:rPr>
            </w:pPr>
            <w:r w:rsidRPr="004179E6">
              <w:rPr>
                <w:rFonts w:asciiTheme="minorHAnsi" w:hAnsiTheme="minorHAnsi" w:cstheme="minorHAnsi"/>
              </w:rPr>
              <w:t>Under the TDS mechanism, tax deducted by a payer is deposited to the credit of the Central Government using challan as per Rule 30 of the Income-tax Rules, 1962</w:t>
            </w:r>
            <w:r w:rsidR="003349FF">
              <w:rPr>
                <w:rFonts w:asciiTheme="minorHAnsi" w:hAnsiTheme="minorHAnsi" w:cstheme="minorHAnsi"/>
              </w:rPr>
              <w:t xml:space="preserve"> (corresponding R</w:t>
            </w:r>
            <w:r w:rsidR="00FF7771">
              <w:rPr>
                <w:rFonts w:asciiTheme="minorHAnsi" w:hAnsiTheme="minorHAnsi" w:cstheme="minorHAnsi"/>
              </w:rPr>
              <w:t>ule</w:t>
            </w:r>
            <w:r w:rsidR="003349FF">
              <w:rPr>
                <w:rFonts w:asciiTheme="minorHAnsi" w:hAnsiTheme="minorHAnsi" w:cstheme="minorHAnsi"/>
              </w:rPr>
              <w:t xml:space="preserve"> 218 of the Draft IT</w:t>
            </w:r>
            <w:r w:rsidR="00FF7771">
              <w:rPr>
                <w:rFonts w:asciiTheme="minorHAnsi" w:hAnsiTheme="minorHAnsi" w:cstheme="minorHAnsi"/>
              </w:rPr>
              <w:t xml:space="preserve"> </w:t>
            </w:r>
            <w:r w:rsidR="003349FF">
              <w:rPr>
                <w:rFonts w:asciiTheme="minorHAnsi" w:hAnsiTheme="minorHAnsi" w:cstheme="minorHAnsi"/>
              </w:rPr>
              <w:t>R</w:t>
            </w:r>
            <w:r w:rsidR="00FF7771">
              <w:rPr>
                <w:rFonts w:asciiTheme="minorHAnsi" w:hAnsiTheme="minorHAnsi" w:cstheme="minorHAnsi"/>
              </w:rPr>
              <w:t>ules</w:t>
            </w:r>
            <w:r w:rsidR="003349FF">
              <w:rPr>
                <w:rFonts w:asciiTheme="minorHAnsi" w:hAnsiTheme="minorHAnsi" w:cstheme="minorHAnsi"/>
              </w:rPr>
              <w:t>, 2026)</w:t>
            </w:r>
            <w:r w:rsidRPr="004179E6">
              <w:rPr>
                <w:rFonts w:asciiTheme="minorHAnsi" w:hAnsiTheme="minorHAnsi" w:cstheme="minorHAnsi"/>
              </w:rPr>
              <w:t>.</w:t>
            </w:r>
          </w:p>
          <w:p w14:paraId="4A3238C3" w14:textId="3CF05113" w:rsidR="00AF356C" w:rsidRPr="004179E6" w:rsidRDefault="00BD4890" w:rsidP="00AA128D">
            <w:pPr>
              <w:pStyle w:val="ListParagraph"/>
              <w:numPr>
                <w:ilvl w:val="0"/>
                <w:numId w:val="6"/>
              </w:numPr>
              <w:spacing w:after="160" w:line="276" w:lineRule="auto"/>
              <w:jc w:val="both"/>
              <w:rPr>
                <w:rFonts w:asciiTheme="minorHAnsi" w:hAnsiTheme="minorHAnsi" w:cstheme="minorHAnsi"/>
              </w:rPr>
            </w:pPr>
            <w:r w:rsidRPr="004179E6">
              <w:rPr>
                <w:rFonts w:asciiTheme="minorHAnsi" w:hAnsiTheme="minorHAnsi" w:cstheme="minorHAnsi"/>
              </w:rPr>
              <w:t>Sometimes</w:t>
            </w:r>
            <w:r w:rsidR="0001511F" w:rsidRPr="004179E6">
              <w:rPr>
                <w:rFonts w:asciiTheme="minorHAnsi" w:hAnsiTheme="minorHAnsi" w:cstheme="minorHAnsi"/>
              </w:rPr>
              <w:t>, certain challans remain unutilized or unconsumed owing to overpayment, mismatched details, or non-filing of returns.</w:t>
            </w:r>
            <w:r w:rsidR="00C72E8D" w:rsidRPr="004179E6">
              <w:rPr>
                <w:rFonts w:asciiTheme="minorHAnsi" w:hAnsiTheme="minorHAnsi" w:cstheme="minorHAnsi"/>
              </w:rPr>
              <w:t xml:space="preserve"> </w:t>
            </w:r>
            <w:r w:rsidR="008D1623" w:rsidRPr="004179E6">
              <w:rPr>
                <w:rFonts w:asciiTheme="minorHAnsi" w:hAnsiTheme="minorHAnsi" w:cstheme="minorHAnsi"/>
              </w:rPr>
              <w:t>Current provisions permit their utilization only for one year prior and two years subsequent to the payment year, rendering challans from other periods unusable.</w:t>
            </w:r>
          </w:p>
          <w:p w14:paraId="7A831E95" w14:textId="1E85AAFA" w:rsidR="00D067D1" w:rsidRPr="004179E6" w:rsidRDefault="006F59B6" w:rsidP="00AA128D">
            <w:pPr>
              <w:pStyle w:val="ListParagraph"/>
              <w:numPr>
                <w:ilvl w:val="0"/>
                <w:numId w:val="6"/>
              </w:numPr>
              <w:spacing w:after="160" w:line="276" w:lineRule="auto"/>
              <w:jc w:val="both"/>
              <w:rPr>
                <w:rFonts w:asciiTheme="minorHAnsi" w:hAnsiTheme="minorHAnsi" w:cstheme="minorHAnsi"/>
              </w:rPr>
            </w:pPr>
            <w:r w:rsidRPr="004179E6">
              <w:rPr>
                <w:rFonts w:asciiTheme="minorHAnsi" w:hAnsiTheme="minorHAnsi" w:cstheme="minorHAnsi"/>
              </w:rPr>
              <w:t xml:space="preserve">While refunds can be claimed, in practice the process is administratively cumbersome, time-consuming, and contrary </w:t>
            </w:r>
            <w:r w:rsidRPr="004179E6">
              <w:rPr>
                <w:rFonts w:asciiTheme="minorHAnsi" w:hAnsiTheme="minorHAnsi" w:cstheme="minorHAnsi"/>
              </w:rPr>
              <w:lastRenderedPageBreak/>
              <w:t>to the objective of Ease of Doing Business. The current restriction leads to unnecessary blockage of funds for taxpayers.</w:t>
            </w:r>
          </w:p>
          <w:p w14:paraId="29001656" w14:textId="48E3EBB9" w:rsidR="006F59B6" w:rsidRPr="004179E6" w:rsidRDefault="006F59B6" w:rsidP="00AA128D">
            <w:pPr>
              <w:spacing w:after="160" w:line="276" w:lineRule="auto"/>
              <w:jc w:val="both"/>
              <w:rPr>
                <w:rFonts w:asciiTheme="minorHAnsi" w:hAnsiTheme="minorHAnsi" w:cstheme="minorHAnsi"/>
                <w:b/>
                <w:bCs/>
              </w:rPr>
            </w:pPr>
            <w:r w:rsidRPr="004179E6">
              <w:rPr>
                <w:rFonts w:asciiTheme="minorHAnsi" w:hAnsiTheme="minorHAnsi" w:cstheme="minorHAnsi"/>
                <w:b/>
                <w:bCs/>
              </w:rPr>
              <w:t>Recommendation:</w:t>
            </w:r>
          </w:p>
          <w:p w14:paraId="5A368995" w14:textId="512FAC67" w:rsidR="006F59B6" w:rsidRPr="004179E6" w:rsidRDefault="004D7123" w:rsidP="00AA128D">
            <w:pPr>
              <w:pStyle w:val="ListParagraph"/>
              <w:numPr>
                <w:ilvl w:val="0"/>
                <w:numId w:val="6"/>
              </w:numPr>
              <w:spacing w:after="160" w:line="276" w:lineRule="auto"/>
              <w:jc w:val="both"/>
              <w:rPr>
                <w:rFonts w:asciiTheme="minorHAnsi" w:hAnsiTheme="minorHAnsi" w:cstheme="minorHAnsi"/>
              </w:rPr>
            </w:pPr>
            <w:r w:rsidRPr="004179E6">
              <w:rPr>
                <w:rFonts w:asciiTheme="minorHAnsi" w:hAnsiTheme="minorHAnsi" w:cstheme="minorHAnsi"/>
              </w:rPr>
              <w:t>It is recommended to permit utilization of unutilized / unconsumed TDS challans without any time limitation. This would release significant blocked funds and enhance cash flow efficiency, thereby substantially improving the Ease of Doing Business.</w:t>
            </w:r>
          </w:p>
        </w:tc>
      </w:tr>
      <w:tr w:rsidR="003C3299" w:rsidRPr="004179E6" w14:paraId="3C0C0BF5" w14:textId="77777777" w:rsidTr="00210D4C">
        <w:trPr>
          <w:trHeight w:val="20"/>
        </w:trPr>
        <w:tc>
          <w:tcPr>
            <w:tcW w:w="512" w:type="dxa"/>
          </w:tcPr>
          <w:p w14:paraId="24874E84" w14:textId="77777777" w:rsidR="00B272F0" w:rsidRPr="004179E6" w:rsidRDefault="00B272F0"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617A5767" w14:textId="30D2EEB8" w:rsidR="00B272F0" w:rsidRPr="006A70DB" w:rsidRDefault="005A53E4" w:rsidP="00AA128D">
            <w:pPr>
              <w:spacing w:after="160" w:line="276" w:lineRule="auto"/>
              <w:jc w:val="both"/>
              <w:rPr>
                <w:rFonts w:asciiTheme="minorHAnsi" w:hAnsiTheme="minorHAnsi" w:cstheme="minorHAnsi"/>
                <w:b/>
              </w:rPr>
            </w:pPr>
            <w:r w:rsidRPr="006A70DB">
              <w:rPr>
                <w:rFonts w:asciiTheme="minorHAnsi" w:hAnsiTheme="minorHAnsi" w:cstheme="minorHAnsi"/>
                <w:b/>
              </w:rPr>
              <w:t>Amendment in Rule 29B to align with amended provisions of section 195</w:t>
            </w:r>
            <w:r w:rsidR="00CA1792" w:rsidRPr="006A70DB">
              <w:rPr>
                <w:rFonts w:asciiTheme="minorHAnsi" w:hAnsiTheme="minorHAnsi" w:cstheme="minorHAnsi"/>
                <w:b/>
              </w:rPr>
              <w:t xml:space="preserve"> of ITA 1961</w:t>
            </w:r>
          </w:p>
          <w:p w14:paraId="75DBDDCA" w14:textId="6A14FD09" w:rsidR="00B272F0" w:rsidRPr="006A70DB" w:rsidRDefault="007B18F1" w:rsidP="00AA128D">
            <w:pPr>
              <w:spacing w:after="160" w:line="276" w:lineRule="auto"/>
              <w:jc w:val="both"/>
              <w:rPr>
                <w:rFonts w:asciiTheme="minorHAnsi" w:hAnsiTheme="minorHAnsi" w:cstheme="minorHAnsi"/>
                <w:b/>
              </w:rPr>
            </w:pPr>
            <w:r w:rsidRPr="006A70DB">
              <w:rPr>
                <w:rFonts w:asciiTheme="minorHAnsi" w:hAnsiTheme="minorHAnsi" w:cstheme="minorHAnsi"/>
                <w:b/>
              </w:rPr>
              <w:t>(</w:t>
            </w:r>
            <w:r w:rsidR="0063593A" w:rsidRPr="006A70DB">
              <w:rPr>
                <w:rFonts w:asciiTheme="minorHAnsi" w:hAnsiTheme="minorHAnsi" w:cstheme="minorHAnsi"/>
                <w:b/>
              </w:rPr>
              <w:t>Corresponding</w:t>
            </w:r>
            <w:r w:rsidRPr="006A70DB">
              <w:rPr>
                <w:rFonts w:asciiTheme="minorHAnsi" w:hAnsiTheme="minorHAnsi" w:cstheme="minorHAnsi"/>
                <w:b/>
              </w:rPr>
              <w:t xml:space="preserve"> R</w:t>
            </w:r>
            <w:r w:rsidR="00984F39" w:rsidRPr="006A70DB">
              <w:rPr>
                <w:rFonts w:asciiTheme="minorHAnsi" w:hAnsiTheme="minorHAnsi" w:cstheme="minorHAnsi"/>
                <w:b/>
              </w:rPr>
              <w:t>ule</w:t>
            </w:r>
            <w:r w:rsidRPr="006A70DB">
              <w:rPr>
                <w:rFonts w:asciiTheme="minorHAnsi" w:hAnsiTheme="minorHAnsi" w:cstheme="minorHAnsi"/>
                <w:b/>
              </w:rPr>
              <w:t xml:space="preserve"> </w:t>
            </w:r>
            <w:r w:rsidR="0063593A" w:rsidRPr="006A70DB">
              <w:rPr>
                <w:rFonts w:asciiTheme="minorHAnsi" w:hAnsiTheme="minorHAnsi" w:cstheme="minorHAnsi"/>
                <w:b/>
              </w:rPr>
              <w:t>209 of the draft IT</w:t>
            </w:r>
            <w:r w:rsidR="00984F39" w:rsidRPr="006A70DB">
              <w:rPr>
                <w:rFonts w:asciiTheme="minorHAnsi" w:hAnsiTheme="minorHAnsi" w:cstheme="minorHAnsi"/>
                <w:b/>
              </w:rPr>
              <w:t xml:space="preserve"> </w:t>
            </w:r>
            <w:r w:rsidR="0063593A" w:rsidRPr="006A70DB">
              <w:rPr>
                <w:rFonts w:asciiTheme="minorHAnsi" w:hAnsiTheme="minorHAnsi" w:cstheme="minorHAnsi"/>
                <w:b/>
              </w:rPr>
              <w:t>R</w:t>
            </w:r>
            <w:r w:rsidR="00984F39" w:rsidRPr="006A70DB">
              <w:rPr>
                <w:rFonts w:asciiTheme="minorHAnsi" w:hAnsiTheme="minorHAnsi" w:cstheme="minorHAnsi"/>
                <w:b/>
              </w:rPr>
              <w:t>ules</w:t>
            </w:r>
            <w:r w:rsidR="0063593A" w:rsidRPr="006A70DB">
              <w:rPr>
                <w:rFonts w:asciiTheme="minorHAnsi" w:hAnsiTheme="minorHAnsi" w:cstheme="minorHAnsi"/>
                <w:b/>
              </w:rPr>
              <w:t xml:space="preserve">, 2026 and </w:t>
            </w:r>
            <w:r w:rsidR="00DC652A" w:rsidRPr="006A70DB">
              <w:rPr>
                <w:rFonts w:asciiTheme="minorHAnsi" w:hAnsiTheme="minorHAnsi" w:cstheme="minorHAnsi"/>
                <w:b/>
              </w:rPr>
              <w:t xml:space="preserve">S. </w:t>
            </w:r>
            <w:r w:rsidR="004570FB" w:rsidRPr="006A70DB">
              <w:rPr>
                <w:rFonts w:asciiTheme="minorHAnsi" w:hAnsiTheme="minorHAnsi" w:cstheme="minorHAnsi"/>
                <w:b/>
              </w:rPr>
              <w:t>393 of the ITA, 2025</w:t>
            </w:r>
            <w:r w:rsidR="00714EA6" w:rsidRPr="006A70DB">
              <w:rPr>
                <w:rFonts w:asciiTheme="minorHAnsi" w:hAnsiTheme="minorHAnsi" w:cstheme="minorHAnsi"/>
                <w:b/>
              </w:rPr>
              <w:t>)</w:t>
            </w:r>
          </w:p>
        </w:tc>
        <w:tc>
          <w:tcPr>
            <w:tcW w:w="10986" w:type="dxa"/>
          </w:tcPr>
          <w:p w14:paraId="0ED8854C" w14:textId="77777777" w:rsidR="005A53E4" w:rsidRPr="004179E6" w:rsidRDefault="005A53E4" w:rsidP="00AA128D">
            <w:pPr>
              <w:spacing w:after="160" w:line="276" w:lineRule="auto"/>
              <w:jc w:val="both"/>
              <w:rPr>
                <w:rFonts w:asciiTheme="minorHAnsi" w:hAnsiTheme="minorHAnsi" w:cstheme="minorHAnsi"/>
                <w:b/>
                <w:bCs/>
              </w:rPr>
            </w:pPr>
            <w:r w:rsidRPr="004179E6">
              <w:rPr>
                <w:rFonts w:asciiTheme="minorHAnsi" w:hAnsiTheme="minorHAnsi" w:cstheme="minorHAnsi"/>
                <w:b/>
                <w:bCs/>
              </w:rPr>
              <w:t>Rationale and Issue</w:t>
            </w:r>
          </w:p>
          <w:p w14:paraId="237E7247" w14:textId="2E2D69EA" w:rsidR="005A53E4" w:rsidRPr="004179E6" w:rsidRDefault="005A53E4" w:rsidP="00AA128D">
            <w:pPr>
              <w:pStyle w:val="ListParagraph"/>
              <w:widowControl/>
              <w:numPr>
                <w:ilvl w:val="0"/>
                <w:numId w:val="23"/>
              </w:numPr>
              <w:autoSpaceDE/>
              <w:autoSpaceDN/>
              <w:spacing w:after="160" w:line="276" w:lineRule="auto"/>
              <w:ind w:left="286" w:hanging="283"/>
              <w:jc w:val="both"/>
              <w:rPr>
                <w:rFonts w:asciiTheme="minorHAnsi" w:hAnsiTheme="minorHAnsi" w:cstheme="minorHAnsi"/>
              </w:rPr>
            </w:pPr>
            <w:r w:rsidRPr="004179E6">
              <w:rPr>
                <w:rFonts w:asciiTheme="minorHAnsi" w:hAnsiTheme="minorHAnsi" w:cstheme="minorHAnsi"/>
              </w:rPr>
              <w:t>As per section 195 (1)</w:t>
            </w:r>
            <w:r w:rsidR="00714EA6">
              <w:rPr>
                <w:rFonts w:asciiTheme="minorHAnsi" w:hAnsiTheme="minorHAnsi" w:cstheme="minorHAnsi"/>
              </w:rPr>
              <w:t xml:space="preserve"> of the ITA 1961 (</w:t>
            </w:r>
            <w:r w:rsidR="00561409">
              <w:rPr>
                <w:rFonts w:asciiTheme="minorHAnsi" w:hAnsiTheme="minorHAnsi" w:cstheme="minorHAnsi"/>
              </w:rPr>
              <w:t xml:space="preserve">S. </w:t>
            </w:r>
            <w:r w:rsidR="00561409" w:rsidRPr="00561409">
              <w:rPr>
                <w:rFonts w:asciiTheme="minorHAnsi" w:hAnsiTheme="minorHAnsi" w:cstheme="minorHAnsi"/>
              </w:rPr>
              <w:t>393(2) &amp; its Table: Sl. No. 17</w:t>
            </w:r>
            <w:r w:rsidR="00561409">
              <w:rPr>
                <w:rFonts w:asciiTheme="minorHAnsi" w:hAnsiTheme="minorHAnsi" w:cstheme="minorHAnsi"/>
              </w:rPr>
              <w:t xml:space="preserve"> of the ITA, 2025)</w:t>
            </w:r>
            <w:r w:rsidRPr="004179E6">
              <w:rPr>
                <w:rFonts w:asciiTheme="minorHAnsi" w:hAnsiTheme="minorHAnsi" w:cstheme="minorHAnsi"/>
              </w:rPr>
              <w:t>, any person responsible for paying to a non-resident, any interest or any other sum chargeable under the provisions of this Act (not being income chargeable under the head "Salaries"</w:t>
            </w:r>
            <w:r w:rsidR="007D32A8" w:rsidRPr="004179E6">
              <w:rPr>
                <w:rFonts w:asciiTheme="minorHAnsi" w:hAnsiTheme="minorHAnsi" w:cstheme="minorHAnsi"/>
              </w:rPr>
              <w:t>)</w:t>
            </w:r>
            <w:r w:rsidRPr="004179E6" w:rsidDel="00B170A3">
              <w:rPr>
                <w:rFonts w:asciiTheme="minorHAnsi" w:hAnsiTheme="minorHAnsi" w:cstheme="minorHAnsi"/>
              </w:rPr>
              <w:t xml:space="preserve"> </w:t>
            </w:r>
            <w:r w:rsidRPr="004179E6">
              <w:rPr>
                <w:rFonts w:asciiTheme="minorHAnsi" w:hAnsiTheme="minorHAnsi" w:cstheme="minorHAnsi"/>
              </w:rPr>
              <w:t xml:space="preserve">shall, at the time of payment or credit deduct income-tax thereon at the rates in force. The income chargeable under the head “Salary” has been specifically excluded from scope of the section 195 (1). Similar to salary, dividend income was also out of scope of section 195 (1). However, such exception was deleted by Finance Act, 1991 and dividend is now covered under the scope of section 195 (1). </w:t>
            </w:r>
          </w:p>
          <w:p w14:paraId="44F2D413" w14:textId="1DCAAFC1" w:rsidR="005A53E4" w:rsidRPr="004179E6" w:rsidRDefault="005A53E4" w:rsidP="00AA128D">
            <w:pPr>
              <w:pStyle w:val="ListParagraph"/>
              <w:widowControl/>
              <w:numPr>
                <w:ilvl w:val="0"/>
                <w:numId w:val="23"/>
              </w:numPr>
              <w:autoSpaceDE/>
              <w:autoSpaceDN/>
              <w:spacing w:after="160" w:line="276" w:lineRule="auto"/>
              <w:ind w:left="286" w:hanging="283"/>
              <w:jc w:val="both"/>
              <w:rPr>
                <w:rFonts w:asciiTheme="minorHAnsi" w:hAnsiTheme="minorHAnsi" w:cstheme="minorHAnsi"/>
              </w:rPr>
            </w:pPr>
            <w:r w:rsidRPr="004179E6">
              <w:rPr>
                <w:rFonts w:asciiTheme="minorHAnsi" w:hAnsiTheme="minorHAnsi" w:cstheme="minorHAnsi"/>
              </w:rPr>
              <w:t>As per section 195 (3)</w:t>
            </w:r>
            <w:r w:rsidR="00524798">
              <w:rPr>
                <w:rFonts w:asciiTheme="minorHAnsi" w:hAnsiTheme="minorHAnsi" w:cstheme="minorHAnsi"/>
              </w:rPr>
              <w:t xml:space="preserve"> of the ITA, 1961 (S. </w:t>
            </w:r>
            <w:r w:rsidR="00524798" w:rsidRPr="00524798">
              <w:rPr>
                <w:rFonts w:asciiTheme="minorHAnsi" w:hAnsiTheme="minorHAnsi" w:cstheme="minorHAnsi"/>
              </w:rPr>
              <w:t>Section 395(1)(</w:t>
            </w:r>
            <w:r w:rsidR="00524798" w:rsidRPr="00524798">
              <w:rPr>
                <w:rFonts w:asciiTheme="minorHAnsi" w:hAnsiTheme="minorHAnsi" w:cstheme="minorHAnsi"/>
                <w:i/>
                <w:iCs/>
              </w:rPr>
              <w:t>a</w:t>
            </w:r>
            <w:r w:rsidR="00524798" w:rsidRPr="00524798">
              <w:rPr>
                <w:rFonts w:asciiTheme="minorHAnsi" w:hAnsiTheme="minorHAnsi" w:cstheme="minorHAnsi"/>
              </w:rPr>
              <w:t>)</w:t>
            </w:r>
            <w:r w:rsidR="00524798">
              <w:rPr>
                <w:rFonts w:asciiTheme="minorHAnsi" w:hAnsiTheme="minorHAnsi" w:cstheme="minorHAnsi"/>
              </w:rPr>
              <w:t xml:space="preserve"> of the ITA, 2025</w:t>
            </w:r>
            <w:r w:rsidRPr="004179E6">
              <w:rPr>
                <w:rFonts w:asciiTheme="minorHAnsi" w:hAnsiTheme="minorHAnsi" w:cstheme="minorHAnsi"/>
              </w:rPr>
              <w:t xml:space="preserve">), </w:t>
            </w:r>
            <w:r w:rsidR="00540C1A" w:rsidRPr="004179E6">
              <w:rPr>
                <w:rFonts w:asciiTheme="minorHAnsi" w:hAnsiTheme="minorHAnsi" w:cstheme="minorHAnsi"/>
              </w:rPr>
              <w:t>recipient</w:t>
            </w:r>
            <w:r w:rsidRPr="004179E6">
              <w:rPr>
                <w:rFonts w:asciiTheme="minorHAnsi" w:hAnsiTheme="minorHAnsi" w:cstheme="minorHAnsi"/>
              </w:rPr>
              <w:t xml:space="preserve"> of income </w:t>
            </w:r>
            <w:r w:rsidR="00540C1A" w:rsidRPr="004179E6">
              <w:rPr>
                <w:rFonts w:asciiTheme="minorHAnsi" w:hAnsiTheme="minorHAnsi" w:cstheme="minorHAnsi"/>
              </w:rPr>
              <w:t>referred</w:t>
            </w:r>
            <w:r w:rsidRPr="004179E6">
              <w:rPr>
                <w:rFonts w:asciiTheme="minorHAnsi" w:hAnsiTheme="minorHAnsi" w:cstheme="minorHAnsi"/>
              </w:rPr>
              <w:t xml:space="preserve"> to in section 195 (1) can make an application to tax department and obtain NIL withholding certificate authorizing it to receive such income without any tax deduction. </w:t>
            </w:r>
            <w:r w:rsidR="00A06BF0" w:rsidRPr="004179E6">
              <w:rPr>
                <w:rFonts w:asciiTheme="minorHAnsi" w:hAnsiTheme="minorHAnsi" w:cstheme="minorHAnsi"/>
              </w:rPr>
              <w:t>The certificate under section 195(3) can be uniformly applied for all payments received by the holder of the certificate.</w:t>
            </w:r>
          </w:p>
          <w:p w14:paraId="5FE3C15A" w14:textId="4D71EF18" w:rsidR="00AC4DF1" w:rsidRPr="004179E6" w:rsidRDefault="005A53E4" w:rsidP="00AA128D">
            <w:pPr>
              <w:pStyle w:val="ListParagraph"/>
              <w:widowControl/>
              <w:numPr>
                <w:ilvl w:val="0"/>
                <w:numId w:val="23"/>
              </w:numPr>
              <w:autoSpaceDE/>
              <w:autoSpaceDN/>
              <w:spacing w:after="160" w:line="276" w:lineRule="auto"/>
              <w:ind w:left="286" w:hanging="283"/>
              <w:jc w:val="both"/>
              <w:rPr>
                <w:rFonts w:asciiTheme="minorHAnsi" w:hAnsiTheme="minorHAnsi" w:cstheme="minorHAnsi"/>
              </w:rPr>
            </w:pPr>
            <w:r w:rsidRPr="00AC4DF1">
              <w:rPr>
                <w:rFonts w:asciiTheme="minorHAnsi" w:hAnsiTheme="minorHAnsi" w:cstheme="minorHAnsi"/>
              </w:rPr>
              <w:t>Rule 29B</w:t>
            </w:r>
            <w:r w:rsidR="00A97754" w:rsidRPr="00AC4DF1">
              <w:rPr>
                <w:rFonts w:asciiTheme="minorHAnsi" w:hAnsiTheme="minorHAnsi" w:cstheme="minorHAnsi"/>
              </w:rPr>
              <w:t xml:space="preserve"> of the ITR, 1962 (</w:t>
            </w:r>
            <w:r w:rsidR="00C1591B" w:rsidRPr="00AC4DF1">
              <w:rPr>
                <w:rFonts w:asciiTheme="minorHAnsi" w:hAnsiTheme="minorHAnsi" w:cstheme="minorHAnsi"/>
              </w:rPr>
              <w:t xml:space="preserve">Rule </w:t>
            </w:r>
            <w:r w:rsidR="00A97754" w:rsidRPr="00AC4DF1">
              <w:rPr>
                <w:rFonts w:asciiTheme="minorHAnsi" w:hAnsiTheme="minorHAnsi" w:cstheme="minorHAnsi"/>
              </w:rPr>
              <w:t xml:space="preserve">209 of the </w:t>
            </w:r>
            <w:r w:rsidR="00C1591B" w:rsidRPr="00AC4DF1">
              <w:rPr>
                <w:rFonts w:asciiTheme="minorHAnsi" w:hAnsiTheme="minorHAnsi" w:cstheme="minorHAnsi"/>
              </w:rPr>
              <w:t xml:space="preserve">Draft </w:t>
            </w:r>
            <w:r w:rsidR="00A97754" w:rsidRPr="00AC4DF1">
              <w:rPr>
                <w:rFonts w:asciiTheme="minorHAnsi" w:hAnsiTheme="minorHAnsi" w:cstheme="minorHAnsi"/>
              </w:rPr>
              <w:t>IT</w:t>
            </w:r>
            <w:r w:rsidR="00C1591B" w:rsidRPr="00AC4DF1">
              <w:rPr>
                <w:rFonts w:asciiTheme="minorHAnsi" w:hAnsiTheme="minorHAnsi" w:cstheme="minorHAnsi"/>
              </w:rPr>
              <w:t xml:space="preserve"> </w:t>
            </w:r>
            <w:r w:rsidR="00A97754" w:rsidRPr="00AC4DF1">
              <w:rPr>
                <w:rFonts w:asciiTheme="minorHAnsi" w:hAnsiTheme="minorHAnsi" w:cstheme="minorHAnsi"/>
              </w:rPr>
              <w:t>R</w:t>
            </w:r>
            <w:r w:rsidR="00C1591B" w:rsidRPr="00AC4DF1">
              <w:rPr>
                <w:rFonts w:asciiTheme="minorHAnsi" w:hAnsiTheme="minorHAnsi" w:cstheme="minorHAnsi"/>
              </w:rPr>
              <w:t>ules 2026</w:t>
            </w:r>
            <w:r w:rsidR="00A97754" w:rsidRPr="00AC4DF1">
              <w:rPr>
                <w:rFonts w:asciiTheme="minorHAnsi" w:hAnsiTheme="minorHAnsi" w:cstheme="minorHAnsi"/>
              </w:rPr>
              <w:t>)</w:t>
            </w:r>
            <w:r w:rsidR="00AC4DF1">
              <w:rPr>
                <w:rFonts w:asciiTheme="minorHAnsi" w:hAnsiTheme="minorHAnsi" w:cstheme="minorHAnsi"/>
              </w:rPr>
              <w:t xml:space="preserve"> a Nil withholding certificate can be obtained for all income covered in S.195(1) except dividend. Thus</w:t>
            </w:r>
            <w:r w:rsidR="006A70DB">
              <w:rPr>
                <w:rFonts w:asciiTheme="minorHAnsi" w:hAnsiTheme="minorHAnsi" w:cstheme="minorHAnsi"/>
              </w:rPr>
              <w:t>,</w:t>
            </w:r>
            <w:r w:rsidR="00AC4DF1">
              <w:rPr>
                <w:rFonts w:asciiTheme="minorHAnsi" w:hAnsiTheme="minorHAnsi" w:cstheme="minorHAnsi"/>
              </w:rPr>
              <w:t xml:space="preserve"> despite the amendment to S. 195(1) to remove the carve out for dividend as follows:</w:t>
            </w:r>
          </w:p>
          <w:p w14:paraId="5BA30F9B" w14:textId="69AE12EE" w:rsidR="005A53E4" w:rsidRPr="00AC4DF1" w:rsidRDefault="00FC69E8" w:rsidP="00AA128D">
            <w:pPr>
              <w:pStyle w:val="ListParagraph"/>
              <w:widowControl/>
              <w:autoSpaceDE/>
              <w:autoSpaceDN/>
              <w:spacing w:after="160" w:line="276" w:lineRule="auto"/>
              <w:ind w:left="286"/>
              <w:jc w:val="both"/>
              <w:rPr>
                <w:rFonts w:asciiTheme="minorHAnsi" w:hAnsiTheme="minorHAnsi" w:cstheme="minorHAnsi"/>
                <w:i/>
                <w:iCs/>
              </w:rPr>
            </w:pPr>
            <w:r w:rsidRPr="00AC4DF1">
              <w:rPr>
                <w:rFonts w:asciiTheme="minorHAnsi" w:hAnsiTheme="minorHAnsi" w:cstheme="minorHAnsi"/>
              </w:rPr>
              <w:t xml:space="preserve"> </w:t>
            </w:r>
            <w:r w:rsidR="005A53E4" w:rsidRPr="00AC4DF1">
              <w:rPr>
                <w:rFonts w:asciiTheme="minorHAnsi" w:hAnsiTheme="minorHAnsi" w:cstheme="minorHAnsi"/>
                <w:i/>
                <w:iCs/>
              </w:rPr>
              <w:t xml:space="preserve">(1) Any person entitled to receive any interest, or other sum, on which income-tax has to be deducted under sub-section (1) of section 195 may, if he fulfils the conditions specified in sub-rule (2), make an application for the grant of a </w:t>
            </w:r>
            <w:r w:rsidR="005A53E4" w:rsidRPr="00AC4DF1">
              <w:rPr>
                <w:rFonts w:asciiTheme="minorHAnsi" w:hAnsiTheme="minorHAnsi" w:cstheme="minorHAnsi"/>
                <w:i/>
                <w:iCs/>
              </w:rPr>
              <w:lastRenderedPageBreak/>
              <w:t>certificate under sub-section (3) of section 195 authorising him to receive without deduction of tax under sub-section (1) of that section any such income as is specified hereinbelow, namely :—</w:t>
            </w:r>
          </w:p>
          <w:p w14:paraId="199A8CD8" w14:textId="67A1474A" w:rsidR="005A53E4" w:rsidRDefault="005A53E4" w:rsidP="00AA128D">
            <w:pPr>
              <w:pStyle w:val="ListParagraph"/>
              <w:widowControl/>
              <w:autoSpaceDE/>
              <w:autoSpaceDN/>
              <w:spacing w:after="160" w:line="276" w:lineRule="auto"/>
              <w:ind w:left="286"/>
              <w:jc w:val="both"/>
              <w:rPr>
                <w:rFonts w:asciiTheme="minorHAnsi" w:hAnsiTheme="minorHAnsi" w:cstheme="minorHAnsi"/>
                <w:i/>
                <w:iCs/>
              </w:rPr>
            </w:pPr>
            <w:r w:rsidRPr="004179E6">
              <w:rPr>
                <w:rFonts w:asciiTheme="minorHAnsi" w:hAnsiTheme="minorHAnsi" w:cstheme="minorHAnsi"/>
                <w:i/>
                <w:iCs/>
              </w:rPr>
              <w:t xml:space="preserve">(i)  where the person concerned is a banking company or an insurer which is neither an Indian company nor a company which has made the prescribed arrangements for the declaration and payment of dividends within India, and which carries on operations in India through a branch, any income by way of interest, not being [interest on securities (other than interest payable on securities referred to in proviso to section 193)], or any other sum, </w:t>
            </w:r>
            <w:r w:rsidRPr="004179E6">
              <w:rPr>
                <w:rFonts w:asciiTheme="minorHAnsi" w:hAnsiTheme="minorHAnsi" w:cstheme="minorHAnsi"/>
                <w:b/>
                <w:i/>
                <w:u w:val="single"/>
              </w:rPr>
              <w:t>not being dividends</w:t>
            </w:r>
            <w:r w:rsidRPr="004179E6">
              <w:rPr>
                <w:rFonts w:asciiTheme="minorHAnsi" w:hAnsiTheme="minorHAnsi" w:cstheme="minorHAnsi"/>
                <w:i/>
                <w:iCs/>
              </w:rPr>
              <w:t>;</w:t>
            </w:r>
          </w:p>
          <w:p w14:paraId="2D1D12C0" w14:textId="77777777" w:rsidR="002E174B" w:rsidRPr="004179E6" w:rsidRDefault="002E174B" w:rsidP="00AA128D">
            <w:pPr>
              <w:pStyle w:val="ListParagraph"/>
              <w:widowControl/>
              <w:autoSpaceDE/>
              <w:autoSpaceDN/>
              <w:spacing w:after="160" w:line="276" w:lineRule="auto"/>
              <w:ind w:left="286"/>
              <w:jc w:val="both"/>
              <w:rPr>
                <w:rFonts w:asciiTheme="minorHAnsi" w:hAnsiTheme="minorHAnsi" w:cstheme="minorHAnsi"/>
                <w:i/>
                <w:iCs/>
              </w:rPr>
            </w:pPr>
            <w:r w:rsidRPr="004179E6">
              <w:rPr>
                <w:rFonts w:asciiTheme="minorHAnsi" w:hAnsiTheme="minorHAnsi" w:cstheme="minorHAnsi"/>
                <w:i/>
                <w:iCs/>
              </w:rPr>
              <w:t>(ii)  in the case of any other person who carries on a business or profession in India through a branch, any sum, not being interest or dividends</w:t>
            </w:r>
          </w:p>
          <w:p w14:paraId="2EA04B0F" w14:textId="20DD8EDF" w:rsidR="00AC4DF1" w:rsidRPr="006A70DB" w:rsidRDefault="00AC4DF1" w:rsidP="00AA128D">
            <w:pPr>
              <w:pStyle w:val="ListParagraph"/>
              <w:widowControl/>
              <w:numPr>
                <w:ilvl w:val="0"/>
                <w:numId w:val="23"/>
              </w:numPr>
              <w:autoSpaceDE/>
              <w:autoSpaceDN/>
              <w:spacing w:after="160" w:line="276" w:lineRule="auto"/>
              <w:ind w:left="286" w:hanging="283"/>
              <w:jc w:val="both"/>
              <w:rPr>
                <w:rFonts w:asciiTheme="minorHAnsi" w:hAnsiTheme="minorHAnsi" w:cstheme="minorHAnsi"/>
              </w:rPr>
            </w:pPr>
            <w:r w:rsidRPr="006A70DB">
              <w:rPr>
                <w:rFonts w:asciiTheme="minorHAnsi" w:hAnsiTheme="minorHAnsi" w:cstheme="minorHAnsi"/>
              </w:rPr>
              <w:t>Similar inconsistency c</w:t>
            </w:r>
            <w:r w:rsidR="004F1EB8" w:rsidRPr="006A70DB">
              <w:rPr>
                <w:rFonts w:asciiTheme="minorHAnsi" w:hAnsiTheme="minorHAnsi" w:cstheme="minorHAnsi"/>
              </w:rPr>
              <w:t>o</w:t>
            </w:r>
            <w:r w:rsidRPr="006A70DB">
              <w:rPr>
                <w:rFonts w:asciiTheme="minorHAnsi" w:hAnsiTheme="minorHAnsi" w:cstheme="minorHAnsi"/>
              </w:rPr>
              <w:t>ntinues even under Rule 209 of Draft IT Rules 2026</w:t>
            </w:r>
            <w:r w:rsidR="004F1EB8" w:rsidRPr="006A70DB">
              <w:rPr>
                <w:rFonts w:asciiTheme="minorHAnsi" w:hAnsiTheme="minorHAnsi" w:cstheme="minorHAnsi"/>
              </w:rPr>
              <w:t xml:space="preserve"> as follows</w:t>
            </w:r>
            <w:r w:rsidR="006A70DB" w:rsidRPr="006A70DB">
              <w:rPr>
                <w:rFonts w:asciiTheme="minorHAnsi" w:hAnsiTheme="minorHAnsi" w:cstheme="minorHAnsi"/>
              </w:rPr>
              <w:t xml:space="preserve"> -</w:t>
            </w:r>
          </w:p>
          <w:p w14:paraId="64AB5D91" w14:textId="0F0C5FEC" w:rsidR="00500656" w:rsidRPr="00192A44" w:rsidRDefault="00500656" w:rsidP="00AA128D">
            <w:pPr>
              <w:pStyle w:val="ListParagraph"/>
              <w:widowControl/>
              <w:autoSpaceDE/>
              <w:autoSpaceDN/>
              <w:spacing w:after="160" w:line="276" w:lineRule="auto"/>
              <w:ind w:left="286"/>
              <w:jc w:val="both"/>
              <w:rPr>
                <w:rFonts w:asciiTheme="minorHAnsi" w:hAnsiTheme="minorHAnsi" w:cstheme="minorHAnsi"/>
                <w:i/>
                <w:iCs/>
              </w:rPr>
            </w:pPr>
            <w:r w:rsidRPr="00500656">
              <w:rPr>
                <w:rFonts w:asciiTheme="minorHAnsi" w:hAnsiTheme="minorHAnsi" w:cstheme="minorHAnsi"/>
                <w:i/>
                <w:iCs/>
              </w:rPr>
              <w:t>Application by the payee for certificate authorising receipt of interest and other sums</w:t>
            </w:r>
            <w:r>
              <w:rPr>
                <w:rFonts w:asciiTheme="minorHAnsi" w:hAnsiTheme="minorHAnsi" w:cstheme="minorHAnsi"/>
                <w:i/>
                <w:iCs/>
              </w:rPr>
              <w:t xml:space="preserve"> </w:t>
            </w:r>
            <w:r w:rsidRPr="00192A44">
              <w:rPr>
                <w:rFonts w:asciiTheme="minorHAnsi" w:hAnsiTheme="minorHAnsi" w:cstheme="minorHAnsi"/>
                <w:i/>
                <w:iCs/>
              </w:rPr>
              <w:t>without deduction of tax</w:t>
            </w:r>
          </w:p>
          <w:p w14:paraId="057DCF8A" w14:textId="76515442" w:rsidR="00500656" w:rsidRPr="00192A44" w:rsidRDefault="00500656" w:rsidP="00AA128D">
            <w:pPr>
              <w:pStyle w:val="ListParagraph"/>
              <w:widowControl/>
              <w:autoSpaceDE/>
              <w:autoSpaceDN/>
              <w:spacing w:after="160" w:line="276" w:lineRule="auto"/>
              <w:ind w:left="286"/>
              <w:jc w:val="both"/>
              <w:rPr>
                <w:rFonts w:asciiTheme="minorHAnsi" w:hAnsiTheme="minorHAnsi" w:cstheme="minorHAnsi"/>
                <w:i/>
                <w:iCs/>
              </w:rPr>
            </w:pPr>
            <w:r w:rsidRPr="00500656">
              <w:rPr>
                <w:rFonts w:asciiTheme="minorHAnsi" w:hAnsiTheme="minorHAnsi" w:cstheme="minorHAnsi"/>
                <w:i/>
                <w:iCs/>
              </w:rPr>
              <w:t xml:space="preserve">(1) Any person as mentioned in column B of the Table below, entitled to receive </w:t>
            </w:r>
            <w:r w:rsidRPr="00192A44">
              <w:rPr>
                <w:rFonts w:asciiTheme="minorHAnsi" w:hAnsiTheme="minorHAnsi" w:cstheme="minorHAnsi"/>
                <w:b/>
                <w:bCs/>
                <w:i/>
                <w:iCs/>
              </w:rPr>
              <w:t>any interest or any other sum of the nature specified in section 393(2) [Table: Sl. No. 17],</w:t>
            </w:r>
            <w:r w:rsidRPr="00192A44">
              <w:rPr>
                <w:rFonts w:asciiTheme="minorHAnsi" w:hAnsiTheme="minorHAnsi" w:cstheme="minorHAnsi"/>
                <w:i/>
                <w:iCs/>
              </w:rPr>
              <w:t xml:space="preserve"> on fulfilment of</w:t>
            </w:r>
            <w:r>
              <w:rPr>
                <w:rFonts w:asciiTheme="minorHAnsi" w:hAnsiTheme="minorHAnsi" w:cstheme="minorHAnsi"/>
                <w:i/>
                <w:iCs/>
              </w:rPr>
              <w:t xml:space="preserve"> </w:t>
            </w:r>
            <w:r w:rsidRPr="00192A44">
              <w:rPr>
                <w:rFonts w:asciiTheme="minorHAnsi" w:hAnsiTheme="minorHAnsi" w:cstheme="minorHAnsi"/>
                <w:i/>
                <w:iCs/>
              </w:rPr>
              <w:t>the conditions specified in column C thereof may make an application in Form No. specified</w:t>
            </w:r>
            <w:r>
              <w:rPr>
                <w:rFonts w:asciiTheme="minorHAnsi" w:hAnsiTheme="minorHAnsi" w:cstheme="minorHAnsi"/>
                <w:i/>
                <w:iCs/>
              </w:rPr>
              <w:t xml:space="preserve"> </w:t>
            </w:r>
            <w:r w:rsidRPr="00192A44">
              <w:rPr>
                <w:rFonts w:asciiTheme="minorHAnsi" w:hAnsiTheme="minorHAnsi" w:cstheme="minorHAnsi"/>
                <w:i/>
                <w:iCs/>
              </w:rPr>
              <w:t>in Column D thereof, for grant of a certificate under section 395(1) authorising him to receive</w:t>
            </w:r>
            <w:r>
              <w:rPr>
                <w:rFonts w:asciiTheme="minorHAnsi" w:hAnsiTheme="minorHAnsi" w:cstheme="minorHAnsi"/>
                <w:i/>
                <w:iCs/>
              </w:rPr>
              <w:t xml:space="preserve"> </w:t>
            </w:r>
            <w:r w:rsidRPr="00192A44">
              <w:rPr>
                <w:rFonts w:asciiTheme="minorHAnsi" w:hAnsiTheme="minorHAnsi" w:cstheme="minorHAnsi"/>
                <w:i/>
                <w:iCs/>
              </w:rPr>
              <w:t>without deduction of tax any such income or sum as specified in column E thereof:</w:t>
            </w:r>
          </w:p>
          <w:tbl>
            <w:tblPr>
              <w:tblStyle w:val="TableGrid"/>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1700"/>
              <w:gridCol w:w="3813"/>
              <w:gridCol w:w="723"/>
              <w:gridCol w:w="3326"/>
            </w:tblGrid>
            <w:tr w:rsidR="00BA2473" w14:paraId="6EBFBA2E" w14:textId="77777777" w:rsidTr="001A4727">
              <w:tc>
                <w:tcPr>
                  <w:tcW w:w="667" w:type="dxa"/>
                </w:tcPr>
                <w:p w14:paraId="5D3574FF" w14:textId="1F6DFC0C" w:rsidR="00BA2473" w:rsidRPr="00192A44" w:rsidRDefault="001A4727" w:rsidP="00AA128D">
                  <w:pPr>
                    <w:pStyle w:val="ListParagraph"/>
                    <w:widowControl/>
                    <w:autoSpaceDE/>
                    <w:autoSpaceDN/>
                    <w:spacing w:after="160" w:line="276" w:lineRule="auto"/>
                    <w:jc w:val="both"/>
                    <w:rPr>
                      <w:rFonts w:asciiTheme="minorHAnsi" w:hAnsiTheme="minorHAnsi" w:cstheme="minorHAnsi"/>
                      <w:b/>
                      <w:i/>
                    </w:rPr>
                  </w:pPr>
                  <w:r>
                    <w:rPr>
                      <w:rFonts w:asciiTheme="minorHAnsi" w:hAnsiTheme="minorHAnsi" w:cstheme="minorHAnsi"/>
                      <w:b/>
                      <w:bCs/>
                      <w:i/>
                      <w:iCs/>
                    </w:rPr>
                    <w:t>S</w:t>
                  </w:r>
                  <w:r w:rsidR="00A30BCE">
                    <w:rPr>
                      <w:rFonts w:asciiTheme="minorHAnsi" w:hAnsiTheme="minorHAnsi" w:cstheme="minorHAnsi"/>
                      <w:b/>
                      <w:bCs/>
                      <w:i/>
                      <w:iCs/>
                    </w:rPr>
                    <w:t>l</w:t>
                  </w:r>
                  <w:r>
                    <w:rPr>
                      <w:rFonts w:asciiTheme="minorHAnsi" w:hAnsiTheme="minorHAnsi" w:cstheme="minorHAnsi"/>
                      <w:b/>
                      <w:bCs/>
                      <w:i/>
                      <w:iCs/>
                    </w:rPr>
                    <w:t xml:space="preserve"> </w:t>
                  </w:r>
                  <w:r w:rsidR="00211576">
                    <w:rPr>
                      <w:rFonts w:asciiTheme="minorHAnsi" w:hAnsiTheme="minorHAnsi" w:cstheme="minorHAnsi"/>
                      <w:b/>
                      <w:bCs/>
                      <w:i/>
                      <w:iCs/>
                    </w:rPr>
                    <w:t>no</w:t>
                  </w:r>
                </w:p>
              </w:tc>
              <w:tc>
                <w:tcPr>
                  <w:tcW w:w="1700" w:type="dxa"/>
                </w:tcPr>
                <w:p w14:paraId="66D632D3" w14:textId="4EA67C54" w:rsidR="00BA2473" w:rsidRPr="00192A44" w:rsidRDefault="005C2434" w:rsidP="00AA128D">
                  <w:pPr>
                    <w:pStyle w:val="ListParagraph"/>
                    <w:widowControl/>
                    <w:autoSpaceDE/>
                    <w:autoSpaceDN/>
                    <w:spacing w:after="160" w:line="276" w:lineRule="auto"/>
                    <w:jc w:val="both"/>
                    <w:rPr>
                      <w:rFonts w:asciiTheme="minorHAnsi" w:hAnsiTheme="minorHAnsi" w:cstheme="minorHAnsi"/>
                      <w:b/>
                      <w:i/>
                    </w:rPr>
                  </w:pPr>
                  <w:r w:rsidRPr="00192A44">
                    <w:rPr>
                      <w:rFonts w:asciiTheme="minorHAnsi" w:hAnsiTheme="minorHAnsi" w:cstheme="minorHAnsi"/>
                      <w:b/>
                      <w:i/>
                    </w:rPr>
                    <w:t>Person</w:t>
                  </w:r>
                </w:p>
              </w:tc>
              <w:tc>
                <w:tcPr>
                  <w:tcW w:w="3813" w:type="dxa"/>
                </w:tcPr>
                <w:p w14:paraId="4268C0D6" w14:textId="47640AFC" w:rsidR="00BA2473" w:rsidRPr="00192A44" w:rsidRDefault="004569B3" w:rsidP="00AA128D">
                  <w:pPr>
                    <w:pStyle w:val="ListParagraph"/>
                    <w:widowControl/>
                    <w:autoSpaceDE/>
                    <w:autoSpaceDN/>
                    <w:spacing w:after="160" w:line="276" w:lineRule="auto"/>
                    <w:jc w:val="both"/>
                    <w:rPr>
                      <w:rFonts w:asciiTheme="minorHAnsi" w:hAnsiTheme="minorHAnsi" w:cstheme="minorHAnsi"/>
                      <w:b/>
                      <w:i/>
                    </w:rPr>
                  </w:pPr>
                  <w:r w:rsidRPr="00192A44">
                    <w:rPr>
                      <w:rFonts w:asciiTheme="minorHAnsi" w:hAnsiTheme="minorHAnsi" w:cstheme="minorHAnsi"/>
                      <w:b/>
                      <w:i/>
                    </w:rPr>
                    <w:t>Conditions</w:t>
                  </w:r>
                </w:p>
              </w:tc>
              <w:tc>
                <w:tcPr>
                  <w:tcW w:w="723" w:type="dxa"/>
                </w:tcPr>
                <w:p w14:paraId="47BAB911" w14:textId="39DA5644" w:rsidR="00BA2473" w:rsidRPr="00192A44" w:rsidRDefault="004569B3" w:rsidP="00AA128D">
                  <w:pPr>
                    <w:pStyle w:val="ListParagraph"/>
                    <w:widowControl/>
                    <w:autoSpaceDE/>
                    <w:autoSpaceDN/>
                    <w:spacing w:after="160" w:line="276" w:lineRule="auto"/>
                    <w:jc w:val="both"/>
                    <w:rPr>
                      <w:rFonts w:asciiTheme="minorHAnsi" w:hAnsiTheme="minorHAnsi" w:cstheme="minorHAnsi"/>
                      <w:b/>
                      <w:i/>
                    </w:rPr>
                  </w:pPr>
                  <w:r w:rsidRPr="00192A44">
                    <w:rPr>
                      <w:rFonts w:asciiTheme="minorHAnsi" w:hAnsiTheme="minorHAnsi" w:cstheme="minorHAnsi"/>
                      <w:b/>
                      <w:i/>
                    </w:rPr>
                    <w:t>Form No.</w:t>
                  </w:r>
                </w:p>
              </w:tc>
              <w:tc>
                <w:tcPr>
                  <w:tcW w:w="3326" w:type="dxa"/>
                </w:tcPr>
                <w:p w14:paraId="615AAD85" w14:textId="7B27D157" w:rsidR="00BA2473" w:rsidRPr="00192A44" w:rsidRDefault="00B26C83" w:rsidP="00AA128D">
                  <w:pPr>
                    <w:pStyle w:val="ListParagraph"/>
                    <w:widowControl/>
                    <w:autoSpaceDE/>
                    <w:autoSpaceDN/>
                    <w:spacing w:after="160" w:line="276" w:lineRule="auto"/>
                    <w:jc w:val="both"/>
                    <w:rPr>
                      <w:rFonts w:asciiTheme="minorHAnsi" w:hAnsiTheme="minorHAnsi" w:cstheme="minorHAnsi"/>
                      <w:b/>
                      <w:i/>
                    </w:rPr>
                  </w:pPr>
                  <w:r w:rsidRPr="00192A44">
                    <w:rPr>
                      <w:rFonts w:asciiTheme="minorHAnsi" w:hAnsiTheme="minorHAnsi" w:cstheme="minorHAnsi"/>
                      <w:b/>
                      <w:bCs/>
                      <w:i/>
                      <w:iCs/>
                    </w:rPr>
                    <w:t>Nature of income or sum</w:t>
                  </w:r>
                </w:p>
              </w:tc>
            </w:tr>
            <w:tr w:rsidR="00BA2473" w14:paraId="5E54F8BD" w14:textId="77777777" w:rsidTr="001A4727">
              <w:tc>
                <w:tcPr>
                  <w:tcW w:w="667" w:type="dxa"/>
                </w:tcPr>
                <w:p w14:paraId="4C566202" w14:textId="27F5D7F2" w:rsidR="00BA2473" w:rsidRDefault="00D86033" w:rsidP="00AA128D">
                  <w:pPr>
                    <w:pStyle w:val="ListParagraph"/>
                    <w:widowControl/>
                    <w:autoSpaceDE/>
                    <w:autoSpaceDN/>
                    <w:spacing w:after="160" w:line="276" w:lineRule="auto"/>
                    <w:jc w:val="both"/>
                    <w:rPr>
                      <w:rFonts w:asciiTheme="minorHAnsi" w:hAnsiTheme="minorHAnsi" w:cstheme="minorHAnsi"/>
                      <w:i/>
                      <w:iCs/>
                    </w:rPr>
                  </w:pPr>
                  <w:r>
                    <w:rPr>
                      <w:rFonts w:asciiTheme="minorHAnsi" w:hAnsiTheme="minorHAnsi" w:cstheme="minorHAnsi"/>
                      <w:i/>
                      <w:iCs/>
                    </w:rPr>
                    <w:t>1</w:t>
                  </w:r>
                </w:p>
              </w:tc>
              <w:tc>
                <w:tcPr>
                  <w:tcW w:w="1700" w:type="dxa"/>
                </w:tcPr>
                <w:p w14:paraId="28FAC4C3" w14:textId="10973F3E" w:rsidR="00BA2473" w:rsidRDefault="00EC01FE" w:rsidP="00AA128D">
                  <w:pPr>
                    <w:pStyle w:val="ListParagraph"/>
                    <w:widowControl/>
                    <w:autoSpaceDE/>
                    <w:autoSpaceDN/>
                    <w:spacing w:after="160" w:line="276" w:lineRule="auto"/>
                    <w:jc w:val="both"/>
                    <w:rPr>
                      <w:rFonts w:asciiTheme="minorHAnsi" w:hAnsiTheme="minorHAnsi" w:cstheme="minorHAnsi"/>
                      <w:i/>
                      <w:iCs/>
                    </w:rPr>
                  </w:pPr>
                  <w:r w:rsidRPr="00EC01FE">
                    <w:rPr>
                      <w:rFonts w:asciiTheme="minorHAnsi" w:hAnsiTheme="minorHAnsi" w:cstheme="minorHAnsi"/>
                      <w:i/>
                      <w:iCs/>
                    </w:rPr>
                    <w:t>Banking company or</w:t>
                  </w:r>
                  <w:r w:rsidR="00211576">
                    <w:rPr>
                      <w:rFonts w:asciiTheme="minorHAnsi" w:hAnsiTheme="minorHAnsi" w:cstheme="minorHAnsi"/>
                      <w:i/>
                      <w:iCs/>
                    </w:rPr>
                    <w:t xml:space="preserve"> </w:t>
                  </w:r>
                  <w:r w:rsidRPr="00EC01FE">
                    <w:rPr>
                      <w:rFonts w:asciiTheme="minorHAnsi" w:hAnsiTheme="minorHAnsi" w:cstheme="minorHAnsi"/>
                      <w:i/>
                      <w:iCs/>
                    </w:rPr>
                    <w:t>an insurer (as</w:t>
                  </w:r>
                  <w:r>
                    <w:rPr>
                      <w:rFonts w:asciiTheme="minorHAnsi" w:hAnsiTheme="minorHAnsi" w:cstheme="minorHAnsi"/>
                      <w:i/>
                      <w:iCs/>
                    </w:rPr>
                    <w:t xml:space="preserve"> </w:t>
                  </w:r>
                  <w:r w:rsidRPr="00EC01FE">
                    <w:rPr>
                      <w:rFonts w:asciiTheme="minorHAnsi" w:hAnsiTheme="minorHAnsi" w:cstheme="minorHAnsi"/>
                      <w:i/>
                      <w:iCs/>
                    </w:rPr>
                    <w:t>defined in section</w:t>
                  </w:r>
                  <w:r>
                    <w:rPr>
                      <w:rFonts w:asciiTheme="minorHAnsi" w:hAnsiTheme="minorHAnsi" w:cstheme="minorHAnsi"/>
                      <w:i/>
                      <w:iCs/>
                    </w:rPr>
                    <w:t xml:space="preserve"> </w:t>
                  </w:r>
                  <w:r w:rsidRPr="00EC01FE">
                    <w:rPr>
                      <w:rFonts w:asciiTheme="minorHAnsi" w:hAnsiTheme="minorHAnsi" w:cstheme="minorHAnsi"/>
                      <w:i/>
                      <w:iCs/>
                    </w:rPr>
                    <w:t>(2)(9)(d) of</w:t>
                  </w:r>
                  <w:r>
                    <w:rPr>
                      <w:rFonts w:asciiTheme="minorHAnsi" w:hAnsiTheme="minorHAnsi" w:cstheme="minorHAnsi"/>
                      <w:i/>
                      <w:iCs/>
                    </w:rPr>
                    <w:t xml:space="preserve"> </w:t>
                  </w:r>
                  <w:r w:rsidRPr="00EC01FE">
                    <w:rPr>
                      <w:rFonts w:asciiTheme="minorHAnsi" w:hAnsiTheme="minorHAnsi" w:cstheme="minorHAnsi"/>
                      <w:i/>
                      <w:iCs/>
                    </w:rPr>
                    <w:t>Insurance Act,</w:t>
                  </w:r>
                  <w:r>
                    <w:rPr>
                      <w:rFonts w:asciiTheme="minorHAnsi" w:hAnsiTheme="minorHAnsi" w:cstheme="minorHAnsi"/>
                      <w:i/>
                      <w:iCs/>
                    </w:rPr>
                    <w:t xml:space="preserve"> </w:t>
                  </w:r>
                  <w:r w:rsidRPr="00EC01FE">
                    <w:rPr>
                      <w:rFonts w:asciiTheme="minorHAnsi" w:hAnsiTheme="minorHAnsi" w:cstheme="minorHAnsi"/>
                      <w:i/>
                      <w:iCs/>
                    </w:rPr>
                    <w:lastRenderedPageBreak/>
                    <w:t>1938), which is not a</w:t>
                  </w:r>
                  <w:r>
                    <w:rPr>
                      <w:rFonts w:asciiTheme="minorHAnsi" w:hAnsiTheme="minorHAnsi" w:cstheme="minorHAnsi"/>
                      <w:i/>
                      <w:iCs/>
                    </w:rPr>
                    <w:t xml:space="preserve"> </w:t>
                  </w:r>
                  <w:r w:rsidRPr="00EC01FE">
                    <w:rPr>
                      <w:rFonts w:asciiTheme="minorHAnsi" w:hAnsiTheme="minorHAnsi" w:cstheme="minorHAnsi"/>
                      <w:i/>
                      <w:iCs/>
                    </w:rPr>
                    <w:t>domestic company,</w:t>
                  </w:r>
                  <w:r>
                    <w:rPr>
                      <w:rFonts w:asciiTheme="minorHAnsi" w:hAnsiTheme="minorHAnsi" w:cstheme="minorHAnsi"/>
                      <w:i/>
                      <w:iCs/>
                    </w:rPr>
                    <w:t xml:space="preserve"> </w:t>
                  </w:r>
                  <w:r w:rsidRPr="00EC01FE">
                    <w:rPr>
                      <w:rFonts w:asciiTheme="minorHAnsi" w:hAnsiTheme="minorHAnsi" w:cstheme="minorHAnsi"/>
                      <w:i/>
                      <w:iCs/>
                    </w:rPr>
                    <w:t>and which carries on</w:t>
                  </w:r>
                  <w:r>
                    <w:rPr>
                      <w:rFonts w:asciiTheme="minorHAnsi" w:hAnsiTheme="minorHAnsi" w:cstheme="minorHAnsi"/>
                      <w:i/>
                      <w:iCs/>
                    </w:rPr>
                    <w:t xml:space="preserve"> </w:t>
                  </w:r>
                  <w:r w:rsidRPr="00EC01FE">
                    <w:rPr>
                      <w:rFonts w:asciiTheme="minorHAnsi" w:hAnsiTheme="minorHAnsi" w:cstheme="minorHAnsi"/>
                      <w:i/>
                      <w:iCs/>
                    </w:rPr>
                    <w:t>operations in India</w:t>
                  </w:r>
                  <w:r>
                    <w:rPr>
                      <w:rFonts w:asciiTheme="minorHAnsi" w:hAnsiTheme="minorHAnsi" w:cstheme="minorHAnsi"/>
                      <w:i/>
                      <w:iCs/>
                    </w:rPr>
                    <w:t xml:space="preserve"> </w:t>
                  </w:r>
                  <w:r w:rsidRPr="00EC01FE">
                    <w:rPr>
                      <w:rFonts w:asciiTheme="minorHAnsi" w:hAnsiTheme="minorHAnsi" w:cstheme="minorHAnsi"/>
                      <w:i/>
                      <w:iCs/>
                    </w:rPr>
                    <w:t>through a branch</w:t>
                  </w:r>
                </w:p>
              </w:tc>
              <w:tc>
                <w:tcPr>
                  <w:tcW w:w="3813" w:type="dxa"/>
                </w:tcPr>
                <w:p w14:paraId="02098B8C" w14:textId="74E98CAC" w:rsidR="00E742D4" w:rsidRPr="00E742D4" w:rsidRDefault="00625F9B" w:rsidP="00AA128D">
                  <w:pPr>
                    <w:pStyle w:val="ListParagraph"/>
                    <w:widowControl/>
                    <w:autoSpaceDE/>
                    <w:autoSpaceDN/>
                    <w:spacing w:after="160" w:line="276" w:lineRule="auto"/>
                    <w:jc w:val="both"/>
                    <w:rPr>
                      <w:rFonts w:asciiTheme="minorHAnsi" w:hAnsiTheme="minorHAnsi" w:cstheme="minorHAnsi"/>
                      <w:i/>
                      <w:iCs/>
                    </w:rPr>
                  </w:pPr>
                  <w:r w:rsidRPr="00625F9B">
                    <w:rPr>
                      <w:rFonts w:asciiTheme="minorHAnsi" w:hAnsiTheme="minorHAnsi" w:cstheme="minorHAnsi"/>
                      <w:i/>
                      <w:iCs/>
                    </w:rPr>
                    <w:lastRenderedPageBreak/>
                    <w:t>(a) The person</w:t>
                  </w:r>
                  <w:r>
                    <w:rPr>
                      <w:rFonts w:asciiTheme="minorHAnsi" w:hAnsiTheme="minorHAnsi" w:cstheme="minorHAnsi"/>
                      <w:i/>
                      <w:iCs/>
                    </w:rPr>
                    <w:t xml:space="preserve"> </w:t>
                  </w:r>
                  <w:r w:rsidRPr="00625F9B">
                    <w:rPr>
                      <w:rFonts w:asciiTheme="minorHAnsi" w:hAnsiTheme="minorHAnsi" w:cstheme="minorHAnsi"/>
                      <w:i/>
                      <w:iCs/>
                    </w:rPr>
                    <w:t>concerned has</w:t>
                  </w:r>
                  <w:r>
                    <w:rPr>
                      <w:rFonts w:asciiTheme="minorHAnsi" w:hAnsiTheme="minorHAnsi" w:cstheme="minorHAnsi"/>
                      <w:i/>
                      <w:iCs/>
                    </w:rPr>
                    <w:t xml:space="preserve"> </w:t>
                  </w:r>
                  <w:r w:rsidRPr="00625F9B">
                    <w:rPr>
                      <w:rFonts w:asciiTheme="minorHAnsi" w:hAnsiTheme="minorHAnsi" w:cstheme="minorHAnsi"/>
                      <w:i/>
                      <w:iCs/>
                    </w:rPr>
                    <w:t>been regularly assessed to</w:t>
                  </w:r>
                  <w:r>
                    <w:rPr>
                      <w:rFonts w:asciiTheme="minorHAnsi" w:hAnsiTheme="minorHAnsi" w:cstheme="minorHAnsi"/>
                      <w:i/>
                      <w:iCs/>
                    </w:rPr>
                    <w:t xml:space="preserve"> </w:t>
                  </w:r>
                  <w:r w:rsidRPr="00625F9B">
                    <w:rPr>
                      <w:rFonts w:asciiTheme="minorHAnsi" w:hAnsiTheme="minorHAnsi" w:cstheme="minorHAnsi"/>
                      <w:i/>
                      <w:iCs/>
                    </w:rPr>
                    <w:t>income-tax in India and has</w:t>
                  </w:r>
                  <w:r>
                    <w:rPr>
                      <w:rFonts w:asciiTheme="minorHAnsi" w:hAnsiTheme="minorHAnsi" w:cstheme="minorHAnsi"/>
                      <w:i/>
                      <w:iCs/>
                    </w:rPr>
                    <w:t xml:space="preserve"> </w:t>
                  </w:r>
                  <w:r w:rsidRPr="00625F9B">
                    <w:rPr>
                      <w:rFonts w:asciiTheme="minorHAnsi" w:hAnsiTheme="minorHAnsi" w:cstheme="minorHAnsi"/>
                      <w:i/>
                      <w:iCs/>
                    </w:rPr>
                    <w:t>furnished the returns of income</w:t>
                  </w:r>
                  <w:r w:rsidR="00E742D4">
                    <w:rPr>
                      <w:rFonts w:asciiTheme="minorHAnsi" w:hAnsiTheme="minorHAnsi" w:cstheme="minorHAnsi"/>
                      <w:i/>
                      <w:iCs/>
                    </w:rPr>
                    <w:t xml:space="preserve"> </w:t>
                  </w:r>
                  <w:r w:rsidR="00E742D4" w:rsidRPr="00E742D4">
                    <w:rPr>
                      <w:rFonts w:asciiTheme="minorHAnsi" w:hAnsiTheme="minorHAnsi" w:cstheme="minorHAnsi"/>
                      <w:i/>
                      <w:iCs/>
                    </w:rPr>
                    <w:t>for last five tax years for which</w:t>
                  </w:r>
                  <w:r w:rsidR="00E742D4">
                    <w:rPr>
                      <w:rFonts w:asciiTheme="minorHAnsi" w:hAnsiTheme="minorHAnsi" w:cstheme="minorHAnsi"/>
                      <w:i/>
                      <w:iCs/>
                    </w:rPr>
                    <w:t xml:space="preserve"> </w:t>
                  </w:r>
                  <w:r w:rsidR="00E742D4" w:rsidRPr="00E742D4">
                    <w:rPr>
                      <w:rFonts w:asciiTheme="minorHAnsi" w:hAnsiTheme="minorHAnsi" w:cstheme="minorHAnsi"/>
                      <w:i/>
                      <w:iCs/>
                    </w:rPr>
                    <w:t>such returns became due on or</w:t>
                  </w:r>
                  <w:r w:rsidR="00E742D4">
                    <w:rPr>
                      <w:rFonts w:asciiTheme="minorHAnsi" w:hAnsiTheme="minorHAnsi" w:cstheme="minorHAnsi"/>
                      <w:i/>
                      <w:iCs/>
                    </w:rPr>
                    <w:t xml:space="preserve"> </w:t>
                  </w:r>
                  <w:r w:rsidR="00E742D4" w:rsidRPr="00E742D4">
                    <w:rPr>
                      <w:rFonts w:asciiTheme="minorHAnsi" w:hAnsiTheme="minorHAnsi" w:cstheme="minorHAnsi"/>
                      <w:i/>
                      <w:iCs/>
                    </w:rPr>
                    <w:t xml:space="preserve">before the </w:t>
                  </w:r>
                  <w:r w:rsidR="00E742D4" w:rsidRPr="00E742D4">
                    <w:rPr>
                      <w:rFonts w:asciiTheme="minorHAnsi" w:hAnsiTheme="minorHAnsi" w:cstheme="minorHAnsi"/>
                      <w:i/>
                      <w:iCs/>
                    </w:rPr>
                    <w:lastRenderedPageBreak/>
                    <w:t>date on which the</w:t>
                  </w:r>
                  <w:r w:rsidR="00E742D4">
                    <w:rPr>
                      <w:rFonts w:asciiTheme="minorHAnsi" w:hAnsiTheme="minorHAnsi" w:cstheme="minorHAnsi"/>
                      <w:i/>
                      <w:iCs/>
                    </w:rPr>
                    <w:t xml:space="preserve"> </w:t>
                  </w:r>
                  <w:r w:rsidR="00E742D4" w:rsidRPr="00E742D4">
                    <w:rPr>
                      <w:rFonts w:asciiTheme="minorHAnsi" w:hAnsiTheme="minorHAnsi" w:cstheme="minorHAnsi"/>
                      <w:i/>
                      <w:iCs/>
                    </w:rPr>
                    <w:t>application under</w:t>
                  </w:r>
                  <w:r w:rsidR="00E742D4">
                    <w:rPr>
                      <w:rFonts w:asciiTheme="minorHAnsi" w:hAnsiTheme="minorHAnsi" w:cstheme="minorHAnsi"/>
                      <w:i/>
                      <w:iCs/>
                    </w:rPr>
                    <w:t xml:space="preserve"> </w:t>
                  </w:r>
                  <w:r w:rsidR="00E742D4" w:rsidRPr="00E742D4">
                    <w:rPr>
                      <w:rFonts w:asciiTheme="minorHAnsi" w:hAnsiTheme="minorHAnsi" w:cstheme="minorHAnsi"/>
                      <w:i/>
                      <w:iCs/>
                    </w:rPr>
                    <w:t>this rule is</w:t>
                  </w:r>
                  <w:r w:rsidR="00E742D4">
                    <w:rPr>
                      <w:rFonts w:asciiTheme="minorHAnsi" w:hAnsiTheme="minorHAnsi" w:cstheme="minorHAnsi"/>
                      <w:i/>
                      <w:iCs/>
                    </w:rPr>
                    <w:t xml:space="preserve"> </w:t>
                  </w:r>
                  <w:r w:rsidR="00E742D4" w:rsidRPr="00E742D4">
                    <w:rPr>
                      <w:rFonts w:asciiTheme="minorHAnsi" w:hAnsiTheme="minorHAnsi" w:cstheme="minorHAnsi"/>
                      <w:i/>
                      <w:iCs/>
                    </w:rPr>
                    <w:t>made;</w:t>
                  </w:r>
                </w:p>
                <w:p w14:paraId="375B451B" w14:textId="5C7C9D1C" w:rsidR="00BA2473" w:rsidRDefault="00E742D4" w:rsidP="00AA128D">
                  <w:pPr>
                    <w:pStyle w:val="ListParagraph"/>
                    <w:widowControl/>
                    <w:autoSpaceDE/>
                    <w:autoSpaceDN/>
                    <w:spacing w:after="160" w:line="276" w:lineRule="auto"/>
                    <w:jc w:val="both"/>
                    <w:rPr>
                      <w:rFonts w:asciiTheme="minorHAnsi" w:hAnsiTheme="minorHAnsi" w:cstheme="minorHAnsi"/>
                      <w:i/>
                      <w:iCs/>
                    </w:rPr>
                  </w:pPr>
                  <w:r w:rsidRPr="00E742D4">
                    <w:rPr>
                      <w:rFonts w:asciiTheme="minorHAnsi" w:hAnsiTheme="minorHAnsi" w:cstheme="minorHAnsi"/>
                      <w:i/>
                      <w:iCs/>
                    </w:rPr>
                    <w:t>(b) he is not in default or</w:t>
                  </w:r>
                  <w:r>
                    <w:rPr>
                      <w:rFonts w:asciiTheme="minorHAnsi" w:hAnsiTheme="minorHAnsi" w:cstheme="minorHAnsi"/>
                      <w:i/>
                      <w:iCs/>
                    </w:rPr>
                    <w:t xml:space="preserve"> </w:t>
                  </w:r>
                  <w:r w:rsidRPr="00E742D4">
                    <w:rPr>
                      <w:rFonts w:asciiTheme="minorHAnsi" w:hAnsiTheme="minorHAnsi" w:cstheme="minorHAnsi"/>
                      <w:i/>
                      <w:iCs/>
                    </w:rPr>
                    <w:t>deemed to be in default in</w:t>
                  </w:r>
                  <w:r>
                    <w:rPr>
                      <w:rFonts w:asciiTheme="minorHAnsi" w:hAnsiTheme="minorHAnsi" w:cstheme="minorHAnsi"/>
                      <w:i/>
                      <w:iCs/>
                    </w:rPr>
                    <w:t xml:space="preserve"> </w:t>
                  </w:r>
                  <w:r w:rsidRPr="00E742D4">
                    <w:rPr>
                      <w:rFonts w:asciiTheme="minorHAnsi" w:hAnsiTheme="minorHAnsi" w:cstheme="minorHAnsi"/>
                      <w:i/>
                      <w:iCs/>
                    </w:rPr>
                    <w:t>respect of any tax (including</w:t>
                  </w:r>
                  <w:r>
                    <w:rPr>
                      <w:rFonts w:asciiTheme="minorHAnsi" w:hAnsiTheme="minorHAnsi" w:cstheme="minorHAnsi"/>
                      <w:i/>
                      <w:iCs/>
                    </w:rPr>
                    <w:t xml:space="preserve"> </w:t>
                  </w:r>
                  <w:r w:rsidRPr="00E742D4">
                    <w:rPr>
                      <w:rFonts w:asciiTheme="minorHAnsi" w:hAnsiTheme="minorHAnsi" w:cstheme="minorHAnsi"/>
                      <w:i/>
                      <w:iCs/>
                    </w:rPr>
                    <w:t>advance tax and tax payable</w:t>
                  </w:r>
                  <w:r>
                    <w:rPr>
                      <w:rFonts w:asciiTheme="minorHAnsi" w:hAnsiTheme="minorHAnsi" w:cstheme="minorHAnsi"/>
                      <w:i/>
                      <w:iCs/>
                    </w:rPr>
                    <w:t xml:space="preserve"> </w:t>
                  </w:r>
                  <w:r w:rsidRPr="00E742D4">
                    <w:rPr>
                      <w:rFonts w:asciiTheme="minorHAnsi" w:hAnsiTheme="minorHAnsi" w:cstheme="minorHAnsi"/>
                      <w:i/>
                      <w:iCs/>
                    </w:rPr>
                    <w:t>under section 266), interest,</w:t>
                  </w:r>
                  <w:r w:rsidR="003D4243">
                    <w:rPr>
                      <w:rFonts w:asciiTheme="minorHAnsi" w:hAnsiTheme="minorHAnsi" w:cstheme="minorHAnsi"/>
                      <w:i/>
                      <w:iCs/>
                    </w:rPr>
                    <w:t xml:space="preserve"> </w:t>
                  </w:r>
                  <w:r w:rsidRPr="00E742D4">
                    <w:rPr>
                      <w:rFonts w:asciiTheme="minorHAnsi" w:hAnsiTheme="minorHAnsi" w:cstheme="minorHAnsi"/>
                      <w:i/>
                      <w:iCs/>
                    </w:rPr>
                    <w:t>penalty, fine, or any other sum</w:t>
                  </w:r>
                  <w:r w:rsidR="003D4243">
                    <w:rPr>
                      <w:rFonts w:asciiTheme="minorHAnsi" w:hAnsiTheme="minorHAnsi" w:cstheme="minorHAnsi"/>
                      <w:i/>
                      <w:iCs/>
                    </w:rPr>
                    <w:t xml:space="preserve"> </w:t>
                  </w:r>
                  <w:r w:rsidRPr="00E742D4">
                    <w:rPr>
                      <w:rFonts w:asciiTheme="minorHAnsi" w:hAnsiTheme="minorHAnsi" w:cstheme="minorHAnsi"/>
                      <w:i/>
                      <w:iCs/>
                    </w:rPr>
                    <w:t>payable under the Act;</w:t>
                  </w:r>
                </w:p>
              </w:tc>
              <w:tc>
                <w:tcPr>
                  <w:tcW w:w="723" w:type="dxa"/>
                </w:tcPr>
                <w:p w14:paraId="4376F599" w14:textId="16786333" w:rsidR="00BA2473" w:rsidRDefault="00A37EB1" w:rsidP="00AA128D">
                  <w:pPr>
                    <w:pStyle w:val="ListParagraph"/>
                    <w:widowControl/>
                    <w:autoSpaceDE/>
                    <w:autoSpaceDN/>
                    <w:spacing w:after="160" w:line="276" w:lineRule="auto"/>
                    <w:jc w:val="both"/>
                    <w:rPr>
                      <w:rFonts w:asciiTheme="minorHAnsi" w:hAnsiTheme="minorHAnsi" w:cstheme="minorHAnsi"/>
                      <w:i/>
                      <w:iCs/>
                    </w:rPr>
                  </w:pPr>
                  <w:r>
                    <w:rPr>
                      <w:rFonts w:asciiTheme="minorHAnsi" w:hAnsiTheme="minorHAnsi" w:cstheme="minorHAnsi"/>
                      <w:i/>
                      <w:iCs/>
                    </w:rPr>
                    <w:lastRenderedPageBreak/>
                    <w:t>126</w:t>
                  </w:r>
                </w:p>
              </w:tc>
              <w:tc>
                <w:tcPr>
                  <w:tcW w:w="3326" w:type="dxa"/>
                </w:tcPr>
                <w:p w14:paraId="45B8D1C9" w14:textId="338F2550" w:rsidR="00BA2473" w:rsidRDefault="00A37EB1" w:rsidP="00AA128D">
                  <w:pPr>
                    <w:pStyle w:val="ListParagraph"/>
                    <w:widowControl/>
                    <w:autoSpaceDE/>
                    <w:autoSpaceDN/>
                    <w:spacing w:after="160" w:line="276" w:lineRule="auto"/>
                    <w:jc w:val="both"/>
                    <w:rPr>
                      <w:rFonts w:asciiTheme="minorHAnsi" w:hAnsiTheme="minorHAnsi" w:cstheme="minorHAnsi"/>
                      <w:i/>
                      <w:iCs/>
                    </w:rPr>
                  </w:pPr>
                  <w:r w:rsidRPr="00A37EB1">
                    <w:rPr>
                      <w:rFonts w:asciiTheme="minorHAnsi" w:hAnsiTheme="minorHAnsi" w:cstheme="minorHAnsi"/>
                      <w:i/>
                      <w:iCs/>
                    </w:rPr>
                    <w:t>Any income by way</w:t>
                  </w:r>
                  <w:r>
                    <w:rPr>
                      <w:rFonts w:asciiTheme="minorHAnsi" w:hAnsiTheme="minorHAnsi" w:cstheme="minorHAnsi"/>
                      <w:i/>
                      <w:iCs/>
                    </w:rPr>
                    <w:t xml:space="preserve"> </w:t>
                  </w:r>
                  <w:r w:rsidRPr="00A37EB1">
                    <w:rPr>
                      <w:rFonts w:asciiTheme="minorHAnsi" w:hAnsiTheme="minorHAnsi" w:cstheme="minorHAnsi"/>
                      <w:i/>
                      <w:iCs/>
                    </w:rPr>
                    <w:t>of interest, not being</w:t>
                  </w:r>
                  <w:r>
                    <w:rPr>
                      <w:rFonts w:asciiTheme="minorHAnsi" w:hAnsiTheme="minorHAnsi" w:cstheme="minorHAnsi"/>
                      <w:i/>
                      <w:iCs/>
                    </w:rPr>
                    <w:t xml:space="preserve"> </w:t>
                  </w:r>
                  <w:r w:rsidRPr="00A37EB1">
                    <w:rPr>
                      <w:rFonts w:asciiTheme="minorHAnsi" w:hAnsiTheme="minorHAnsi" w:cstheme="minorHAnsi"/>
                      <w:i/>
                      <w:iCs/>
                    </w:rPr>
                    <w:t>interest on securities</w:t>
                  </w:r>
                  <w:r>
                    <w:rPr>
                      <w:rFonts w:asciiTheme="minorHAnsi" w:hAnsiTheme="minorHAnsi" w:cstheme="minorHAnsi"/>
                      <w:i/>
                      <w:iCs/>
                    </w:rPr>
                    <w:t xml:space="preserve"> </w:t>
                  </w:r>
                  <w:r w:rsidRPr="00A37EB1">
                    <w:rPr>
                      <w:rFonts w:asciiTheme="minorHAnsi" w:hAnsiTheme="minorHAnsi" w:cstheme="minorHAnsi"/>
                      <w:i/>
                      <w:iCs/>
                    </w:rPr>
                    <w:t>(other than interest</w:t>
                  </w:r>
                  <w:r w:rsidR="006C1A84">
                    <w:rPr>
                      <w:rFonts w:asciiTheme="minorHAnsi" w:hAnsiTheme="minorHAnsi" w:cstheme="minorHAnsi"/>
                      <w:i/>
                      <w:iCs/>
                    </w:rPr>
                    <w:t xml:space="preserve"> </w:t>
                  </w:r>
                  <w:r w:rsidR="006C1A84" w:rsidRPr="006C1A84">
                    <w:rPr>
                      <w:rFonts w:asciiTheme="minorHAnsi" w:hAnsiTheme="minorHAnsi" w:cstheme="minorHAnsi"/>
                      <w:i/>
                      <w:iCs/>
                    </w:rPr>
                    <w:t>payable on securities</w:t>
                  </w:r>
                  <w:r w:rsidR="006C1A84">
                    <w:rPr>
                      <w:rFonts w:asciiTheme="minorHAnsi" w:hAnsiTheme="minorHAnsi" w:cstheme="minorHAnsi"/>
                      <w:i/>
                      <w:iCs/>
                    </w:rPr>
                    <w:t xml:space="preserve"> </w:t>
                  </w:r>
                  <w:r w:rsidR="006C1A84" w:rsidRPr="006C1A84">
                    <w:rPr>
                      <w:rFonts w:asciiTheme="minorHAnsi" w:hAnsiTheme="minorHAnsi" w:cstheme="minorHAnsi"/>
                      <w:i/>
                      <w:iCs/>
                    </w:rPr>
                    <w:t>referred to in section</w:t>
                  </w:r>
                  <w:r w:rsidR="006C1A84">
                    <w:rPr>
                      <w:rFonts w:asciiTheme="minorHAnsi" w:hAnsiTheme="minorHAnsi" w:cstheme="minorHAnsi"/>
                      <w:i/>
                      <w:iCs/>
                    </w:rPr>
                    <w:t xml:space="preserve"> </w:t>
                  </w:r>
                  <w:r w:rsidR="006C1A84" w:rsidRPr="006C1A84">
                    <w:rPr>
                      <w:rFonts w:asciiTheme="minorHAnsi" w:hAnsiTheme="minorHAnsi" w:cstheme="minorHAnsi"/>
                      <w:i/>
                      <w:iCs/>
                    </w:rPr>
                    <w:t xml:space="preserve">393(4) [Table: </w:t>
                  </w:r>
                  <w:r w:rsidR="006C1A84" w:rsidRPr="006C1A84">
                    <w:rPr>
                      <w:rFonts w:asciiTheme="minorHAnsi" w:hAnsiTheme="minorHAnsi" w:cstheme="minorHAnsi"/>
                      <w:i/>
                      <w:iCs/>
                    </w:rPr>
                    <w:lastRenderedPageBreak/>
                    <w:t>Sl.</w:t>
                  </w:r>
                  <w:r w:rsidR="006C1A84">
                    <w:rPr>
                      <w:rFonts w:asciiTheme="minorHAnsi" w:hAnsiTheme="minorHAnsi" w:cstheme="minorHAnsi"/>
                      <w:i/>
                      <w:iCs/>
                    </w:rPr>
                    <w:t xml:space="preserve"> </w:t>
                  </w:r>
                  <w:r w:rsidR="006C1A84" w:rsidRPr="006C1A84">
                    <w:rPr>
                      <w:rFonts w:asciiTheme="minorHAnsi" w:hAnsiTheme="minorHAnsi" w:cstheme="minorHAnsi"/>
                      <w:i/>
                      <w:iCs/>
                    </w:rPr>
                    <w:t xml:space="preserve">No. 6]), </w:t>
                  </w:r>
                  <w:r w:rsidR="006C1A84" w:rsidRPr="00192A44">
                    <w:rPr>
                      <w:rFonts w:asciiTheme="minorHAnsi" w:hAnsiTheme="minorHAnsi" w:cstheme="minorHAnsi"/>
                      <w:b/>
                      <w:i/>
                    </w:rPr>
                    <w:t>or any other sum, not being</w:t>
                  </w:r>
                  <w:r w:rsidR="00FA039F" w:rsidRPr="00192A44">
                    <w:rPr>
                      <w:rFonts w:asciiTheme="minorHAnsi" w:hAnsiTheme="minorHAnsi" w:cstheme="minorHAnsi"/>
                      <w:b/>
                      <w:bCs/>
                      <w:i/>
                      <w:iCs/>
                    </w:rPr>
                    <w:t xml:space="preserve"> </w:t>
                  </w:r>
                  <w:r w:rsidR="006C1A84" w:rsidRPr="00192A44">
                    <w:rPr>
                      <w:rFonts w:asciiTheme="minorHAnsi" w:hAnsiTheme="minorHAnsi" w:cstheme="minorHAnsi"/>
                      <w:b/>
                      <w:i/>
                    </w:rPr>
                    <w:t>dividends. ;</w:t>
                  </w:r>
                </w:p>
              </w:tc>
            </w:tr>
            <w:tr w:rsidR="00FA039F" w14:paraId="5A0E735E" w14:textId="77777777" w:rsidTr="001A4727">
              <w:tc>
                <w:tcPr>
                  <w:tcW w:w="667" w:type="dxa"/>
                </w:tcPr>
                <w:p w14:paraId="549D9680" w14:textId="77777777" w:rsidR="00FA039F" w:rsidRDefault="00FA039F" w:rsidP="00AA128D">
                  <w:pPr>
                    <w:pStyle w:val="ListParagraph"/>
                    <w:widowControl/>
                    <w:autoSpaceDE/>
                    <w:autoSpaceDN/>
                    <w:spacing w:after="160" w:line="276" w:lineRule="auto"/>
                    <w:jc w:val="both"/>
                    <w:rPr>
                      <w:rFonts w:asciiTheme="minorHAnsi" w:hAnsiTheme="minorHAnsi" w:cstheme="minorHAnsi"/>
                      <w:i/>
                      <w:iCs/>
                    </w:rPr>
                  </w:pPr>
                </w:p>
              </w:tc>
              <w:tc>
                <w:tcPr>
                  <w:tcW w:w="1700" w:type="dxa"/>
                </w:tcPr>
                <w:p w14:paraId="3CA395B3" w14:textId="07866364" w:rsidR="00FA039F" w:rsidRPr="00EC01FE" w:rsidRDefault="00741C74" w:rsidP="00AA128D">
                  <w:pPr>
                    <w:pStyle w:val="ListParagraph"/>
                    <w:widowControl/>
                    <w:autoSpaceDE/>
                    <w:autoSpaceDN/>
                    <w:spacing w:after="160" w:line="276" w:lineRule="auto"/>
                    <w:jc w:val="both"/>
                    <w:rPr>
                      <w:rFonts w:asciiTheme="minorHAnsi" w:hAnsiTheme="minorHAnsi" w:cstheme="minorHAnsi"/>
                      <w:i/>
                      <w:iCs/>
                    </w:rPr>
                  </w:pPr>
                  <w:r w:rsidRPr="00741C74">
                    <w:rPr>
                      <w:rFonts w:asciiTheme="minorHAnsi" w:hAnsiTheme="minorHAnsi" w:cstheme="minorHAnsi"/>
                      <w:i/>
                      <w:iCs/>
                    </w:rPr>
                    <w:t>i)Any person other</w:t>
                  </w:r>
                  <w:r w:rsidR="00211576">
                    <w:rPr>
                      <w:rFonts w:asciiTheme="minorHAnsi" w:hAnsiTheme="minorHAnsi" w:cstheme="minorHAnsi"/>
                      <w:i/>
                      <w:iCs/>
                    </w:rPr>
                    <w:t xml:space="preserve"> </w:t>
                  </w:r>
                  <w:r w:rsidRPr="00741C74">
                    <w:rPr>
                      <w:rFonts w:asciiTheme="minorHAnsi" w:hAnsiTheme="minorHAnsi" w:cstheme="minorHAnsi"/>
                      <w:i/>
                      <w:iCs/>
                    </w:rPr>
                    <w:t>than the person</w:t>
                  </w:r>
                  <w:r w:rsidR="00211576">
                    <w:rPr>
                      <w:rFonts w:asciiTheme="minorHAnsi" w:hAnsiTheme="minorHAnsi" w:cstheme="minorHAnsi"/>
                      <w:i/>
                      <w:iCs/>
                    </w:rPr>
                    <w:t xml:space="preserve"> </w:t>
                  </w:r>
                  <w:r w:rsidRPr="00741C74">
                    <w:rPr>
                      <w:rFonts w:asciiTheme="minorHAnsi" w:hAnsiTheme="minorHAnsi" w:cstheme="minorHAnsi"/>
                      <w:i/>
                      <w:iCs/>
                    </w:rPr>
                    <w:t>referred to in (i) who</w:t>
                  </w:r>
                  <w:r w:rsidR="00211576">
                    <w:rPr>
                      <w:rFonts w:asciiTheme="minorHAnsi" w:hAnsiTheme="minorHAnsi" w:cstheme="minorHAnsi"/>
                      <w:i/>
                      <w:iCs/>
                    </w:rPr>
                    <w:t xml:space="preserve"> </w:t>
                  </w:r>
                  <w:r w:rsidRPr="00741C74">
                    <w:rPr>
                      <w:rFonts w:asciiTheme="minorHAnsi" w:hAnsiTheme="minorHAnsi" w:cstheme="minorHAnsi"/>
                      <w:i/>
                      <w:iCs/>
                    </w:rPr>
                    <w:t>carries on a business</w:t>
                  </w:r>
                  <w:r w:rsidR="00211576">
                    <w:rPr>
                      <w:rFonts w:asciiTheme="minorHAnsi" w:hAnsiTheme="minorHAnsi" w:cstheme="minorHAnsi"/>
                      <w:i/>
                      <w:iCs/>
                    </w:rPr>
                    <w:t xml:space="preserve"> </w:t>
                  </w:r>
                  <w:r w:rsidRPr="00741C74">
                    <w:rPr>
                      <w:rFonts w:asciiTheme="minorHAnsi" w:hAnsiTheme="minorHAnsi" w:cstheme="minorHAnsi"/>
                      <w:i/>
                      <w:iCs/>
                    </w:rPr>
                    <w:t>or profession in</w:t>
                  </w:r>
                  <w:r w:rsidR="00211576">
                    <w:rPr>
                      <w:rFonts w:asciiTheme="minorHAnsi" w:hAnsiTheme="minorHAnsi" w:cstheme="minorHAnsi"/>
                      <w:i/>
                      <w:iCs/>
                    </w:rPr>
                    <w:t xml:space="preserve"> </w:t>
                  </w:r>
                  <w:r w:rsidRPr="00741C74">
                    <w:rPr>
                      <w:rFonts w:asciiTheme="minorHAnsi" w:hAnsiTheme="minorHAnsi" w:cstheme="minorHAnsi"/>
                      <w:i/>
                      <w:iCs/>
                    </w:rPr>
                    <w:t>India through a</w:t>
                  </w:r>
                  <w:r w:rsidR="00211576">
                    <w:rPr>
                      <w:rFonts w:asciiTheme="minorHAnsi" w:hAnsiTheme="minorHAnsi" w:cstheme="minorHAnsi"/>
                      <w:i/>
                      <w:iCs/>
                    </w:rPr>
                    <w:t xml:space="preserve"> </w:t>
                  </w:r>
                  <w:r w:rsidRPr="00741C74">
                    <w:rPr>
                      <w:rFonts w:asciiTheme="minorHAnsi" w:hAnsiTheme="minorHAnsi" w:cstheme="minorHAnsi"/>
                      <w:i/>
                      <w:iCs/>
                    </w:rPr>
                    <w:t>branch</w:t>
                  </w:r>
                </w:p>
              </w:tc>
              <w:tc>
                <w:tcPr>
                  <w:tcW w:w="3813" w:type="dxa"/>
                </w:tcPr>
                <w:p w14:paraId="6192816E" w14:textId="0CCA5261" w:rsidR="00A30BCE" w:rsidRPr="00A30BCE" w:rsidRDefault="00A30BCE" w:rsidP="00AA128D">
                  <w:pPr>
                    <w:pStyle w:val="ListParagraph"/>
                    <w:widowControl/>
                    <w:autoSpaceDE/>
                    <w:autoSpaceDN/>
                    <w:spacing w:after="160" w:line="276" w:lineRule="auto"/>
                    <w:jc w:val="both"/>
                    <w:rPr>
                      <w:rFonts w:asciiTheme="minorHAnsi" w:hAnsiTheme="minorHAnsi" w:cstheme="minorHAnsi"/>
                      <w:i/>
                      <w:iCs/>
                    </w:rPr>
                  </w:pPr>
                  <w:r w:rsidRPr="00A30BCE">
                    <w:rPr>
                      <w:rFonts w:asciiTheme="minorHAnsi" w:hAnsiTheme="minorHAnsi" w:cstheme="minorHAnsi"/>
                      <w:i/>
                      <w:iCs/>
                    </w:rPr>
                    <w:t>(a) Conditions specified in Sl.</w:t>
                  </w:r>
                  <w:r w:rsidR="00211576">
                    <w:rPr>
                      <w:rFonts w:asciiTheme="minorHAnsi" w:hAnsiTheme="minorHAnsi" w:cstheme="minorHAnsi"/>
                      <w:i/>
                      <w:iCs/>
                    </w:rPr>
                    <w:t xml:space="preserve"> </w:t>
                  </w:r>
                  <w:r w:rsidRPr="00A30BCE">
                    <w:rPr>
                      <w:rFonts w:asciiTheme="minorHAnsi" w:hAnsiTheme="minorHAnsi" w:cstheme="minorHAnsi"/>
                      <w:i/>
                      <w:iCs/>
                    </w:rPr>
                    <w:t>No. (i) above;</w:t>
                  </w:r>
                </w:p>
                <w:p w14:paraId="50A616AE" w14:textId="177E7776" w:rsidR="00A30BCE" w:rsidRPr="00A30BCE" w:rsidRDefault="00A30BCE" w:rsidP="00AA128D">
                  <w:pPr>
                    <w:pStyle w:val="ListParagraph"/>
                    <w:widowControl/>
                    <w:autoSpaceDE/>
                    <w:autoSpaceDN/>
                    <w:spacing w:after="160" w:line="276" w:lineRule="auto"/>
                    <w:jc w:val="both"/>
                    <w:rPr>
                      <w:rFonts w:asciiTheme="minorHAnsi" w:hAnsiTheme="minorHAnsi" w:cstheme="minorHAnsi"/>
                      <w:i/>
                      <w:iCs/>
                    </w:rPr>
                  </w:pPr>
                  <w:r w:rsidRPr="00A30BCE">
                    <w:rPr>
                      <w:rFonts w:asciiTheme="minorHAnsi" w:hAnsiTheme="minorHAnsi" w:cstheme="minorHAnsi"/>
                      <w:i/>
                      <w:iCs/>
                    </w:rPr>
                    <w:t>(b) he has been carrying on</w:t>
                  </w:r>
                  <w:r w:rsidR="00211576">
                    <w:rPr>
                      <w:rFonts w:asciiTheme="minorHAnsi" w:hAnsiTheme="minorHAnsi" w:cstheme="minorHAnsi"/>
                      <w:i/>
                      <w:iCs/>
                    </w:rPr>
                    <w:t xml:space="preserve"> </w:t>
                  </w:r>
                  <w:r w:rsidRPr="00A30BCE">
                    <w:rPr>
                      <w:rFonts w:asciiTheme="minorHAnsi" w:hAnsiTheme="minorHAnsi" w:cstheme="minorHAnsi"/>
                      <w:i/>
                      <w:iCs/>
                    </w:rPr>
                    <w:t>business or profession in India</w:t>
                  </w:r>
                  <w:r w:rsidR="00211576">
                    <w:rPr>
                      <w:rFonts w:asciiTheme="minorHAnsi" w:hAnsiTheme="minorHAnsi" w:cstheme="minorHAnsi"/>
                      <w:i/>
                      <w:iCs/>
                    </w:rPr>
                    <w:t xml:space="preserve"> </w:t>
                  </w:r>
                  <w:r w:rsidRPr="00A30BCE">
                    <w:rPr>
                      <w:rFonts w:asciiTheme="minorHAnsi" w:hAnsiTheme="minorHAnsi" w:cstheme="minorHAnsi"/>
                      <w:i/>
                      <w:iCs/>
                    </w:rPr>
                    <w:t>continuously for a period of not</w:t>
                  </w:r>
                  <w:r w:rsidR="00211576">
                    <w:rPr>
                      <w:rFonts w:asciiTheme="minorHAnsi" w:hAnsiTheme="minorHAnsi" w:cstheme="minorHAnsi"/>
                      <w:i/>
                      <w:iCs/>
                    </w:rPr>
                    <w:t xml:space="preserve"> </w:t>
                  </w:r>
                  <w:r w:rsidRPr="00A30BCE">
                    <w:rPr>
                      <w:rFonts w:asciiTheme="minorHAnsi" w:hAnsiTheme="minorHAnsi" w:cstheme="minorHAnsi"/>
                      <w:i/>
                      <w:iCs/>
                    </w:rPr>
                    <w:t>less than five years</w:t>
                  </w:r>
                  <w:r w:rsidR="00211576">
                    <w:rPr>
                      <w:rFonts w:asciiTheme="minorHAnsi" w:hAnsiTheme="minorHAnsi" w:cstheme="minorHAnsi"/>
                      <w:i/>
                      <w:iCs/>
                    </w:rPr>
                    <w:t xml:space="preserve"> </w:t>
                  </w:r>
                  <w:r w:rsidRPr="00A30BCE">
                    <w:rPr>
                      <w:rFonts w:asciiTheme="minorHAnsi" w:hAnsiTheme="minorHAnsi" w:cstheme="minorHAnsi"/>
                      <w:i/>
                      <w:iCs/>
                    </w:rPr>
                    <w:t>immediately preceding the date</w:t>
                  </w:r>
                  <w:r w:rsidR="00211576">
                    <w:rPr>
                      <w:rFonts w:asciiTheme="minorHAnsi" w:hAnsiTheme="minorHAnsi" w:cstheme="minorHAnsi"/>
                      <w:i/>
                      <w:iCs/>
                    </w:rPr>
                    <w:t xml:space="preserve"> </w:t>
                  </w:r>
                  <w:r w:rsidRPr="00A30BCE">
                    <w:rPr>
                      <w:rFonts w:asciiTheme="minorHAnsi" w:hAnsiTheme="minorHAnsi" w:cstheme="minorHAnsi"/>
                      <w:i/>
                      <w:iCs/>
                    </w:rPr>
                    <w:t>of the application, and</w:t>
                  </w:r>
                </w:p>
                <w:p w14:paraId="6AB2CEC3" w14:textId="5D608400" w:rsidR="00FA039F" w:rsidRPr="00625F9B" w:rsidRDefault="00A30BCE" w:rsidP="00AA128D">
                  <w:pPr>
                    <w:pStyle w:val="ListParagraph"/>
                    <w:widowControl/>
                    <w:autoSpaceDE/>
                    <w:autoSpaceDN/>
                    <w:spacing w:after="160" w:line="276" w:lineRule="auto"/>
                    <w:jc w:val="both"/>
                    <w:rPr>
                      <w:rFonts w:asciiTheme="minorHAnsi" w:hAnsiTheme="minorHAnsi" w:cstheme="minorHAnsi"/>
                      <w:i/>
                      <w:iCs/>
                    </w:rPr>
                  </w:pPr>
                  <w:r w:rsidRPr="00A30BCE">
                    <w:rPr>
                      <w:rFonts w:asciiTheme="minorHAnsi" w:hAnsiTheme="minorHAnsi" w:cstheme="minorHAnsi"/>
                      <w:i/>
                      <w:iCs/>
                    </w:rPr>
                    <w:t>(c) the value of the fixed assets</w:t>
                  </w:r>
                  <w:r w:rsidR="00211576">
                    <w:rPr>
                      <w:rFonts w:asciiTheme="minorHAnsi" w:hAnsiTheme="minorHAnsi" w:cstheme="minorHAnsi"/>
                      <w:i/>
                      <w:iCs/>
                    </w:rPr>
                    <w:t xml:space="preserve"> </w:t>
                  </w:r>
                  <w:r w:rsidRPr="00A30BCE">
                    <w:rPr>
                      <w:rFonts w:asciiTheme="minorHAnsi" w:hAnsiTheme="minorHAnsi" w:cstheme="minorHAnsi"/>
                      <w:i/>
                      <w:iCs/>
                    </w:rPr>
                    <w:t>in India of such business or</w:t>
                  </w:r>
                  <w:r w:rsidR="00211576">
                    <w:rPr>
                      <w:rFonts w:asciiTheme="minorHAnsi" w:hAnsiTheme="minorHAnsi" w:cstheme="minorHAnsi"/>
                      <w:i/>
                      <w:iCs/>
                    </w:rPr>
                    <w:t xml:space="preserve"> </w:t>
                  </w:r>
                  <w:r w:rsidRPr="00A30BCE">
                    <w:rPr>
                      <w:rFonts w:asciiTheme="minorHAnsi" w:hAnsiTheme="minorHAnsi" w:cstheme="minorHAnsi"/>
                      <w:i/>
                      <w:iCs/>
                    </w:rPr>
                    <w:t>profession as shown in his</w:t>
                  </w:r>
                  <w:r w:rsidR="00211576">
                    <w:rPr>
                      <w:rFonts w:asciiTheme="minorHAnsi" w:hAnsiTheme="minorHAnsi" w:cstheme="minorHAnsi"/>
                      <w:i/>
                      <w:iCs/>
                    </w:rPr>
                    <w:t xml:space="preserve"> </w:t>
                  </w:r>
                  <w:r w:rsidRPr="00A30BCE">
                    <w:rPr>
                      <w:rFonts w:asciiTheme="minorHAnsi" w:hAnsiTheme="minorHAnsi" w:cstheme="minorHAnsi"/>
                      <w:i/>
                      <w:iCs/>
                    </w:rPr>
                    <w:t>books for the tax year which</w:t>
                  </w:r>
                  <w:r w:rsidR="00211576">
                    <w:rPr>
                      <w:rFonts w:asciiTheme="minorHAnsi" w:hAnsiTheme="minorHAnsi" w:cstheme="minorHAnsi"/>
                      <w:i/>
                      <w:iCs/>
                    </w:rPr>
                    <w:t xml:space="preserve"> </w:t>
                  </w:r>
                  <w:r w:rsidRPr="00A30BCE">
                    <w:rPr>
                      <w:rFonts w:asciiTheme="minorHAnsi" w:hAnsiTheme="minorHAnsi" w:cstheme="minorHAnsi"/>
                      <w:i/>
                      <w:iCs/>
                    </w:rPr>
                    <w:t>ended immediately before the</w:t>
                  </w:r>
                  <w:r w:rsidR="00211576">
                    <w:rPr>
                      <w:rFonts w:asciiTheme="minorHAnsi" w:hAnsiTheme="minorHAnsi" w:cstheme="minorHAnsi"/>
                      <w:i/>
                      <w:iCs/>
                    </w:rPr>
                    <w:t xml:space="preserve"> </w:t>
                  </w:r>
                  <w:r w:rsidRPr="00A30BCE">
                    <w:rPr>
                      <w:rFonts w:asciiTheme="minorHAnsi" w:hAnsiTheme="minorHAnsi" w:cstheme="minorHAnsi"/>
                      <w:i/>
                      <w:iCs/>
                    </w:rPr>
                    <w:t>date of the application, or</w:t>
                  </w:r>
                  <w:r w:rsidR="00211576">
                    <w:rPr>
                      <w:rFonts w:asciiTheme="minorHAnsi" w:hAnsiTheme="minorHAnsi" w:cstheme="minorHAnsi"/>
                      <w:i/>
                      <w:iCs/>
                    </w:rPr>
                    <w:t xml:space="preserve"> </w:t>
                  </w:r>
                  <w:r w:rsidRPr="00A30BCE">
                    <w:rPr>
                      <w:rFonts w:asciiTheme="minorHAnsi" w:hAnsiTheme="minorHAnsi" w:cstheme="minorHAnsi"/>
                      <w:i/>
                      <w:iCs/>
                    </w:rPr>
                    <w:t>where the accounts in respect</w:t>
                  </w:r>
                  <w:r w:rsidR="00211576">
                    <w:rPr>
                      <w:rFonts w:asciiTheme="minorHAnsi" w:hAnsiTheme="minorHAnsi" w:cstheme="minorHAnsi"/>
                      <w:i/>
                      <w:iCs/>
                    </w:rPr>
                    <w:t xml:space="preserve"> </w:t>
                  </w:r>
                  <w:r w:rsidRPr="00A30BCE">
                    <w:rPr>
                      <w:rFonts w:asciiTheme="minorHAnsi" w:hAnsiTheme="minorHAnsi" w:cstheme="minorHAnsi"/>
                      <w:i/>
                      <w:iCs/>
                    </w:rPr>
                    <w:t>of such tax year have not been</w:t>
                  </w:r>
                  <w:r w:rsidR="00211576">
                    <w:rPr>
                      <w:rFonts w:asciiTheme="minorHAnsi" w:hAnsiTheme="minorHAnsi" w:cstheme="minorHAnsi"/>
                      <w:i/>
                      <w:iCs/>
                    </w:rPr>
                    <w:t xml:space="preserve"> </w:t>
                  </w:r>
                  <w:r w:rsidRPr="00A30BCE">
                    <w:rPr>
                      <w:rFonts w:asciiTheme="minorHAnsi" w:hAnsiTheme="minorHAnsi" w:cstheme="minorHAnsi"/>
                      <w:i/>
                      <w:iCs/>
                    </w:rPr>
                    <w:t>made up before the said date,</w:t>
                  </w:r>
                  <w:r w:rsidR="00211576">
                    <w:rPr>
                      <w:rFonts w:asciiTheme="minorHAnsi" w:hAnsiTheme="minorHAnsi" w:cstheme="minorHAnsi"/>
                      <w:i/>
                      <w:iCs/>
                    </w:rPr>
                    <w:t xml:space="preserve"> </w:t>
                  </w:r>
                  <w:r w:rsidRPr="00A30BCE">
                    <w:rPr>
                      <w:rFonts w:asciiTheme="minorHAnsi" w:hAnsiTheme="minorHAnsi" w:cstheme="minorHAnsi"/>
                      <w:i/>
                      <w:iCs/>
                    </w:rPr>
                    <w:t>the tax year immediately</w:t>
                  </w:r>
                  <w:r w:rsidR="00211576">
                    <w:rPr>
                      <w:rFonts w:asciiTheme="minorHAnsi" w:hAnsiTheme="minorHAnsi" w:cstheme="minorHAnsi"/>
                      <w:i/>
                      <w:iCs/>
                    </w:rPr>
                    <w:t xml:space="preserve"> </w:t>
                  </w:r>
                  <w:r w:rsidRPr="00A30BCE">
                    <w:rPr>
                      <w:rFonts w:asciiTheme="minorHAnsi" w:hAnsiTheme="minorHAnsi" w:cstheme="minorHAnsi"/>
                      <w:i/>
                      <w:iCs/>
                    </w:rPr>
                    <w:t>preceding that year, exceeds</w:t>
                  </w:r>
                  <w:r w:rsidR="00211576">
                    <w:rPr>
                      <w:rFonts w:asciiTheme="minorHAnsi" w:hAnsiTheme="minorHAnsi" w:cstheme="minorHAnsi"/>
                      <w:i/>
                      <w:iCs/>
                    </w:rPr>
                    <w:t xml:space="preserve"> </w:t>
                  </w:r>
                  <w:r w:rsidRPr="00A30BCE">
                    <w:rPr>
                      <w:rFonts w:asciiTheme="minorHAnsi" w:hAnsiTheme="minorHAnsi" w:cstheme="minorHAnsi"/>
                      <w:i/>
                      <w:iCs/>
                    </w:rPr>
                    <w:t>fifty lakhs of rupees.</w:t>
                  </w:r>
                </w:p>
              </w:tc>
              <w:tc>
                <w:tcPr>
                  <w:tcW w:w="723" w:type="dxa"/>
                </w:tcPr>
                <w:p w14:paraId="68B30DC4" w14:textId="0C032DEC" w:rsidR="00FA039F" w:rsidRDefault="00060041" w:rsidP="00AA128D">
                  <w:pPr>
                    <w:pStyle w:val="ListParagraph"/>
                    <w:widowControl/>
                    <w:autoSpaceDE/>
                    <w:autoSpaceDN/>
                    <w:spacing w:after="160" w:line="276" w:lineRule="auto"/>
                    <w:jc w:val="both"/>
                    <w:rPr>
                      <w:rFonts w:asciiTheme="minorHAnsi" w:hAnsiTheme="minorHAnsi" w:cstheme="minorHAnsi"/>
                      <w:i/>
                      <w:iCs/>
                    </w:rPr>
                  </w:pPr>
                  <w:r>
                    <w:rPr>
                      <w:rFonts w:asciiTheme="minorHAnsi" w:hAnsiTheme="minorHAnsi" w:cstheme="minorHAnsi"/>
                      <w:i/>
                      <w:iCs/>
                    </w:rPr>
                    <w:t>126</w:t>
                  </w:r>
                </w:p>
              </w:tc>
              <w:tc>
                <w:tcPr>
                  <w:tcW w:w="3326" w:type="dxa"/>
                </w:tcPr>
                <w:p w14:paraId="38240CDE" w14:textId="2CE3B41D" w:rsidR="00FA039F" w:rsidRPr="00A37EB1" w:rsidRDefault="00060041" w:rsidP="00AA128D">
                  <w:pPr>
                    <w:pStyle w:val="ListParagraph"/>
                    <w:widowControl/>
                    <w:autoSpaceDE/>
                    <w:autoSpaceDN/>
                    <w:spacing w:after="160" w:line="276" w:lineRule="auto"/>
                    <w:jc w:val="both"/>
                    <w:rPr>
                      <w:rFonts w:asciiTheme="minorHAnsi" w:hAnsiTheme="minorHAnsi" w:cstheme="minorHAnsi"/>
                      <w:i/>
                      <w:iCs/>
                    </w:rPr>
                  </w:pPr>
                  <w:r w:rsidRPr="00060041">
                    <w:rPr>
                      <w:rFonts w:asciiTheme="minorHAnsi" w:hAnsiTheme="minorHAnsi" w:cstheme="minorHAnsi"/>
                      <w:i/>
                      <w:iCs/>
                    </w:rPr>
                    <w:t xml:space="preserve">Any sum </w:t>
                  </w:r>
                  <w:r w:rsidRPr="00192A44">
                    <w:rPr>
                      <w:rFonts w:asciiTheme="minorHAnsi" w:hAnsiTheme="minorHAnsi" w:cstheme="minorHAnsi"/>
                      <w:b/>
                      <w:bCs/>
                      <w:i/>
                      <w:iCs/>
                    </w:rPr>
                    <w:t>not being interest or dividends</w:t>
                  </w:r>
                </w:p>
              </w:tc>
            </w:tr>
          </w:tbl>
          <w:p w14:paraId="36C15EC1" w14:textId="1403C2C5" w:rsidR="00B272F0" w:rsidRPr="004179E6" w:rsidRDefault="005A53E4" w:rsidP="00AA128D">
            <w:pPr>
              <w:pStyle w:val="ListParagraph"/>
              <w:widowControl/>
              <w:numPr>
                <w:ilvl w:val="0"/>
                <w:numId w:val="23"/>
              </w:numPr>
              <w:autoSpaceDE/>
              <w:autoSpaceDN/>
              <w:spacing w:after="160" w:line="276" w:lineRule="auto"/>
              <w:ind w:left="286" w:hanging="283"/>
              <w:jc w:val="both"/>
              <w:rPr>
                <w:rFonts w:asciiTheme="minorHAnsi" w:hAnsiTheme="minorHAnsi" w:cstheme="minorHAnsi"/>
              </w:rPr>
            </w:pPr>
            <w:r w:rsidRPr="004179E6">
              <w:rPr>
                <w:rFonts w:asciiTheme="minorHAnsi" w:hAnsiTheme="minorHAnsi" w:cstheme="minorHAnsi"/>
              </w:rPr>
              <w:lastRenderedPageBreak/>
              <w:t>W</w:t>
            </w:r>
            <w:r w:rsidR="00132B6B">
              <w:rPr>
                <w:rFonts w:asciiTheme="minorHAnsi" w:hAnsiTheme="minorHAnsi" w:cstheme="minorHAnsi"/>
              </w:rPr>
              <w:t xml:space="preserve">.e.f. </w:t>
            </w:r>
            <w:r w:rsidRPr="004179E6">
              <w:rPr>
                <w:rFonts w:asciiTheme="minorHAnsi" w:hAnsiTheme="minorHAnsi" w:cstheme="minorHAnsi"/>
              </w:rPr>
              <w:t>2020-21, dividend income is taxable in the hand</w:t>
            </w:r>
            <w:r w:rsidR="00132B6B">
              <w:rPr>
                <w:rFonts w:asciiTheme="minorHAnsi" w:hAnsiTheme="minorHAnsi" w:cstheme="minorHAnsi"/>
              </w:rPr>
              <w:t>s</w:t>
            </w:r>
            <w:r w:rsidRPr="004179E6">
              <w:rPr>
                <w:rFonts w:asciiTheme="minorHAnsi" w:hAnsiTheme="minorHAnsi" w:cstheme="minorHAnsi"/>
              </w:rPr>
              <w:t xml:space="preserve"> of the shareholder. Thus, due to Rule 29B, there is ambiguity whether the certificate issued under section 195 (1) by the tax department can be applied on dividend income</w:t>
            </w:r>
            <w:r w:rsidR="00FC14A4" w:rsidRPr="004179E6">
              <w:rPr>
                <w:rFonts w:asciiTheme="minorHAnsi" w:hAnsiTheme="minorHAnsi" w:cstheme="minorHAnsi"/>
              </w:rPr>
              <w:t>.</w:t>
            </w:r>
          </w:p>
          <w:p w14:paraId="335CDEC4" w14:textId="77777777" w:rsidR="008A707C" w:rsidRPr="004179E6" w:rsidRDefault="008A707C" w:rsidP="00AA128D">
            <w:pPr>
              <w:spacing w:after="160" w:line="276" w:lineRule="auto"/>
              <w:jc w:val="both"/>
              <w:rPr>
                <w:rFonts w:asciiTheme="minorHAnsi" w:hAnsiTheme="minorHAnsi" w:cstheme="minorHAnsi"/>
                <w:b/>
                <w:bCs/>
              </w:rPr>
            </w:pPr>
            <w:r w:rsidRPr="004179E6">
              <w:rPr>
                <w:rFonts w:asciiTheme="minorHAnsi" w:hAnsiTheme="minorHAnsi" w:cstheme="minorHAnsi"/>
                <w:b/>
                <w:bCs/>
              </w:rPr>
              <w:t>Recommendation</w:t>
            </w:r>
          </w:p>
          <w:p w14:paraId="14F953AF" w14:textId="596B2E11" w:rsidR="0051744A" w:rsidRPr="004179E6" w:rsidRDefault="005A53E4" w:rsidP="00AA128D">
            <w:pPr>
              <w:pStyle w:val="ListParagraph"/>
              <w:widowControl/>
              <w:numPr>
                <w:ilvl w:val="0"/>
                <w:numId w:val="23"/>
              </w:numPr>
              <w:autoSpaceDE/>
              <w:autoSpaceDN/>
              <w:spacing w:after="160" w:line="276" w:lineRule="auto"/>
              <w:ind w:left="286" w:hanging="283"/>
              <w:jc w:val="both"/>
              <w:rPr>
                <w:rFonts w:asciiTheme="minorHAnsi" w:hAnsiTheme="minorHAnsi" w:cstheme="minorHAnsi"/>
              </w:rPr>
            </w:pPr>
            <w:r w:rsidRPr="004179E6">
              <w:rPr>
                <w:rFonts w:asciiTheme="minorHAnsi" w:hAnsiTheme="minorHAnsi" w:cstheme="minorHAnsi"/>
              </w:rPr>
              <w:t xml:space="preserve">In order to bring Rule 29B </w:t>
            </w:r>
            <w:r w:rsidR="00132B6B">
              <w:rPr>
                <w:rFonts w:asciiTheme="minorHAnsi" w:hAnsiTheme="minorHAnsi" w:cstheme="minorHAnsi"/>
              </w:rPr>
              <w:t>of IT Rules 1962</w:t>
            </w:r>
            <w:r w:rsidR="00D8614D">
              <w:rPr>
                <w:rFonts w:asciiTheme="minorHAnsi" w:hAnsiTheme="minorHAnsi" w:cstheme="minorHAnsi"/>
              </w:rPr>
              <w:t xml:space="preserve"> and </w:t>
            </w:r>
            <w:r w:rsidR="0028382D">
              <w:rPr>
                <w:rFonts w:asciiTheme="minorHAnsi" w:hAnsiTheme="minorHAnsi" w:cstheme="minorHAnsi"/>
              </w:rPr>
              <w:t>R</w:t>
            </w:r>
            <w:r w:rsidR="00132B6B">
              <w:rPr>
                <w:rFonts w:asciiTheme="minorHAnsi" w:hAnsiTheme="minorHAnsi" w:cstheme="minorHAnsi"/>
              </w:rPr>
              <w:t>ule</w:t>
            </w:r>
            <w:r w:rsidR="0028382D">
              <w:rPr>
                <w:rFonts w:asciiTheme="minorHAnsi" w:hAnsiTheme="minorHAnsi" w:cstheme="minorHAnsi"/>
              </w:rPr>
              <w:t xml:space="preserve"> 209 of Draft IT</w:t>
            </w:r>
            <w:r w:rsidR="00132B6B">
              <w:rPr>
                <w:rFonts w:asciiTheme="minorHAnsi" w:hAnsiTheme="minorHAnsi" w:cstheme="minorHAnsi"/>
              </w:rPr>
              <w:t xml:space="preserve"> </w:t>
            </w:r>
            <w:r w:rsidR="0028382D">
              <w:rPr>
                <w:rFonts w:asciiTheme="minorHAnsi" w:hAnsiTheme="minorHAnsi" w:cstheme="minorHAnsi"/>
              </w:rPr>
              <w:t>R</w:t>
            </w:r>
            <w:r w:rsidR="00132B6B">
              <w:rPr>
                <w:rFonts w:asciiTheme="minorHAnsi" w:hAnsiTheme="minorHAnsi" w:cstheme="minorHAnsi"/>
              </w:rPr>
              <w:t>ules</w:t>
            </w:r>
            <w:r w:rsidR="0028382D">
              <w:rPr>
                <w:rFonts w:asciiTheme="minorHAnsi" w:hAnsiTheme="minorHAnsi" w:cstheme="minorHAnsi"/>
              </w:rPr>
              <w:t>, 2026)</w:t>
            </w:r>
            <w:r w:rsidRPr="004179E6">
              <w:rPr>
                <w:rFonts w:asciiTheme="minorHAnsi" w:hAnsiTheme="minorHAnsi" w:cstheme="minorHAnsi"/>
              </w:rPr>
              <w:t xml:space="preserve"> in line with the provisions of section 195</w:t>
            </w:r>
            <w:r w:rsidR="001F77DE">
              <w:rPr>
                <w:rFonts w:asciiTheme="minorHAnsi" w:hAnsiTheme="minorHAnsi" w:cstheme="minorHAnsi"/>
              </w:rPr>
              <w:t xml:space="preserve"> of the ITA, 1961 (S. 393 of the ITA, 2025)</w:t>
            </w:r>
            <w:r w:rsidRPr="004179E6">
              <w:rPr>
                <w:rFonts w:asciiTheme="minorHAnsi" w:hAnsiTheme="minorHAnsi" w:cstheme="minorHAnsi"/>
              </w:rPr>
              <w:t>, it is recommended that reference to the word “any other sum, not being dividend” be deleted.</w:t>
            </w:r>
          </w:p>
        </w:tc>
      </w:tr>
      <w:tr w:rsidR="000C0EC1" w:rsidRPr="004179E6" w14:paraId="293837F7" w14:textId="77777777" w:rsidTr="00210D4C">
        <w:trPr>
          <w:trHeight w:val="20"/>
        </w:trPr>
        <w:tc>
          <w:tcPr>
            <w:tcW w:w="512" w:type="dxa"/>
          </w:tcPr>
          <w:p w14:paraId="7D77C06A" w14:textId="77777777" w:rsidR="000C0EC1" w:rsidRPr="004179E6" w:rsidRDefault="000C0EC1"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761D9A51" w14:textId="487F28FF" w:rsidR="000C0EC1" w:rsidRPr="006A70DB" w:rsidRDefault="001D09FF" w:rsidP="00AA128D">
            <w:pPr>
              <w:spacing w:after="160" w:line="276" w:lineRule="auto"/>
              <w:jc w:val="both"/>
              <w:rPr>
                <w:rFonts w:asciiTheme="minorHAnsi" w:hAnsiTheme="minorHAnsi" w:cstheme="minorHAnsi"/>
                <w:b/>
              </w:rPr>
            </w:pPr>
            <w:r w:rsidRPr="006A70DB">
              <w:rPr>
                <w:rFonts w:asciiTheme="minorHAnsi" w:hAnsiTheme="minorHAnsi" w:cstheme="minorHAnsi"/>
                <w:b/>
              </w:rPr>
              <w:t>Representation for relief from tax withholding in case of multiple small ticket transactions</w:t>
            </w:r>
          </w:p>
        </w:tc>
        <w:tc>
          <w:tcPr>
            <w:tcW w:w="10986" w:type="dxa"/>
          </w:tcPr>
          <w:p w14:paraId="63FE8771" w14:textId="3798C3DB" w:rsidR="002D7672" w:rsidRPr="004179E6" w:rsidRDefault="00BE23D7" w:rsidP="00AA128D">
            <w:pPr>
              <w:spacing w:after="160" w:line="276" w:lineRule="auto"/>
              <w:jc w:val="both"/>
              <w:rPr>
                <w:rFonts w:asciiTheme="minorHAnsi" w:hAnsiTheme="minorHAnsi" w:cstheme="minorHAnsi"/>
                <w:b/>
              </w:rPr>
            </w:pPr>
            <w:r w:rsidRPr="004179E6">
              <w:rPr>
                <w:rFonts w:asciiTheme="minorHAnsi" w:hAnsiTheme="minorHAnsi" w:cstheme="minorHAnsi"/>
                <w:b/>
                <w:bCs/>
              </w:rPr>
              <w:t>B</w:t>
            </w:r>
            <w:r w:rsidR="002D7672" w:rsidRPr="004179E6">
              <w:rPr>
                <w:rFonts w:asciiTheme="minorHAnsi" w:hAnsiTheme="minorHAnsi" w:cstheme="minorHAnsi"/>
                <w:b/>
                <w:bCs/>
              </w:rPr>
              <w:t>ackground</w:t>
            </w:r>
          </w:p>
          <w:p w14:paraId="07E2D01B" w14:textId="7C6E4C8B" w:rsidR="002D7672" w:rsidRPr="004179E6" w:rsidRDefault="002D7672" w:rsidP="00AA128D">
            <w:pPr>
              <w:pStyle w:val="ListParagraph"/>
              <w:widowControl/>
              <w:numPr>
                <w:ilvl w:val="0"/>
                <w:numId w:val="77"/>
              </w:numPr>
              <w:autoSpaceDE/>
              <w:autoSpaceDN/>
              <w:spacing w:after="160" w:line="276" w:lineRule="auto"/>
              <w:jc w:val="both"/>
              <w:rPr>
                <w:rFonts w:asciiTheme="minorHAnsi" w:hAnsiTheme="minorHAnsi" w:cstheme="minorHAnsi"/>
              </w:rPr>
            </w:pPr>
            <w:r w:rsidRPr="004179E6">
              <w:rPr>
                <w:rFonts w:asciiTheme="minorHAnsi" w:hAnsiTheme="minorHAnsi" w:cstheme="minorHAnsi"/>
              </w:rPr>
              <w:t xml:space="preserve">As per the existing provisions of the Income Tax Act, 1961 (‘the Act’), certain receipts are subject to tax withholding (‘TDS’) at the rates specified under the Act. Accordingly, if a particular receipt is subject to TDS, the service provider (‘income recipient’) will receive the payment after the payer of income (‘deductor’) deducts the TDS. </w:t>
            </w:r>
          </w:p>
          <w:p w14:paraId="40747D78" w14:textId="4911B3D8" w:rsidR="002D7672" w:rsidRPr="004179E6" w:rsidRDefault="002D7672" w:rsidP="00AA128D">
            <w:pPr>
              <w:pStyle w:val="ListParagraph"/>
              <w:widowControl/>
              <w:numPr>
                <w:ilvl w:val="0"/>
                <w:numId w:val="77"/>
              </w:numPr>
              <w:autoSpaceDE/>
              <w:autoSpaceDN/>
              <w:spacing w:after="160" w:line="276" w:lineRule="auto"/>
              <w:jc w:val="both"/>
              <w:rPr>
                <w:rFonts w:asciiTheme="minorHAnsi" w:hAnsiTheme="minorHAnsi" w:cstheme="minorHAnsi"/>
              </w:rPr>
            </w:pPr>
            <w:r w:rsidRPr="004179E6">
              <w:rPr>
                <w:rFonts w:asciiTheme="minorHAnsi" w:hAnsiTheme="minorHAnsi" w:cstheme="minorHAnsi"/>
              </w:rPr>
              <w:t xml:space="preserve">The deductor after deducting the TDS, deposit the same to the government treasury on behalf of the income recipient. Further, the deductors are required to report these transactions in their quarterly TDS statements whereupon the same are also reflected in Form 26AS/AIS of the income recipient. </w:t>
            </w:r>
          </w:p>
          <w:p w14:paraId="66E4C30C" w14:textId="0EF4DAAC" w:rsidR="002D7672" w:rsidRPr="004179E6" w:rsidRDefault="002D7672" w:rsidP="00AA128D">
            <w:pPr>
              <w:pStyle w:val="ListParagraph"/>
              <w:widowControl/>
              <w:numPr>
                <w:ilvl w:val="0"/>
                <w:numId w:val="77"/>
              </w:numPr>
              <w:autoSpaceDE/>
              <w:autoSpaceDN/>
              <w:spacing w:after="160" w:line="276" w:lineRule="auto"/>
              <w:jc w:val="both"/>
              <w:rPr>
                <w:rFonts w:asciiTheme="minorHAnsi" w:hAnsiTheme="minorHAnsi" w:cstheme="minorHAnsi"/>
              </w:rPr>
            </w:pPr>
            <w:r w:rsidRPr="004179E6">
              <w:rPr>
                <w:rFonts w:asciiTheme="minorHAnsi" w:hAnsiTheme="minorHAnsi" w:cstheme="minorHAnsi"/>
              </w:rPr>
              <w:t xml:space="preserve">Form 26AS is a document capturing details of taxes paid by all deductors and collectors on behalf of the income recipient. It is issued by DGIT under section 285BB </w:t>
            </w:r>
            <w:r w:rsidR="008356CD">
              <w:rPr>
                <w:rFonts w:asciiTheme="minorHAnsi" w:hAnsiTheme="minorHAnsi" w:cstheme="minorHAnsi"/>
              </w:rPr>
              <w:t>of the ITA, 1961 (S. 510 of the ITA, 2025</w:t>
            </w:r>
            <w:r w:rsidR="007D252A">
              <w:rPr>
                <w:rFonts w:asciiTheme="minorHAnsi" w:hAnsiTheme="minorHAnsi" w:cstheme="minorHAnsi"/>
              </w:rPr>
              <w:t>)</w:t>
            </w:r>
            <w:r w:rsidRPr="004179E6">
              <w:rPr>
                <w:rFonts w:asciiTheme="minorHAnsi" w:hAnsiTheme="minorHAnsi" w:cstheme="minorHAnsi"/>
              </w:rPr>
              <w:t xml:space="preserve"> read with Rule 114-I</w:t>
            </w:r>
            <w:r w:rsidR="000116C4">
              <w:rPr>
                <w:rFonts w:asciiTheme="minorHAnsi" w:hAnsiTheme="minorHAnsi" w:cstheme="minorHAnsi"/>
              </w:rPr>
              <w:t xml:space="preserve"> </w:t>
            </w:r>
            <w:r w:rsidR="00FA1619">
              <w:rPr>
                <w:rFonts w:asciiTheme="minorHAnsi" w:hAnsiTheme="minorHAnsi" w:cstheme="minorHAnsi"/>
              </w:rPr>
              <w:t xml:space="preserve">of IT Rules 1961 </w:t>
            </w:r>
            <w:r w:rsidR="000116C4">
              <w:rPr>
                <w:rFonts w:asciiTheme="minorHAnsi" w:hAnsiTheme="minorHAnsi" w:cstheme="minorHAnsi"/>
              </w:rPr>
              <w:t>(R</w:t>
            </w:r>
            <w:r w:rsidR="008A3323">
              <w:rPr>
                <w:rFonts w:asciiTheme="minorHAnsi" w:hAnsiTheme="minorHAnsi" w:cstheme="minorHAnsi"/>
              </w:rPr>
              <w:t>ule</w:t>
            </w:r>
            <w:r w:rsidR="000116C4">
              <w:rPr>
                <w:rFonts w:asciiTheme="minorHAnsi" w:hAnsiTheme="minorHAnsi" w:cstheme="minorHAnsi"/>
              </w:rPr>
              <w:t xml:space="preserve"> 245 of the Draft </w:t>
            </w:r>
            <w:r w:rsidR="00FC3ED7">
              <w:rPr>
                <w:rFonts w:asciiTheme="minorHAnsi" w:hAnsiTheme="minorHAnsi" w:cstheme="minorHAnsi"/>
              </w:rPr>
              <w:t>IT</w:t>
            </w:r>
            <w:r w:rsidR="008A3323">
              <w:rPr>
                <w:rFonts w:asciiTheme="minorHAnsi" w:hAnsiTheme="minorHAnsi" w:cstheme="minorHAnsi"/>
              </w:rPr>
              <w:t xml:space="preserve"> </w:t>
            </w:r>
            <w:r w:rsidR="00FC3ED7">
              <w:rPr>
                <w:rFonts w:asciiTheme="minorHAnsi" w:hAnsiTheme="minorHAnsi" w:cstheme="minorHAnsi"/>
              </w:rPr>
              <w:t>R</w:t>
            </w:r>
            <w:r w:rsidR="008A3323">
              <w:rPr>
                <w:rFonts w:asciiTheme="minorHAnsi" w:hAnsiTheme="minorHAnsi" w:cstheme="minorHAnsi"/>
              </w:rPr>
              <w:t>ules</w:t>
            </w:r>
            <w:r w:rsidR="00FC3ED7">
              <w:rPr>
                <w:rFonts w:asciiTheme="minorHAnsi" w:hAnsiTheme="minorHAnsi" w:cstheme="minorHAnsi"/>
              </w:rPr>
              <w:t>, 2026)</w:t>
            </w:r>
            <w:r w:rsidRPr="004179E6">
              <w:rPr>
                <w:rFonts w:asciiTheme="minorHAnsi" w:hAnsiTheme="minorHAnsi" w:cstheme="minorHAnsi"/>
              </w:rPr>
              <w:t xml:space="preserve">. Such Form 26AS </w:t>
            </w:r>
            <w:r w:rsidR="00D77DDF">
              <w:rPr>
                <w:rFonts w:asciiTheme="minorHAnsi" w:hAnsiTheme="minorHAnsi" w:cstheme="minorHAnsi"/>
              </w:rPr>
              <w:t>(</w:t>
            </w:r>
            <w:r w:rsidR="00642132">
              <w:rPr>
                <w:rFonts w:asciiTheme="minorHAnsi" w:hAnsiTheme="minorHAnsi" w:cstheme="minorHAnsi"/>
              </w:rPr>
              <w:t xml:space="preserve">New </w:t>
            </w:r>
            <w:r w:rsidR="00D77DDF">
              <w:rPr>
                <w:rFonts w:asciiTheme="minorHAnsi" w:hAnsiTheme="minorHAnsi" w:cstheme="minorHAnsi"/>
              </w:rPr>
              <w:t>Form 168 as per R</w:t>
            </w:r>
            <w:r w:rsidR="00FA1619">
              <w:rPr>
                <w:rFonts w:asciiTheme="minorHAnsi" w:hAnsiTheme="minorHAnsi" w:cstheme="minorHAnsi"/>
              </w:rPr>
              <w:t xml:space="preserve">ule </w:t>
            </w:r>
            <w:r w:rsidR="009E45BB">
              <w:rPr>
                <w:rFonts w:asciiTheme="minorHAnsi" w:hAnsiTheme="minorHAnsi" w:cstheme="minorHAnsi"/>
              </w:rPr>
              <w:t>245</w:t>
            </w:r>
            <w:r w:rsidR="00FA1619">
              <w:rPr>
                <w:rFonts w:asciiTheme="minorHAnsi" w:hAnsiTheme="minorHAnsi" w:cstheme="minorHAnsi"/>
              </w:rPr>
              <w:t xml:space="preserve"> of Draft IT Rules 2026</w:t>
            </w:r>
            <w:r w:rsidR="009E45BB">
              <w:rPr>
                <w:rFonts w:asciiTheme="minorHAnsi" w:hAnsiTheme="minorHAnsi" w:cstheme="minorHAnsi"/>
              </w:rPr>
              <w:t>)</w:t>
            </w:r>
            <w:r w:rsidRPr="004179E6">
              <w:rPr>
                <w:rFonts w:asciiTheme="minorHAnsi" w:hAnsiTheme="minorHAnsi" w:cstheme="minorHAnsi"/>
              </w:rPr>
              <w:t xml:space="preserve"> is a dynamic document and gets updated as and when the deductor makes amendment in their TDS returns. </w:t>
            </w:r>
          </w:p>
          <w:p w14:paraId="498A3D93" w14:textId="77777777" w:rsidR="002D7672" w:rsidRPr="004179E6" w:rsidRDefault="002D7672" w:rsidP="00AA128D">
            <w:pPr>
              <w:pStyle w:val="ListParagraph"/>
              <w:widowControl/>
              <w:numPr>
                <w:ilvl w:val="0"/>
                <w:numId w:val="77"/>
              </w:numPr>
              <w:autoSpaceDE/>
              <w:autoSpaceDN/>
              <w:spacing w:after="160" w:line="276" w:lineRule="auto"/>
              <w:jc w:val="both"/>
              <w:rPr>
                <w:rFonts w:asciiTheme="minorHAnsi" w:hAnsiTheme="minorHAnsi" w:cstheme="minorHAnsi"/>
              </w:rPr>
            </w:pPr>
            <w:r w:rsidRPr="004179E6">
              <w:rPr>
                <w:rFonts w:asciiTheme="minorHAnsi" w:hAnsiTheme="minorHAnsi" w:cstheme="minorHAnsi"/>
              </w:rPr>
              <w:t>Typically, service or consumer facing industries having voluminous transactions, small ticket transactions with multiple deductors, face major challenges due to mismatch of TDS between the books of income recipient and deductor, multi-year reconciliation of receipts between books of accounts and Form 26AS and maintaining the physical copies of TDS certificates.</w:t>
            </w:r>
          </w:p>
          <w:p w14:paraId="7416BA0E" w14:textId="30046029" w:rsidR="002D7672" w:rsidRPr="004179E6" w:rsidRDefault="002D7672" w:rsidP="00AA128D">
            <w:pPr>
              <w:pStyle w:val="ListParagraph"/>
              <w:widowControl/>
              <w:numPr>
                <w:ilvl w:val="0"/>
                <w:numId w:val="77"/>
              </w:numPr>
              <w:autoSpaceDE/>
              <w:autoSpaceDN/>
              <w:spacing w:after="160" w:line="276" w:lineRule="auto"/>
              <w:jc w:val="both"/>
              <w:rPr>
                <w:rFonts w:asciiTheme="minorHAnsi" w:hAnsiTheme="minorHAnsi" w:cstheme="minorHAnsi"/>
              </w:rPr>
            </w:pPr>
            <w:r w:rsidRPr="004179E6">
              <w:rPr>
                <w:rFonts w:asciiTheme="minorHAnsi" w:hAnsiTheme="minorHAnsi" w:cstheme="minorHAnsi"/>
              </w:rPr>
              <w:lastRenderedPageBreak/>
              <w:t>Rule 37BA(3)(i)/(ii)</w:t>
            </w:r>
            <w:r w:rsidR="008C14BC">
              <w:rPr>
                <w:rFonts w:asciiTheme="minorHAnsi" w:hAnsiTheme="minorHAnsi" w:cstheme="minorHAnsi"/>
              </w:rPr>
              <w:t xml:space="preserve"> of the IT</w:t>
            </w:r>
            <w:r w:rsidR="0058039A">
              <w:rPr>
                <w:rFonts w:asciiTheme="minorHAnsi" w:hAnsiTheme="minorHAnsi" w:cstheme="minorHAnsi"/>
              </w:rPr>
              <w:t xml:space="preserve"> </w:t>
            </w:r>
            <w:r w:rsidR="008C14BC">
              <w:rPr>
                <w:rFonts w:asciiTheme="minorHAnsi" w:hAnsiTheme="minorHAnsi" w:cstheme="minorHAnsi"/>
              </w:rPr>
              <w:t>R</w:t>
            </w:r>
            <w:r w:rsidR="0058039A">
              <w:rPr>
                <w:rFonts w:asciiTheme="minorHAnsi" w:hAnsiTheme="minorHAnsi" w:cstheme="minorHAnsi"/>
              </w:rPr>
              <w:t>ules</w:t>
            </w:r>
            <w:r w:rsidR="008C14BC">
              <w:rPr>
                <w:rFonts w:asciiTheme="minorHAnsi" w:hAnsiTheme="minorHAnsi" w:cstheme="minorHAnsi"/>
              </w:rPr>
              <w:t>, 1962 (R</w:t>
            </w:r>
            <w:r w:rsidR="0058039A">
              <w:rPr>
                <w:rFonts w:asciiTheme="minorHAnsi" w:hAnsiTheme="minorHAnsi" w:cstheme="minorHAnsi"/>
              </w:rPr>
              <w:t>ule</w:t>
            </w:r>
            <w:r w:rsidR="008C14BC">
              <w:rPr>
                <w:rFonts w:asciiTheme="minorHAnsi" w:hAnsiTheme="minorHAnsi" w:cstheme="minorHAnsi"/>
              </w:rPr>
              <w:t xml:space="preserve"> </w:t>
            </w:r>
            <w:r w:rsidR="00622662">
              <w:rPr>
                <w:rFonts w:asciiTheme="minorHAnsi" w:hAnsiTheme="minorHAnsi" w:cstheme="minorHAnsi"/>
              </w:rPr>
              <w:t>203 of the Draft IT</w:t>
            </w:r>
            <w:r w:rsidR="0058039A">
              <w:rPr>
                <w:rFonts w:asciiTheme="minorHAnsi" w:hAnsiTheme="minorHAnsi" w:cstheme="minorHAnsi"/>
              </w:rPr>
              <w:t xml:space="preserve"> </w:t>
            </w:r>
            <w:r w:rsidR="00622662">
              <w:rPr>
                <w:rFonts w:asciiTheme="minorHAnsi" w:hAnsiTheme="minorHAnsi" w:cstheme="minorHAnsi"/>
              </w:rPr>
              <w:t>R</w:t>
            </w:r>
            <w:r w:rsidR="0058039A">
              <w:rPr>
                <w:rFonts w:asciiTheme="minorHAnsi" w:hAnsiTheme="minorHAnsi" w:cstheme="minorHAnsi"/>
              </w:rPr>
              <w:t>ules</w:t>
            </w:r>
            <w:r w:rsidR="00622662">
              <w:rPr>
                <w:rFonts w:asciiTheme="minorHAnsi" w:hAnsiTheme="minorHAnsi" w:cstheme="minorHAnsi"/>
              </w:rPr>
              <w:t xml:space="preserve"> 2026)</w:t>
            </w:r>
            <w:r w:rsidRPr="004179E6">
              <w:rPr>
                <w:rFonts w:asciiTheme="minorHAnsi" w:hAnsiTheme="minorHAnsi" w:cstheme="minorHAnsi"/>
              </w:rPr>
              <w:t xml:space="preserve"> provides that TDS credit shall be given in the year in which corresponding income is assessable and if corresponding income is assessable over more than one year, then TDS credit shall also be prorated across multiple year. </w:t>
            </w:r>
            <w:r w:rsidR="008551EE" w:rsidRPr="004179E6">
              <w:rPr>
                <w:rFonts w:asciiTheme="minorHAnsi" w:hAnsiTheme="minorHAnsi" w:cstheme="minorHAnsi"/>
              </w:rPr>
              <w:t>Therefore</w:t>
            </w:r>
            <w:r w:rsidRPr="004179E6">
              <w:rPr>
                <w:rFonts w:asciiTheme="minorHAnsi" w:hAnsiTheme="minorHAnsi" w:cstheme="minorHAnsi"/>
              </w:rPr>
              <w:t xml:space="preserve">, for the purpose of claiming credit of TDS in the return of income, the income recipient is also required to undertake reconciliation of TDS credit/receipts reflected in Form 26AS </w:t>
            </w:r>
            <w:r w:rsidR="005159BD">
              <w:rPr>
                <w:rFonts w:asciiTheme="minorHAnsi" w:hAnsiTheme="minorHAnsi" w:cstheme="minorHAnsi"/>
              </w:rPr>
              <w:t>(</w:t>
            </w:r>
            <w:r w:rsidR="00642132">
              <w:rPr>
                <w:rFonts w:asciiTheme="minorHAnsi" w:hAnsiTheme="minorHAnsi" w:cstheme="minorHAnsi"/>
              </w:rPr>
              <w:t xml:space="preserve">New </w:t>
            </w:r>
            <w:r w:rsidR="005159BD">
              <w:rPr>
                <w:rFonts w:asciiTheme="minorHAnsi" w:hAnsiTheme="minorHAnsi" w:cstheme="minorHAnsi"/>
              </w:rPr>
              <w:t>Form 186</w:t>
            </w:r>
            <w:r w:rsidR="00F0617C">
              <w:rPr>
                <w:rFonts w:asciiTheme="minorHAnsi" w:hAnsiTheme="minorHAnsi" w:cstheme="minorHAnsi"/>
              </w:rPr>
              <w:t xml:space="preserve">) </w:t>
            </w:r>
            <w:r w:rsidRPr="004179E6">
              <w:rPr>
                <w:rFonts w:asciiTheme="minorHAnsi" w:hAnsiTheme="minorHAnsi" w:cstheme="minorHAnsi"/>
              </w:rPr>
              <w:t xml:space="preserve">with TDS/revenue as offered in the books of accounts. </w:t>
            </w:r>
          </w:p>
          <w:p w14:paraId="075CD0DF" w14:textId="368428AC" w:rsidR="0049640B" w:rsidRPr="004179E6" w:rsidRDefault="002D7672" w:rsidP="00AA128D">
            <w:pPr>
              <w:pStyle w:val="ListParagraph"/>
              <w:widowControl/>
              <w:numPr>
                <w:ilvl w:val="0"/>
                <w:numId w:val="77"/>
              </w:numPr>
              <w:autoSpaceDE/>
              <w:autoSpaceDN/>
              <w:spacing w:after="160" w:line="276" w:lineRule="auto"/>
              <w:jc w:val="both"/>
              <w:rPr>
                <w:rFonts w:asciiTheme="minorHAnsi" w:hAnsiTheme="minorHAnsi" w:cstheme="minorHAnsi"/>
              </w:rPr>
            </w:pPr>
            <w:r w:rsidRPr="004179E6">
              <w:rPr>
                <w:rFonts w:asciiTheme="minorHAnsi" w:hAnsiTheme="minorHAnsi" w:cstheme="minorHAnsi"/>
              </w:rPr>
              <w:t>Section 155(20) of the Act</w:t>
            </w:r>
            <w:r w:rsidR="00913C10">
              <w:rPr>
                <w:rFonts w:asciiTheme="minorHAnsi" w:hAnsiTheme="minorHAnsi" w:cstheme="minorHAnsi"/>
              </w:rPr>
              <w:t>, 196</w:t>
            </w:r>
            <w:r w:rsidR="00594294">
              <w:rPr>
                <w:rFonts w:asciiTheme="minorHAnsi" w:hAnsiTheme="minorHAnsi" w:cstheme="minorHAnsi"/>
              </w:rPr>
              <w:t>1</w:t>
            </w:r>
            <w:r w:rsidR="00913C10">
              <w:rPr>
                <w:rFonts w:asciiTheme="minorHAnsi" w:hAnsiTheme="minorHAnsi" w:cstheme="minorHAnsi"/>
              </w:rPr>
              <w:t xml:space="preserve"> (S. 288 of the ITA, 2025)</w:t>
            </w:r>
            <w:r w:rsidRPr="004179E6">
              <w:rPr>
                <w:rFonts w:asciiTheme="minorHAnsi" w:hAnsiTheme="minorHAnsi" w:cstheme="minorHAnsi"/>
              </w:rPr>
              <w:t xml:space="preserve"> also reinforces the fact that TDS credit shall be granted in the year in which the revenue is offered to tax. In terms of this </w:t>
            </w:r>
            <w:r w:rsidR="007E1A53">
              <w:rPr>
                <w:rFonts w:asciiTheme="minorHAnsi" w:hAnsiTheme="minorHAnsi" w:cstheme="minorHAnsi"/>
              </w:rPr>
              <w:t>provision</w:t>
            </w:r>
            <w:r w:rsidRPr="004179E6">
              <w:rPr>
                <w:rFonts w:asciiTheme="minorHAnsi" w:hAnsiTheme="minorHAnsi" w:cstheme="minorHAnsi"/>
              </w:rPr>
              <w:t>, if the income is offered to tax by the deductee in earlier year (-say Year 1) but deductor deducts tax in subsequent year (-say Year 2), the deductee is required to make separate application to the AO to seek credit in earlier year (Year 1)</w:t>
            </w:r>
            <w:r w:rsidR="007D47DB" w:rsidRPr="004179E6">
              <w:rPr>
                <w:rFonts w:asciiTheme="minorHAnsi" w:hAnsiTheme="minorHAnsi" w:cstheme="minorHAnsi"/>
              </w:rPr>
              <w:t>.</w:t>
            </w:r>
            <w:r w:rsidRPr="004179E6">
              <w:rPr>
                <w:rFonts w:asciiTheme="minorHAnsi" w:hAnsiTheme="minorHAnsi" w:cstheme="minorHAnsi"/>
              </w:rPr>
              <w:t xml:space="preserve"> This further adds to the challenges faced by the income recipient in reconciliating the income and corresponding claim of TDS credit.</w:t>
            </w:r>
            <w:r w:rsidR="005C5A9A" w:rsidRPr="004179E6">
              <w:rPr>
                <w:rFonts w:asciiTheme="minorHAnsi" w:hAnsiTheme="minorHAnsi" w:cstheme="minorHAnsi"/>
              </w:rPr>
              <w:t xml:space="preserve">                                </w:t>
            </w:r>
          </w:p>
          <w:p w14:paraId="1C52BF4D" w14:textId="55BBA275" w:rsidR="002D7672" w:rsidRPr="004179E6" w:rsidRDefault="002D7672" w:rsidP="00AA128D">
            <w:pPr>
              <w:pStyle w:val="ListParagraph"/>
              <w:widowControl/>
              <w:numPr>
                <w:ilvl w:val="0"/>
                <w:numId w:val="77"/>
              </w:numPr>
              <w:autoSpaceDE/>
              <w:autoSpaceDN/>
              <w:spacing w:after="160" w:line="276" w:lineRule="auto"/>
              <w:jc w:val="both"/>
              <w:rPr>
                <w:rFonts w:asciiTheme="minorHAnsi" w:hAnsiTheme="minorHAnsi" w:cstheme="minorHAnsi"/>
              </w:rPr>
            </w:pPr>
            <w:r w:rsidRPr="004179E6">
              <w:rPr>
                <w:rFonts w:asciiTheme="minorHAnsi" w:hAnsiTheme="minorHAnsi" w:cstheme="minorHAnsi"/>
              </w:rPr>
              <w:t>Such reconciliation exercise poses considerable challenges to the income recipient due to the voluminous transactions and loss of TDS credit for unreconciled transactions. This defeats the government’s objective of ‘ease of doing business’. The same is explained in detail below.</w:t>
            </w:r>
          </w:p>
          <w:p w14:paraId="654D9B66" w14:textId="77777777" w:rsidR="002D7672" w:rsidRPr="004179E6" w:rsidRDefault="002D7672" w:rsidP="00AA128D">
            <w:pPr>
              <w:pStyle w:val="ListParagraph"/>
              <w:widowControl/>
              <w:numPr>
                <w:ilvl w:val="0"/>
                <w:numId w:val="77"/>
              </w:numPr>
              <w:autoSpaceDE/>
              <w:autoSpaceDN/>
              <w:spacing w:after="160" w:line="276" w:lineRule="auto"/>
              <w:jc w:val="both"/>
              <w:rPr>
                <w:rFonts w:asciiTheme="minorHAnsi" w:hAnsiTheme="minorHAnsi" w:cstheme="minorHAnsi"/>
              </w:rPr>
            </w:pPr>
            <w:r w:rsidRPr="004179E6">
              <w:rPr>
                <w:rFonts w:asciiTheme="minorHAnsi" w:hAnsiTheme="minorHAnsi" w:cstheme="minorHAnsi"/>
              </w:rPr>
              <w:t xml:space="preserve">At present, TDS is done by the deductor at specified statutory rate (-say, 0.1% or 2%) on the gross amount of revenue, which results in higher than current effective tax rate (‘ETR’) on net income for various income recipients – especially in service industries, leading to significant refund position and working capital blockage as there are delays in processing/ encashing of the refunds in the form of TDS due to reconciliation mismatches. </w:t>
            </w:r>
          </w:p>
          <w:p w14:paraId="1E357452" w14:textId="631B3840" w:rsidR="002D7672" w:rsidRPr="004179E6" w:rsidRDefault="002D7672" w:rsidP="00AA128D">
            <w:pPr>
              <w:pStyle w:val="ListParagraph"/>
              <w:widowControl/>
              <w:numPr>
                <w:ilvl w:val="0"/>
                <w:numId w:val="77"/>
              </w:numPr>
              <w:autoSpaceDE/>
              <w:autoSpaceDN/>
              <w:spacing w:after="160" w:line="276" w:lineRule="auto"/>
              <w:jc w:val="both"/>
              <w:rPr>
                <w:rFonts w:asciiTheme="minorHAnsi" w:hAnsiTheme="minorHAnsi" w:cstheme="minorHAnsi"/>
              </w:rPr>
            </w:pPr>
            <w:r w:rsidRPr="004179E6">
              <w:rPr>
                <w:rFonts w:asciiTheme="minorHAnsi" w:hAnsiTheme="minorHAnsi" w:cstheme="minorHAnsi"/>
              </w:rPr>
              <w:t xml:space="preserve">While the Act provides the option of availing nil or lower TDS certificate , the process involves intense scrutiny and reluctance on the part of income tax department to issue nil or lower TDS certificate. </w:t>
            </w:r>
          </w:p>
          <w:p w14:paraId="63F5F821" w14:textId="77777777" w:rsidR="002D7672" w:rsidRPr="004179E6" w:rsidRDefault="002D7672" w:rsidP="00AA128D">
            <w:pPr>
              <w:pStyle w:val="ListParagraph"/>
              <w:widowControl/>
              <w:numPr>
                <w:ilvl w:val="0"/>
                <w:numId w:val="77"/>
              </w:numPr>
              <w:autoSpaceDE/>
              <w:autoSpaceDN/>
              <w:spacing w:after="160" w:line="276" w:lineRule="auto"/>
              <w:jc w:val="both"/>
              <w:rPr>
                <w:rFonts w:asciiTheme="minorHAnsi" w:hAnsiTheme="minorHAnsi" w:cstheme="minorHAnsi"/>
              </w:rPr>
            </w:pPr>
            <w:r w:rsidRPr="004179E6">
              <w:rPr>
                <w:rFonts w:asciiTheme="minorHAnsi" w:hAnsiTheme="minorHAnsi" w:cstheme="minorHAnsi"/>
              </w:rPr>
              <w:t>Also, TDS Assessing Officers (‘AO’) seldom give NIL TDS certificates. At the highest, they give certificates with reduced rates – say, 0.1% (as the AO has inherent apprehension that the NIL TDS certificates may be misused), which makes compliance and reconciliation even more cumbersome.</w:t>
            </w:r>
          </w:p>
          <w:p w14:paraId="36948D49" w14:textId="77777777" w:rsidR="002D7672" w:rsidRPr="004179E6" w:rsidRDefault="002D7672" w:rsidP="00AA128D">
            <w:pPr>
              <w:pStyle w:val="ListParagraph"/>
              <w:widowControl/>
              <w:numPr>
                <w:ilvl w:val="0"/>
                <w:numId w:val="77"/>
              </w:numPr>
              <w:autoSpaceDE/>
              <w:autoSpaceDN/>
              <w:spacing w:after="160" w:line="276" w:lineRule="auto"/>
              <w:jc w:val="both"/>
              <w:rPr>
                <w:rFonts w:asciiTheme="minorHAnsi" w:hAnsiTheme="minorHAnsi" w:cstheme="minorHAnsi"/>
              </w:rPr>
            </w:pPr>
            <w:r w:rsidRPr="004179E6">
              <w:rPr>
                <w:rFonts w:asciiTheme="minorHAnsi" w:hAnsiTheme="minorHAnsi" w:cstheme="minorHAnsi"/>
              </w:rPr>
              <w:lastRenderedPageBreak/>
              <w:t>The following are the key challenges being faced by the business under the existing TDS provisions:</w:t>
            </w:r>
          </w:p>
          <w:p w14:paraId="318B53B8" w14:textId="77777777" w:rsidR="002D7672" w:rsidRPr="004179E6" w:rsidRDefault="002D7672" w:rsidP="00AA128D">
            <w:pPr>
              <w:pStyle w:val="ListParagraph"/>
              <w:widowControl/>
              <w:numPr>
                <w:ilvl w:val="0"/>
                <w:numId w:val="57"/>
              </w:numPr>
              <w:autoSpaceDE/>
              <w:autoSpaceDN/>
              <w:spacing w:after="160" w:line="276" w:lineRule="auto"/>
              <w:ind w:left="567" w:hanging="567"/>
              <w:jc w:val="both"/>
              <w:rPr>
                <w:rFonts w:asciiTheme="minorHAnsi" w:hAnsiTheme="minorHAnsi" w:cstheme="minorHAnsi"/>
                <w:b/>
                <w:u w:val="single"/>
              </w:rPr>
            </w:pPr>
            <w:r w:rsidRPr="004179E6">
              <w:rPr>
                <w:rFonts w:asciiTheme="minorHAnsi" w:hAnsiTheme="minorHAnsi" w:cstheme="minorHAnsi"/>
                <w:b/>
                <w:i/>
                <w:u w:val="single"/>
              </w:rPr>
              <w:t>Challenges in transactional reconciliation of receipts due to voluminous transactions:</w:t>
            </w:r>
          </w:p>
          <w:p w14:paraId="4E041D86" w14:textId="20288250" w:rsidR="00167F49" w:rsidRPr="004179E6" w:rsidRDefault="002D7672" w:rsidP="00AA128D">
            <w:pPr>
              <w:pStyle w:val="ListParagraph"/>
              <w:widowControl/>
              <w:numPr>
                <w:ilvl w:val="1"/>
                <w:numId w:val="78"/>
              </w:numPr>
              <w:autoSpaceDE/>
              <w:autoSpaceDN/>
              <w:spacing w:after="160" w:line="276" w:lineRule="auto"/>
              <w:ind w:left="956"/>
              <w:jc w:val="both"/>
              <w:rPr>
                <w:rFonts w:asciiTheme="minorHAnsi" w:hAnsiTheme="minorHAnsi" w:cstheme="minorHAnsi"/>
              </w:rPr>
            </w:pPr>
            <w:r w:rsidRPr="004179E6">
              <w:rPr>
                <w:rFonts w:asciiTheme="minorHAnsi" w:hAnsiTheme="minorHAnsi" w:cstheme="minorHAnsi"/>
              </w:rPr>
              <w:t xml:space="preserve">For the purpose of claiming TDS credit pertaining to the voluminous transactions, reflected in Form 26AS </w:t>
            </w:r>
            <w:r w:rsidR="00F41145">
              <w:rPr>
                <w:rFonts w:asciiTheme="minorHAnsi" w:hAnsiTheme="minorHAnsi" w:cstheme="minorHAnsi"/>
              </w:rPr>
              <w:t>(</w:t>
            </w:r>
            <w:r w:rsidR="00B97551">
              <w:rPr>
                <w:rFonts w:asciiTheme="minorHAnsi" w:hAnsiTheme="minorHAnsi" w:cstheme="minorHAnsi"/>
              </w:rPr>
              <w:t>New F</w:t>
            </w:r>
            <w:r w:rsidR="00F41145">
              <w:rPr>
                <w:rFonts w:asciiTheme="minorHAnsi" w:hAnsiTheme="minorHAnsi" w:cstheme="minorHAnsi"/>
              </w:rPr>
              <w:t xml:space="preserve">orm 168) </w:t>
            </w:r>
            <w:r w:rsidRPr="004179E6">
              <w:rPr>
                <w:rFonts w:asciiTheme="minorHAnsi" w:hAnsiTheme="minorHAnsi" w:cstheme="minorHAnsi"/>
              </w:rPr>
              <w:t>of the income recipient, there is a need to reconcile the revenue offered in the books of accounts vis a vis the receipts reflected in Form 26AS</w:t>
            </w:r>
            <w:r w:rsidR="00F41145">
              <w:rPr>
                <w:rFonts w:asciiTheme="minorHAnsi" w:hAnsiTheme="minorHAnsi" w:cstheme="minorHAnsi"/>
              </w:rPr>
              <w:t xml:space="preserve"> (</w:t>
            </w:r>
            <w:r w:rsidR="00B97551">
              <w:rPr>
                <w:rFonts w:asciiTheme="minorHAnsi" w:hAnsiTheme="minorHAnsi" w:cstheme="minorHAnsi"/>
              </w:rPr>
              <w:t>New F</w:t>
            </w:r>
            <w:r w:rsidR="00F41145">
              <w:rPr>
                <w:rFonts w:asciiTheme="minorHAnsi" w:hAnsiTheme="minorHAnsi" w:cstheme="minorHAnsi"/>
              </w:rPr>
              <w:t>orm 168)</w:t>
            </w:r>
            <w:r w:rsidRPr="004179E6">
              <w:rPr>
                <w:rFonts w:asciiTheme="minorHAnsi" w:hAnsiTheme="minorHAnsi" w:cstheme="minorHAnsi"/>
              </w:rPr>
              <w:t>.</w:t>
            </w:r>
          </w:p>
          <w:p w14:paraId="753DA2CF" w14:textId="2AD64B09" w:rsidR="002D7672" w:rsidRPr="004179E6" w:rsidRDefault="002D7672" w:rsidP="00AA128D">
            <w:pPr>
              <w:pStyle w:val="ListParagraph"/>
              <w:widowControl/>
              <w:numPr>
                <w:ilvl w:val="1"/>
                <w:numId w:val="78"/>
              </w:numPr>
              <w:autoSpaceDE/>
              <w:autoSpaceDN/>
              <w:spacing w:after="160" w:line="276" w:lineRule="auto"/>
              <w:ind w:left="956"/>
              <w:jc w:val="both"/>
              <w:rPr>
                <w:rFonts w:asciiTheme="minorHAnsi" w:hAnsiTheme="minorHAnsi" w:cstheme="minorHAnsi"/>
              </w:rPr>
            </w:pPr>
            <w:r w:rsidRPr="004179E6">
              <w:rPr>
                <w:rFonts w:asciiTheme="minorHAnsi" w:hAnsiTheme="minorHAnsi" w:cstheme="minorHAnsi"/>
              </w:rPr>
              <w:t xml:space="preserve">Due to huge volume of transactions, multiple issues in reconciling the TDS credit lead to loss of TDS credit viz </w:t>
            </w:r>
          </w:p>
          <w:p w14:paraId="10F1F936" w14:textId="16DFDC4B" w:rsidR="00167F49" w:rsidRPr="004179E6" w:rsidRDefault="002D7672" w:rsidP="00AA128D">
            <w:pPr>
              <w:pStyle w:val="ListParagraph"/>
              <w:widowControl/>
              <w:numPr>
                <w:ilvl w:val="1"/>
                <w:numId w:val="56"/>
              </w:numPr>
              <w:autoSpaceDE/>
              <w:autoSpaceDN/>
              <w:spacing w:after="160" w:line="276" w:lineRule="auto"/>
              <w:ind w:left="1523" w:hanging="503"/>
              <w:jc w:val="both"/>
              <w:rPr>
                <w:rFonts w:asciiTheme="minorHAnsi" w:hAnsiTheme="minorHAnsi" w:cstheme="minorHAnsi"/>
              </w:rPr>
            </w:pPr>
            <w:r w:rsidRPr="004179E6">
              <w:rPr>
                <w:rFonts w:asciiTheme="minorHAnsi" w:hAnsiTheme="minorHAnsi" w:cstheme="minorHAnsi"/>
              </w:rPr>
              <w:t>Mismatch in timing of reporting of transaction by the income recipient vis a vis recording of expense corresponding to such transaction in books of accounts by deductor, specifically with respect to year end transaction which is recorded by deductors in earlier year and reported by income recipient in subsequent year or vice versa;</w:t>
            </w:r>
          </w:p>
          <w:p w14:paraId="4E2D9A38" w14:textId="6DB78B2B" w:rsidR="00115E01" w:rsidRPr="004179E6" w:rsidRDefault="002D7672" w:rsidP="00AA128D">
            <w:pPr>
              <w:pStyle w:val="ListParagraph"/>
              <w:widowControl/>
              <w:numPr>
                <w:ilvl w:val="1"/>
                <w:numId w:val="56"/>
              </w:numPr>
              <w:autoSpaceDE/>
              <w:autoSpaceDN/>
              <w:spacing w:after="160" w:line="276" w:lineRule="auto"/>
              <w:ind w:left="1523" w:hanging="503"/>
              <w:jc w:val="both"/>
              <w:rPr>
                <w:rFonts w:asciiTheme="minorHAnsi" w:hAnsiTheme="minorHAnsi" w:cstheme="minorHAnsi"/>
              </w:rPr>
            </w:pPr>
            <w:r w:rsidRPr="004179E6">
              <w:rPr>
                <w:rFonts w:asciiTheme="minorHAnsi" w:hAnsiTheme="minorHAnsi" w:cstheme="minorHAnsi"/>
              </w:rPr>
              <w:t>TDS is also required on advance payments which may be appropriated subsequently against multiple invoices which may fall across different tax years. Sometimes the appropriation of advance payments is different in books of deductor and books of income recipient if there are multiple contracts between the same parties.</w:t>
            </w:r>
          </w:p>
          <w:p w14:paraId="4B80C51C" w14:textId="0F42EF94" w:rsidR="00115E01" w:rsidRPr="004179E6" w:rsidRDefault="002D7672" w:rsidP="00AA128D">
            <w:pPr>
              <w:pStyle w:val="ListParagraph"/>
              <w:widowControl/>
              <w:numPr>
                <w:ilvl w:val="1"/>
                <w:numId w:val="56"/>
              </w:numPr>
              <w:autoSpaceDE/>
              <w:autoSpaceDN/>
              <w:spacing w:after="160" w:line="276" w:lineRule="auto"/>
              <w:ind w:left="1523" w:hanging="503"/>
              <w:jc w:val="both"/>
              <w:rPr>
                <w:rFonts w:asciiTheme="minorHAnsi" w:hAnsiTheme="minorHAnsi" w:cstheme="minorHAnsi"/>
              </w:rPr>
            </w:pPr>
            <w:r w:rsidRPr="004179E6">
              <w:rPr>
                <w:rFonts w:asciiTheme="minorHAnsi" w:hAnsiTheme="minorHAnsi" w:cstheme="minorHAnsi"/>
              </w:rPr>
              <w:t>The quarterly statements do not require the deductors to report the invoice numbers of the deductors against which TDS is made. Furthermore, Form 26AS</w:t>
            </w:r>
            <w:r w:rsidR="00C878BB">
              <w:rPr>
                <w:rFonts w:asciiTheme="minorHAnsi" w:hAnsiTheme="minorHAnsi" w:cstheme="minorHAnsi"/>
              </w:rPr>
              <w:t>(New Form 168)</w:t>
            </w:r>
            <w:r w:rsidR="00F566AF">
              <w:rPr>
                <w:rFonts w:asciiTheme="minorHAnsi" w:hAnsiTheme="minorHAnsi" w:cstheme="minorHAnsi"/>
              </w:rPr>
              <w:t>/</w:t>
            </w:r>
            <w:r w:rsidR="00C878BB">
              <w:rPr>
                <w:rFonts w:asciiTheme="minorHAnsi" w:hAnsiTheme="minorHAnsi" w:cstheme="minorHAnsi"/>
              </w:rPr>
              <w:t xml:space="preserve"> </w:t>
            </w:r>
            <w:r w:rsidRPr="004179E6">
              <w:rPr>
                <w:rFonts w:asciiTheme="minorHAnsi" w:hAnsiTheme="minorHAnsi" w:cstheme="minorHAnsi"/>
              </w:rPr>
              <w:t>AIS does not reflect the PAN of the deductor. Absence of these crucial data items make</w:t>
            </w:r>
            <w:r w:rsidR="00132B14">
              <w:rPr>
                <w:rFonts w:asciiTheme="minorHAnsi" w:hAnsiTheme="minorHAnsi" w:cstheme="minorHAnsi"/>
              </w:rPr>
              <w:t>s</w:t>
            </w:r>
            <w:r w:rsidRPr="004179E6">
              <w:rPr>
                <w:rFonts w:asciiTheme="minorHAnsi" w:hAnsiTheme="minorHAnsi" w:cstheme="minorHAnsi"/>
              </w:rPr>
              <w:t xml:space="preserve"> reconciliation exercise for the income recipient very cumbersome.</w:t>
            </w:r>
          </w:p>
          <w:p w14:paraId="25723CBE" w14:textId="77777777" w:rsidR="002D7672" w:rsidRPr="004179E6" w:rsidRDefault="002D7672" w:rsidP="00AA128D">
            <w:pPr>
              <w:pStyle w:val="ListParagraph"/>
              <w:widowControl/>
              <w:numPr>
                <w:ilvl w:val="1"/>
                <w:numId w:val="56"/>
              </w:numPr>
              <w:autoSpaceDE/>
              <w:autoSpaceDN/>
              <w:spacing w:after="160" w:line="276" w:lineRule="auto"/>
              <w:ind w:left="1523" w:hanging="503"/>
              <w:jc w:val="both"/>
              <w:rPr>
                <w:rFonts w:asciiTheme="minorHAnsi" w:hAnsiTheme="minorHAnsi" w:cstheme="minorHAnsi"/>
              </w:rPr>
            </w:pPr>
            <w:r w:rsidRPr="004179E6">
              <w:rPr>
                <w:rFonts w:asciiTheme="minorHAnsi" w:hAnsiTheme="minorHAnsi" w:cstheme="minorHAnsi"/>
              </w:rPr>
              <w:t>Non reflection of transaction in Form 26AS on the date on which it is generated but since it is dynamic and keeps on changing frequently, the income recipient has to keep track of TDS reflected in Form 26AS till the date of filing return and even thereafter.</w:t>
            </w:r>
          </w:p>
          <w:p w14:paraId="337CB840" w14:textId="67AAD60F" w:rsidR="00115E01" w:rsidRPr="004179E6" w:rsidRDefault="002D7672" w:rsidP="00AA128D">
            <w:pPr>
              <w:pStyle w:val="ListParagraph"/>
              <w:widowControl/>
              <w:numPr>
                <w:ilvl w:val="0"/>
                <w:numId w:val="79"/>
              </w:numPr>
              <w:autoSpaceDE/>
              <w:autoSpaceDN/>
              <w:spacing w:after="160" w:line="276" w:lineRule="auto"/>
              <w:ind w:left="956"/>
              <w:jc w:val="both"/>
              <w:rPr>
                <w:rFonts w:asciiTheme="minorHAnsi" w:hAnsiTheme="minorHAnsi" w:cstheme="minorHAnsi"/>
              </w:rPr>
            </w:pPr>
            <w:r w:rsidRPr="004179E6">
              <w:rPr>
                <w:rFonts w:asciiTheme="minorHAnsi" w:hAnsiTheme="minorHAnsi" w:cstheme="minorHAnsi"/>
              </w:rPr>
              <w:lastRenderedPageBreak/>
              <w:t xml:space="preserve">Also in course of processing of the return of income (‘ROI’) under Section 143(1) of the Act, </w:t>
            </w:r>
            <w:r w:rsidR="00476665">
              <w:rPr>
                <w:rFonts w:asciiTheme="minorHAnsi" w:hAnsiTheme="minorHAnsi" w:cstheme="minorHAnsi"/>
              </w:rPr>
              <w:t xml:space="preserve">1961 </w:t>
            </w:r>
            <w:r w:rsidR="00CF54A5">
              <w:rPr>
                <w:rFonts w:asciiTheme="minorHAnsi" w:hAnsiTheme="minorHAnsi" w:cstheme="minorHAnsi"/>
              </w:rPr>
              <w:t>(</w:t>
            </w:r>
            <w:r w:rsidR="00313241">
              <w:rPr>
                <w:rFonts w:asciiTheme="minorHAnsi" w:hAnsiTheme="minorHAnsi" w:cstheme="minorHAnsi"/>
              </w:rPr>
              <w:t>S. 270 of the ITA, 2025)</w:t>
            </w:r>
            <w:r w:rsidRPr="004179E6">
              <w:rPr>
                <w:rFonts w:asciiTheme="minorHAnsi" w:hAnsiTheme="minorHAnsi" w:cstheme="minorHAnsi"/>
              </w:rPr>
              <w:t>, entire TDS credit claimed is not granted on account of the mismatch in the amount claimed in return vis a vis that appearing in Form 26AS or the revenue reported in return. Many a times there is update in Form 26AS which is not available at the time of filing ROI but available at the time of processing of return leading to such discrepancy which is beyond the control of the income recipient.</w:t>
            </w:r>
          </w:p>
          <w:p w14:paraId="02763266" w14:textId="77777777" w:rsidR="00A5197E" w:rsidRPr="004179E6" w:rsidRDefault="002D7672" w:rsidP="00AA128D">
            <w:pPr>
              <w:pStyle w:val="ListParagraph"/>
              <w:widowControl/>
              <w:numPr>
                <w:ilvl w:val="0"/>
                <w:numId w:val="79"/>
              </w:numPr>
              <w:autoSpaceDE/>
              <w:autoSpaceDN/>
              <w:spacing w:after="160" w:line="276" w:lineRule="auto"/>
              <w:ind w:left="956"/>
              <w:jc w:val="both"/>
              <w:rPr>
                <w:rFonts w:asciiTheme="minorHAnsi" w:hAnsiTheme="minorHAnsi" w:cstheme="minorHAnsi"/>
              </w:rPr>
            </w:pPr>
            <w:r w:rsidRPr="004179E6">
              <w:rPr>
                <w:rFonts w:asciiTheme="minorHAnsi" w:hAnsiTheme="minorHAnsi" w:cstheme="minorHAnsi"/>
              </w:rPr>
              <w:t>During the course of the assessment/scrutiny proceedings under the Act, such reconciliation is requested by the assessing/tax officer for verification purposes. In case of gap in Form 26AS and income offered to tax, either an addition is made to the returned income or TDS claim is denied.</w:t>
            </w:r>
          </w:p>
          <w:p w14:paraId="5C9245B0" w14:textId="77777777" w:rsidR="00A5197E" w:rsidRPr="004179E6" w:rsidRDefault="002D7672" w:rsidP="00AA128D">
            <w:pPr>
              <w:pStyle w:val="ListParagraph"/>
              <w:widowControl/>
              <w:numPr>
                <w:ilvl w:val="0"/>
                <w:numId w:val="79"/>
              </w:numPr>
              <w:autoSpaceDE/>
              <w:autoSpaceDN/>
              <w:spacing w:after="160" w:line="276" w:lineRule="auto"/>
              <w:ind w:left="956"/>
              <w:jc w:val="both"/>
              <w:rPr>
                <w:rFonts w:asciiTheme="minorHAnsi" w:hAnsiTheme="minorHAnsi" w:cstheme="minorHAnsi"/>
              </w:rPr>
            </w:pPr>
            <w:r w:rsidRPr="004179E6">
              <w:rPr>
                <w:rFonts w:asciiTheme="minorHAnsi" w:hAnsiTheme="minorHAnsi" w:cstheme="minorHAnsi"/>
              </w:rPr>
              <w:t>Further, large number of entries in Form 26AS due to voluminous transactions, because of huge volume of transaction involves greater administrative efforts from both income recipient and income tax department for review/ reconciliation, etc. Even the optimum use of technology for such reconciliation does not fully ease the administration efforts</w:t>
            </w:r>
            <w:r w:rsidR="00A5197E" w:rsidRPr="004179E6">
              <w:rPr>
                <w:rFonts w:asciiTheme="minorHAnsi" w:hAnsiTheme="minorHAnsi" w:cstheme="minorHAnsi"/>
              </w:rPr>
              <w:t>.</w:t>
            </w:r>
          </w:p>
          <w:p w14:paraId="1A005583" w14:textId="2F8856FC" w:rsidR="00A5197E" w:rsidRPr="004179E6" w:rsidRDefault="002D7672" w:rsidP="00AA128D">
            <w:pPr>
              <w:pStyle w:val="ListParagraph"/>
              <w:widowControl/>
              <w:numPr>
                <w:ilvl w:val="0"/>
                <w:numId w:val="79"/>
              </w:numPr>
              <w:autoSpaceDE/>
              <w:autoSpaceDN/>
              <w:spacing w:after="160" w:line="276" w:lineRule="auto"/>
              <w:ind w:left="956"/>
              <w:jc w:val="both"/>
              <w:rPr>
                <w:rFonts w:asciiTheme="minorHAnsi" w:hAnsiTheme="minorHAnsi" w:cstheme="minorHAnsi"/>
              </w:rPr>
            </w:pPr>
            <w:r w:rsidRPr="004179E6">
              <w:rPr>
                <w:rFonts w:asciiTheme="minorHAnsi" w:hAnsiTheme="minorHAnsi" w:cstheme="minorHAnsi"/>
              </w:rPr>
              <w:t xml:space="preserve">Further, at times, on account of various reasons (split of functions between jurisdictional AO and CPC without clear demarcation, corporate actions undertaken by the deductors or income recipient, etc.) there are systemic challenges for such TDS credit not granted, during the rectification proceedings under the Act. </w:t>
            </w:r>
          </w:p>
          <w:p w14:paraId="2A91065D" w14:textId="77777777" w:rsidR="002D7672" w:rsidRPr="004179E6" w:rsidRDefault="002D7672" w:rsidP="00AA128D">
            <w:pPr>
              <w:pStyle w:val="ListParagraph"/>
              <w:widowControl/>
              <w:numPr>
                <w:ilvl w:val="0"/>
                <w:numId w:val="79"/>
              </w:numPr>
              <w:autoSpaceDE/>
              <w:autoSpaceDN/>
              <w:spacing w:after="160" w:line="276" w:lineRule="auto"/>
              <w:ind w:left="956"/>
              <w:jc w:val="both"/>
              <w:rPr>
                <w:rFonts w:asciiTheme="minorHAnsi" w:hAnsiTheme="minorHAnsi" w:cstheme="minorHAnsi"/>
              </w:rPr>
            </w:pPr>
            <w:r w:rsidRPr="004179E6">
              <w:rPr>
                <w:rFonts w:asciiTheme="minorHAnsi" w:hAnsiTheme="minorHAnsi" w:cstheme="minorHAnsi"/>
              </w:rPr>
              <w:t xml:space="preserve">Further sometimes post deduction, the deductor does not deposit the TDS and/or does not appropriately report the same in TDS return. Hence there is loss of TDS credit to the income recipient and/or loss of revenue to the government.  </w:t>
            </w:r>
          </w:p>
          <w:p w14:paraId="6384607D" w14:textId="348A1CB9" w:rsidR="002D7672" w:rsidRPr="004179E6" w:rsidRDefault="002D7672" w:rsidP="00AA128D">
            <w:pPr>
              <w:pStyle w:val="ListParagraph"/>
              <w:widowControl/>
              <w:numPr>
                <w:ilvl w:val="0"/>
                <w:numId w:val="57"/>
              </w:numPr>
              <w:autoSpaceDE/>
              <w:autoSpaceDN/>
              <w:spacing w:after="160" w:line="276" w:lineRule="auto"/>
              <w:ind w:left="567" w:hanging="567"/>
              <w:jc w:val="both"/>
              <w:rPr>
                <w:rFonts w:asciiTheme="minorHAnsi" w:hAnsiTheme="minorHAnsi" w:cstheme="minorHAnsi"/>
                <w:b/>
                <w:i/>
                <w:u w:val="single"/>
              </w:rPr>
            </w:pPr>
            <w:r w:rsidRPr="004179E6">
              <w:rPr>
                <w:rFonts w:asciiTheme="minorHAnsi" w:hAnsiTheme="minorHAnsi" w:cstheme="minorHAnsi"/>
                <w:b/>
                <w:i/>
                <w:u w:val="single"/>
              </w:rPr>
              <w:t>Significant blockage of working capital due to higher TDS percentage as compared to the ETR of income recipient</w:t>
            </w:r>
          </w:p>
          <w:p w14:paraId="3D48FB2F" w14:textId="77777777" w:rsidR="00A5197E" w:rsidRPr="004179E6" w:rsidRDefault="002D7672" w:rsidP="00AA128D">
            <w:pPr>
              <w:pStyle w:val="ListParagraph"/>
              <w:numPr>
                <w:ilvl w:val="0"/>
                <w:numId w:val="80"/>
              </w:numPr>
              <w:spacing w:after="160" w:line="276" w:lineRule="auto"/>
              <w:ind w:left="956"/>
              <w:jc w:val="both"/>
              <w:rPr>
                <w:rFonts w:asciiTheme="minorHAnsi" w:hAnsiTheme="minorHAnsi" w:cstheme="minorHAnsi"/>
              </w:rPr>
            </w:pPr>
            <w:r w:rsidRPr="004179E6">
              <w:rPr>
                <w:rFonts w:asciiTheme="minorHAnsi" w:hAnsiTheme="minorHAnsi" w:cstheme="minorHAnsi"/>
              </w:rPr>
              <w:t>Typically, in many cases especially in service industries, profit margins of income recipient is low which leads to low ETR (total tax liability/total receipts). However, TDS done at the statutory rate on gross revenue is higher as compared to ETR of various income recipient owing to low profit margins.</w:t>
            </w:r>
          </w:p>
          <w:p w14:paraId="18ADE040" w14:textId="3705AD0D" w:rsidR="002D7672" w:rsidRPr="004179E6" w:rsidRDefault="002D7672" w:rsidP="00AA128D">
            <w:pPr>
              <w:pStyle w:val="ListParagraph"/>
              <w:numPr>
                <w:ilvl w:val="0"/>
                <w:numId w:val="80"/>
              </w:numPr>
              <w:spacing w:after="160" w:line="276" w:lineRule="auto"/>
              <w:ind w:left="956"/>
              <w:jc w:val="both"/>
              <w:rPr>
                <w:rFonts w:asciiTheme="minorHAnsi" w:hAnsiTheme="minorHAnsi" w:cstheme="minorHAnsi"/>
              </w:rPr>
            </w:pPr>
            <w:r w:rsidRPr="004179E6">
              <w:rPr>
                <w:rFonts w:asciiTheme="minorHAnsi" w:hAnsiTheme="minorHAnsi" w:cstheme="minorHAnsi"/>
              </w:rPr>
              <w:lastRenderedPageBreak/>
              <w:t>Accordingly, the total tax liability is substantially lower than TDS credit leading to higher refund claim. However, on account of significant delay in processing the refunds/ reduction in the quantum of refund processed/ denial of TDS credit, the working capital of the income recipient is significantly blocked. The release of such stuck refunds requires persistent follow up with CPC and JAO and also issues like short grant of interest u/s. 244A</w:t>
            </w:r>
            <w:r w:rsidR="00125B52">
              <w:rPr>
                <w:rFonts w:asciiTheme="minorHAnsi" w:hAnsiTheme="minorHAnsi" w:cstheme="minorHAnsi"/>
              </w:rPr>
              <w:t xml:space="preserve"> </w:t>
            </w:r>
            <w:r w:rsidR="00815391">
              <w:rPr>
                <w:rFonts w:asciiTheme="minorHAnsi" w:hAnsiTheme="minorHAnsi" w:cstheme="minorHAnsi"/>
              </w:rPr>
              <w:t xml:space="preserve">of ITA 1961 </w:t>
            </w:r>
            <w:r w:rsidR="00125B52">
              <w:rPr>
                <w:rFonts w:asciiTheme="minorHAnsi" w:hAnsiTheme="minorHAnsi" w:cstheme="minorHAnsi"/>
              </w:rPr>
              <w:t>(S. 437 of the ITA, 2025)</w:t>
            </w:r>
            <w:r w:rsidRPr="004179E6">
              <w:rPr>
                <w:rFonts w:asciiTheme="minorHAnsi" w:hAnsiTheme="minorHAnsi" w:cstheme="minorHAnsi"/>
              </w:rPr>
              <w:t xml:space="preserve"> which results in multiplicity of rectification proceedings. </w:t>
            </w:r>
          </w:p>
          <w:p w14:paraId="2180D06C" w14:textId="77777777" w:rsidR="002D7672" w:rsidRPr="004179E6" w:rsidRDefault="002D7672" w:rsidP="00AA128D">
            <w:pPr>
              <w:pStyle w:val="ListParagraph"/>
              <w:widowControl/>
              <w:numPr>
                <w:ilvl w:val="0"/>
                <w:numId w:val="57"/>
              </w:numPr>
              <w:autoSpaceDE/>
              <w:autoSpaceDN/>
              <w:spacing w:after="160" w:line="276" w:lineRule="auto"/>
              <w:ind w:left="567" w:hanging="567"/>
              <w:jc w:val="both"/>
              <w:rPr>
                <w:rFonts w:asciiTheme="minorHAnsi" w:hAnsiTheme="minorHAnsi" w:cstheme="minorHAnsi"/>
                <w:b/>
                <w:i/>
                <w:u w:val="single"/>
              </w:rPr>
            </w:pPr>
            <w:r w:rsidRPr="004179E6">
              <w:rPr>
                <w:rFonts w:asciiTheme="minorHAnsi" w:hAnsiTheme="minorHAnsi" w:cstheme="minorHAnsi"/>
                <w:b/>
                <w:i/>
                <w:u w:val="single"/>
              </w:rPr>
              <w:t>Intense scrutiny and resistance from the income tax department to issue ‘nil’ TDS orders</w:t>
            </w:r>
          </w:p>
          <w:p w14:paraId="2718DE8B" w14:textId="77777777" w:rsidR="00A5197E" w:rsidRPr="004179E6" w:rsidRDefault="002D7672" w:rsidP="00AA128D">
            <w:pPr>
              <w:pStyle w:val="ListParagraph"/>
              <w:widowControl/>
              <w:numPr>
                <w:ilvl w:val="0"/>
                <w:numId w:val="83"/>
              </w:numPr>
              <w:autoSpaceDE/>
              <w:autoSpaceDN/>
              <w:spacing w:after="160" w:line="276" w:lineRule="auto"/>
              <w:ind w:left="956"/>
              <w:jc w:val="both"/>
              <w:rPr>
                <w:rFonts w:asciiTheme="minorHAnsi" w:hAnsiTheme="minorHAnsi" w:cstheme="minorHAnsi"/>
              </w:rPr>
            </w:pPr>
            <w:r w:rsidRPr="004179E6">
              <w:rPr>
                <w:rFonts w:asciiTheme="minorHAnsi" w:hAnsiTheme="minorHAnsi" w:cstheme="minorHAnsi"/>
              </w:rPr>
              <w:t>At times, the applications for lower/nil deduction are not disposed in a timely manner and rate granted therein is generally higher as compared to that requested by the income recipient.</w:t>
            </w:r>
          </w:p>
          <w:p w14:paraId="5399A782" w14:textId="77777777" w:rsidR="00A5197E" w:rsidRPr="004179E6" w:rsidRDefault="002D7672" w:rsidP="00AA128D">
            <w:pPr>
              <w:pStyle w:val="ListParagraph"/>
              <w:widowControl/>
              <w:numPr>
                <w:ilvl w:val="0"/>
                <w:numId w:val="83"/>
              </w:numPr>
              <w:autoSpaceDE/>
              <w:autoSpaceDN/>
              <w:spacing w:after="160" w:line="276" w:lineRule="auto"/>
              <w:ind w:left="956"/>
              <w:jc w:val="both"/>
              <w:rPr>
                <w:rFonts w:asciiTheme="minorHAnsi" w:hAnsiTheme="minorHAnsi" w:cstheme="minorHAnsi"/>
              </w:rPr>
            </w:pPr>
            <w:r w:rsidRPr="004179E6">
              <w:rPr>
                <w:rFonts w:asciiTheme="minorHAnsi" w:hAnsiTheme="minorHAnsi" w:cstheme="minorHAnsi"/>
              </w:rPr>
              <w:t>Further, on an average it takes 4-5 months for the income tax department to issue the lower/nil TDS order and is generally close to the average ETR for past three years and also there is buffer added on the rate as requested by the income recipient</w:t>
            </w:r>
          </w:p>
          <w:p w14:paraId="7BD60AB0" w14:textId="55C4692D" w:rsidR="00A5197E" w:rsidRPr="004179E6" w:rsidRDefault="002D7672" w:rsidP="00AA128D">
            <w:pPr>
              <w:pStyle w:val="ListParagraph"/>
              <w:widowControl/>
              <w:numPr>
                <w:ilvl w:val="0"/>
                <w:numId w:val="83"/>
              </w:numPr>
              <w:autoSpaceDE/>
              <w:autoSpaceDN/>
              <w:spacing w:after="160" w:line="276" w:lineRule="auto"/>
              <w:ind w:left="956"/>
              <w:jc w:val="both"/>
              <w:rPr>
                <w:rFonts w:asciiTheme="minorHAnsi" w:hAnsiTheme="minorHAnsi" w:cstheme="minorHAnsi"/>
              </w:rPr>
            </w:pPr>
            <w:r w:rsidRPr="004179E6">
              <w:rPr>
                <w:rFonts w:asciiTheme="minorHAnsi" w:hAnsiTheme="minorHAnsi" w:cstheme="minorHAnsi"/>
              </w:rPr>
              <w:t>Rule 28AA(2)(iv)</w:t>
            </w:r>
            <w:r w:rsidR="00061A1F">
              <w:rPr>
                <w:rFonts w:asciiTheme="minorHAnsi" w:hAnsiTheme="minorHAnsi" w:cstheme="minorHAnsi"/>
              </w:rPr>
              <w:t xml:space="preserve"> of the IT</w:t>
            </w:r>
            <w:r w:rsidR="00713655">
              <w:rPr>
                <w:rFonts w:asciiTheme="minorHAnsi" w:hAnsiTheme="minorHAnsi" w:cstheme="minorHAnsi"/>
              </w:rPr>
              <w:t xml:space="preserve"> </w:t>
            </w:r>
            <w:r w:rsidR="00061A1F">
              <w:rPr>
                <w:rFonts w:asciiTheme="minorHAnsi" w:hAnsiTheme="minorHAnsi" w:cstheme="minorHAnsi"/>
              </w:rPr>
              <w:t>R</w:t>
            </w:r>
            <w:r w:rsidR="00713655">
              <w:rPr>
                <w:rFonts w:asciiTheme="minorHAnsi" w:hAnsiTheme="minorHAnsi" w:cstheme="minorHAnsi"/>
              </w:rPr>
              <w:t>ules</w:t>
            </w:r>
            <w:r w:rsidR="00061A1F">
              <w:rPr>
                <w:rFonts w:asciiTheme="minorHAnsi" w:hAnsiTheme="minorHAnsi" w:cstheme="minorHAnsi"/>
              </w:rPr>
              <w:t>, 1962 (R</w:t>
            </w:r>
            <w:r w:rsidR="00713655">
              <w:rPr>
                <w:rFonts w:asciiTheme="minorHAnsi" w:hAnsiTheme="minorHAnsi" w:cstheme="minorHAnsi"/>
              </w:rPr>
              <w:t>ule</w:t>
            </w:r>
            <w:r w:rsidR="00061A1F">
              <w:rPr>
                <w:rFonts w:asciiTheme="minorHAnsi" w:hAnsiTheme="minorHAnsi" w:cstheme="minorHAnsi"/>
              </w:rPr>
              <w:t xml:space="preserve"> 213 of the Draft IT</w:t>
            </w:r>
            <w:r w:rsidR="00713655">
              <w:rPr>
                <w:rFonts w:asciiTheme="minorHAnsi" w:hAnsiTheme="minorHAnsi" w:cstheme="minorHAnsi"/>
              </w:rPr>
              <w:t xml:space="preserve"> </w:t>
            </w:r>
            <w:r w:rsidR="00061A1F">
              <w:rPr>
                <w:rFonts w:asciiTheme="minorHAnsi" w:hAnsiTheme="minorHAnsi" w:cstheme="minorHAnsi"/>
              </w:rPr>
              <w:t>R</w:t>
            </w:r>
            <w:r w:rsidR="00713655">
              <w:rPr>
                <w:rFonts w:asciiTheme="minorHAnsi" w:hAnsiTheme="minorHAnsi" w:cstheme="minorHAnsi"/>
              </w:rPr>
              <w:t>ules</w:t>
            </w:r>
            <w:r w:rsidR="00061A1F">
              <w:rPr>
                <w:rFonts w:asciiTheme="minorHAnsi" w:hAnsiTheme="minorHAnsi" w:cstheme="minorHAnsi"/>
              </w:rPr>
              <w:t xml:space="preserve"> 2026</w:t>
            </w:r>
            <w:r w:rsidRPr="004179E6">
              <w:rPr>
                <w:rFonts w:asciiTheme="minorHAnsi" w:hAnsiTheme="minorHAnsi" w:cstheme="minorHAnsi"/>
              </w:rPr>
              <w:t>) requires AO to consider the advance tax payment, TDS/TCS for the relevant assessment year till the date of making application under Rule 28(1). Hence, even if the application is made at the beginning or prior to the beginning of the financial year, there being no advance tax and/or low TDS, the rate computed for issuing lower TDS rate is higher. Rule 28AA(2)(iv)</w:t>
            </w:r>
            <w:r w:rsidR="00874F64">
              <w:rPr>
                <w:rFonts w:asciiTheme="minorHAnsi" w:hAnsiTheme="minorHAnsi" w:cstheme="minorHAnsi"/>
              </w:rPr>
              <w:t xml:space="preserve"> (Rule 213(3)(d)</w:t>
            </w:r>
            <w:r w:rsidR="00240D70">
              <w:rPr>
                <w:rFonts w:asciiTheme="minorHAnsi" w:hAnsiTheme="minorHAnsi" w:cstheme="minorHAnsi"/>
              </w:rPr>
              <w:t>)</w:t>
            </w:r>
            <w:r w:rsidRPr="004179E6">
              <w:rPr>
                <w:rFonts w:asciiTheme="minorHAnsi" w:hAnsiTheme="minorHAnsi" w:cstheme="minorHAnsi"/>
              </w:rPr>
              <w:t xml:space="preserve"> does not cover advance tax payments committed to be paid by the taxpayer after the issue of lower or NIL TDS certificates.</w:t>
            </w:r>
          </w:p>
          <w:p w14:paraId="0C463A09" w14:textId="77777777" w:rsidR="00817C43" w:rsidRPr="004179E6" w:rsidRDefault="002D7672" w:rsidP="00AA128D">
            <w:pPr>
              <w:pStyle w:val="ListParagraph"/>
              <w:widowControl/>
              <w:numPr>
                <w:ilvl w:val="0"/>
                <w:numId w:val="83"/>
              </w:numPr>
              <w:autoSpaceDE/>
              <w:autoSpaceDN/>
              <w:spacing w:after="160" w:line="276" w:lineRule="auto"/>
              <w:ind w:left="956"/>
              <w:jc w:val="both"/>
              <w:rPr>
                <w:rFonts w:asciiTheme="minorHAnsi" w:hAnsiTheme="minorHAnsi" w:cstheme="minorHAnsi"/>
              </w:rPr>
            </w:pPr>
            <w:r w:rsidRPr="004179E6">
              <w:rPr>
                <w:rFonts w:asciiTheme="minorHAnsi" w:hAnsiTheme="minorHAnsi" w:cstheme="minorHAnsi"/>
              </w:rPr>
              <w:t xml:space="preserve">Further, there is Inherent apprehension from tax department for misuse of nil withholding tax order. This apprehension is misplaced since the deductors are required to report NIL TDS cases in quarterly TDS statements. But the departmental officials believe that NIL TDS cases may not be reported by the deductors leading to loss of information captured in Form 26AS. We may clarify that where the transactions are subject </w:t>
            </w:r>
            <w:r w:rsidRPr="004179E6">
              <w:rPr>
                <w:rFonts w:asciiTheme="minorHAnsi" w:hAnsiTheme="minorHAnsi" w:cstheme="minorHAnsi"/>
              </w:rPr>
              <w:lastRenderedPageBreak/>
              <w:t xml:space="preserve">to GST, even this apprehension is misplaced since both outward and inward supply transactions are captured in Form 26AS from GST filings made by the deductors and income recipients. </w:t>
            </w:r>
          </w:p>
          <w:p w14:paraId="5BCAF1A3" w14:textId="52045BE5" w:rsidR="002D7672" w:rsidRPr="004179E6" w:rsidRDefault="002D7672" w:rsidP="00AA128D">
            <w:pPr>
              <w:pStyle w:val="ListParagraph"/>
              <w:widowControl/>
              <w:numPr>
                <w:ilvl w:val="0"/>
                <w:numId w:val="83"/>
              </w:numPr>
              <w:autoSpaceDE/>
              <w:autoSpaceDN/>
              <w:spacing w:after="160" w:line="276" w:lineRule="auto"/>
              <w:ind w:left="956"/>
              <w:jc w:val="both"/>
              <w:rPr>
                <w:rFonts w:asciiTheme="minorHAnsi" w:hAnsiTheme="minorHAnsi" w:cstheme="minorHAnsi"/>
              </w:rPr>
            </w:pPr>
            <w:r w:rsidRPr="004179E6">
              <w:rPr>
                <w:rFonts w:asciiTheme="minorHAnsi" w:hAnsiTheme="minorHAnsi" w:cstheme="minorHAnsi"/>
              </w:rPr>
              <w:t>To summarize, the existing TDS provisions are leading to higher compliance burden, working capital blockage on account of delayed processing of refunds, higher withholding tax and denial of TDS credit adversely impacting the “ease of doing business”.</w:t>
            </w:r>
            <w:r w:rsidR="00C913F8" w:rsidRPr="004179E6">
              <w:rPr>
                <w:rFonts w:asciiTheme="minorHAnsi" w:hAnsiTheme="minorHAnsi" w:cstheme="minorHAnsi"/>
              </w:rPr>
              <w:t xml:space="preserve"> </w:t>
            </w:r>
          </w:p>
          <w:p w14:paraId="36F49CE9" w14:textId="067B34D0" w:rsidR="002D7672" w:rsidRPr="004179E6" w:rsidRDefault="00C913F8" w:rsidP="00AA128D">
            <w:pPr>
              <w:widowControl/>
              <w:autoSpaceDE/>
              <w:autoSpaceDN/>
              <w:spacing w:after="160" w:line="276" w:lineRule="auto"/>
              <w:jc w:val="both"/>
              <w:rPr>
                <w:rFonts w:asciiTheme="minorHAnsi" w:hAnsiTheme="minorHAnsi" w:cstheme="minorHAnsi"/>
                <w:b/>
              </w:rPr>
            </w:pPr>
            <w:r w:rsidRPr="004179E6">
              <w:rPr>
                <w:rFonts w:asciiTheme="minorHAnsi" w:hAnsiTheme="minorHAnsi" w:cstheme="minorHAnsi"/>
                <w:b/>
                <w:bCs/>
              </w:rPr>
              <w:t>Recommendation:</w:t>
            </w:r>
          </w:p>
          <w:p w14:paraId="6DFA8338" w14:textId="1AF95D68" w:rsidR="008E5943" w:rsidRPr="004179E6" w:rsidRDefault="002D7672" w:rsidP="00AA128D">
            <w:pPr>
              <w:pStyle w:val="ListParagraph"/>
              <w:numPr>
                <w:ilvl w:val="0"/>
                <w:numId w:val="84"/>
              </w:numPr>
              <w:spacing w:after="160" w:line="276" w:lineRule="auto"/>
              <w:ind w:left="389"/>
              <w:jc w:val="both"/>
              <w:rPr>
                <w:rFonts w:asciiTheme="minorHAnsi" w:hAnsiTheme="minorHAnsi" w:cstheme="minorHAnsi"/>
              </w:rPr>
            </w:pPr>
            <w:r w:rsidRPr="004179E6">
              <w:rPr>
                <w:rFonts w:asciiTheme="minorHAnsi" w:hAnsiTheme="minorHAnsi" w:cstheme="minorHAnsi"/>
              </w:rPr>
              <w:t xml:space="preserve">In order to address the above and as a measure of simplification of withholding tax compliances, through this representation, we request CBDT to make amendment in Rule 28AA of the Income Tax Rules, 1962 </w:t>
            </w:r>
            <w:r w:rsidR="00637CF9">
              <w:rPr>
                <w:rFonts w:asciiTheme="minorHAnsi" w:hAnsiTheme="minorHAnsi" w:cstheme="minorHAnsi"/>
              </w:rPr>
              <w:t xml:space="preserve">(Rule 213 of draft IT Rules 2026) </w:t>
            </w:r>
            <w:r w:rsidRPr="004179E6">
              <w:rPr>
                <w:rFonts w:asciiTheme="minorHAnsi" w:hAnsiTheme="minorHAnsi" w:cstheme="minorHAnsi"/>
              </w:rPr>
              <w:t>to direct the field level officer(s) to issue nil TDS certificate by considering declaration by the income recipient to pay advance tax in monthly instalments at the beginning of each month or providing bank guarantee, in lieu of TDS. This will protect the interests of Revenue and also result in significant ease of doing business for taxpayers without blockage of working capital in excess TDS and loss of TDS credit.</w:t>
            </w:r>
          </w:p>
          <w:p w14:paraId="357D7208" w14:textId="77777777" w:rsidR="008E5943" w:rsidRPr="004179E6" w:rsidRDefault="002D7672" w:rsidP="00AA128D">
            <w:pPr>
              <w:pStyle w:val="ListParagraph"/>
              <w:numPr>
                <w:ilvl w:val="0"/>
                <w:numId w:val="84"/>
              </w:numPr>
              <w:spacing w:after="160" w:line="276" w:lineRule="auto"/>
              <w:ind w:left="389"/>
              <w:jc w:val="both"/>
              <w:rPr>
                <w:rFonts w:asciiTheme="minorHAnsi" w:hAnsiTheme="minorHAnsi" w:cstheme="minorHAnsi"/>
              </w:rPr>
            </w:pPr>
            <w:r w:rsidRPr="004179E6">
              <w:rPr>
                <w:rFonts w:asciiTheme="minorHAnsi" w:hAnsiTheme="minorHAnsi" w:cstheme="minorHAnsi"/>
              </w:rPr>
              <w:t>We reiterate that such measure will not lead to misuse of NIL TDS certificate or loss of data for populating Form 26AS since the transactions are subject to GST which is already captured in Form 26AS.</w:t>
            </w:r>
          </w:p>
          <w:p w14:paraId="258B3717" w14:textId="3126B869" w:rsidR="000C0EC1" w:rsidRPr="004179E6" w:rsidRDefault="002D7672" w:rsidP="00AA128D">
            <w:pPr>
              <w:pStyle w:val="ListParagraph"/>
              <w:numPr>
                <w:ilvl w:val="0"/>
                <w:numId w:val="84"/>
              </w:numPr>
              <w:spacing w:after="160" w:line="276" w:lineRule="auto"/>
              <w:ind w:left="389"/>
              <w:jc w:val="both"/>
              <w:rPr>
                <w:rFonts w:asciiTheme="minorHAnsi" w:hAnsiTheme="minorHAnsi" w:cstheme="minorHAnsi"/>
                <w:b/>
              </w:rPr>
            </w:pPr>
            <w:r w:rsidRPr="004179E6">
              <w:rPr>
                <w:rFonts w:asciiTheme="minorHAnsi" w:hAnsiTheme="minorHAnsi" w:cstheme="minorHAnsi"/>
                <w:lang w:val="en-IN"/>
              </w:rPr>
              <w:t>The above measure will result in several advantages for deductors, income recipients and the Tax Department without any loss of revenue which is explained below.</w:t>
            </w:r>
          </w:p>
          <w:tbl>
            <w:tblPr>
              <w:tblStyle w:val="TableGrid"/>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3"/>
              <w:gridCol w:w="4973"/>
            </w:tblGrid>
            <w:tr w:rsidR="00AB18BA" w:rsidRPr="004179E6" w14:paraId="462EDC5F" w14:textId="77777777" w:rsidTr="000C0A4C">
              <w:tc>
                <w:tcPr>
                  <w:tcW w:w="4973" w:type="dxa"/>
                </w:tcPr>
                <w:p w14:paraId="1025845D" w14:textId="77777777" w:rsidR="00AB18BA" w:rsidRPr="004179E6" w:rsidRDefault="00AB18BA" w:rsidP="00AA128D">
                  <w:pPr>
                    <w:pStyle w:val="ListParagraph"/>
                    <w:spacing w:after="160" w:line="276" w:lineRule="auto"/>
                    <w:jc w:val="both"/>
                    <w:rPr>
                      <w:rFonts w:asciiTheme="minorHAnsi" w:hAnsiTheme="minorHAnsi" w:cstheme="minorHAnsi"/>
                      <w:b/>
                      <w:bCs/>
                    </w:rPr>
                  </w:pPr>
                  <w:r w:rsidRPr="004179E6">
                    <w:rPr>
                      <w:rFonts w:asciiTheme="minorHAnsi" w:hAnsiTheme="minorHAnsi" w:cstheme="minorHAnsi"/>
                      <w:b/>
                      <w:bCs/>
                    </w:rPr>
                    <w:t>On Revenue</w:t>
                  </w:r>
                </w:p>
              </w:tc>
              <w:tc>
                <w:tcPr>
                  <w:tcW w:w="4973" w:type="dxa"/>
                </w:tcPr>
                <w:p w14:paraId="0A53A6B3" w14:textId="77777777" w:rsidR="00AB18BA" w:rsidRPr="004179E6" w:rsidRDefault="00AB18BA" w:rsidP="00AA128D">
                  <w:pPr>
                    <w:pStyle w:val="ListParagraph"/>
                    <w:spacing w:after="160" w:line="276" w:lineRule="auto"/>
                    <w:jc w:val="both"/>
                    <w:rPr>
                      <w:rFonts w:asciiTheme="minorHAnsi" w:hAnsiTheme="minorHAnsi" w:cstheme="minorHAnsi"/>
                      <w:b/>
                      <w:bCs/>
                    </w:rPr>
                  </w:pPr>
                  <w:r w:rsidRPr="004179E6">
                    <w:rPr>
                      <w:rFonts w:asciiTheme="minorHAnsi" w:hAnsiTheme="minorHAnsi" w:cstheme="minorHAnsi"/>
                      <w:b/>
                      <w:bCs/>
                    </w:rPr>
                    <w:t>On income payers/ recipient</w:t>
                  </w:r>
                </w:p>
              </w:tc>
            </w:tr>
            <w:tr w:rsidR="00AB18BA" w:rsidRPr="004179E6" w14:paraId="593058AB" w14:textId="77777777" w:rsidTr="000C0A4C">
              <w:tc>
                <w:tcPr>
                  <w:tcW w:w="4973" w:type="dxa"/>
                </w:tcPr>
                <w:p w14:paraId="0EC8FCF6" w14:textId="77777777" w:rsidR="00AB18BA" w:rsidRPr="004179E6" w:rsidRDefault="00AB18BA" w:rsidP="00AA128D">
                  <w:pPr>
                    <w:pStyle w:val="ListParagraph"/>
                    <w:widowControl/>
                    <w:numPr>
                      <w:ilvl w:val="0"/>
                      <w:numId w:val="59"/>
                    </w:numPr>
                    <w:autoSpaceDE/>
                    <w:autoSpaceDN/>
                    <w:spacing w:after="160" w:line="276" w:lineRule="auto"/>
                    <w:jc w:val="both"/>
                    <w:rPr>
                      <w:rFonts w:asciiTheme="minorHAnsi" w:hAnsiTheme="minorHAnsi" w:cstheme="minorHAnsi"/>
                    </w:rPr>
                  </w:pPr>
                  <w:r w:rsidRPr="004179E6">
                    <w:rPr>
                      <w:rFonts w:asciiTheme="minorHAnsi" w:hAnsiTheme="minorHAnsi" w:cstheme="minorHAnsi"/>
                    </w:rPr>
                    <w:t xml:space="preserve">Positive impact on revenue collections on account of lumpsum monthly advance tax payments by the income recipient as against </w:t>
                  </w:r>
                  <w:r w:rsidRPr="004179E6">
                    <w:rPr>
                      <w:rFonts w:asciiTheme="minorHAnsi" w:hAnsiTheme="minorHAnsi" w:cstheme="minorHAnsi"/>
                    </w:rPr>
                    <w:lastRenderedPageBreak/>
                    <w:t>small ticket multiple TDS by multiple tax deductors</w:t>
                  </w:r>
                </w:p>
                <w:p w14:paraId="57BC0F69" w14:textId="77777777" w:rsidR="00AB18BA" w:rsidRPr="004179E6" w:rsidRDefault="00AB18BA" w:rsidP="00AA128D">
                  <w:pPr>
                    <w:pStyle w:val="ListParagraph"/>
                    <w:widowControl/>
                    <w:numPr>
                      <w:ilvl w:val="0"/>
                      <w:numId w:val="59"/>
                    </w:numPr>
                    <w:autoSpaceDE/>
                    <w:autoSpaceDN/>
                    <w:spacing w:after="160" w:line="276" w:lineRule="auto"/>
                    <w:jc w:val="both"/>
                    <w:rPr>
                      <w:rFonts w:asciiTheme="minorHAnsi" w:hAnsiTheme="minorHAnsi" w:cstheme="minorHAnsi"/>
                    </w:rPr>
                  </w:pPr>
                  <w:r w:rsidRPr="004179E6">
                    <w:rPr>
                      <w:rFonts w:asciiTheme="minorHAnsi" w:hAnsiTheme="minorHAnsi" w:cstheme="minorHAnsi"/>
                    </w:rPr>
                    <w:t xml:space="preserve">No loss to the revenue </w:t>
                  </w:r>
                </w:p>
                <w:p w14:paraId="1D64DD9C" w14:textId="77777777" w:rsidR="00AB18BA" w:rsidRPr="004179E6" w:rsidRDefault="00AB18BA" w:rsidP="00AA128D">
                  <w:pPr>
                    <w:pStyle w:val="ListParagraph"/>
                    <w:widowControl/>
                    <w:numPr>
                      <w:ilvl w:val="0"/>
                      <w:numId w:val="59"/>
                    </w:numPr>
                    <w:autoSpaceDE/>
                    <w:autoSpaceDN/>
                    <w:spacing w:after="160" w:line="276" w:lineRule="auto"/>
                    <w:jc w:val="both"/>
                    <w:rPr>
                      <w:rFonts w:asciiTheme="minorHAnsi" w:hAnsiTheme="minorHAnsi" w:cstheme="minorHAnsi"/>
                    </w:rPr>
                  </w:pPr>
                  <w:r w:rsidRPr="004179E6">
                    <w:rPr>
                      <w:rFonts w:asciiTheme="minorHAnsi" w:hAnsiTheme="minorHAnsi" w:cstheme="minorHAnsi"/>
                    </w:rPr>
                    <w:t>Reduction in administrative efforts to address TDS credit mismatch/not granted issues</w:t>
                  </w:r>
                </w:p>
                <w:p w14:paraId="424957EA" w14:textId="339EC410" w:rsidR="00AB18BA" w:rsidRPr="004179E6" w:rsidRDefault="00AB18BA" w:rsidP="00AA128D">
                  <w:pPr>
                    <w:pStyle w:val="ListParagraph"/>
                    <w:widowControl/>
                    <w:numPr>
                      <w:ilvl w:val="0"/>
                      <w:numId w:val="59"/>
                    </w:numPr>
                    <w:autoSpaceDE/>
                    <w:autoSpaceDN/>
                    <w:spacing w:after="160" w:line="276" w:lineRule="auto"/>
                    <w:jc w:val="both"/>
                    <w:rPr>
                      <w:rFonts w:asciiTheme="minorHAnsi" w:hAnsiTheme="minorHAnsi" w:cstheme="minorHAnsi"/>
                    </w:rPr>
                  </w:pPr>
                  <w:r w:rsidRPr="004179E6">
                    <w:rPr>
                      <w:rFonts w:asciiTheme="minorHAnsi" w:hAnsiTheme="minorHAnsi" w:cstheme="minorHAnsi"/>
                    </w:rPr>
                    <w:t>Lower rectifications / appeals leading to reduced payout of interest on income tax refund under Section 244A of the Act</w:t>
                  </w:r>
                  <w:r w:rsidR="00517224">
                    <w:rPr>
                      <w:rFonts w:asciiTheme="minorHAnsi" w:hAnsiTheme="minorHAnsi" w:cstheme="minorHAnsi"/>
                    </w:rPr>
                    <w:t>, 1962 (S. 437 of the ITA, 2025)</w:t>
                  </w:r>
                  <w:r w:rsidRPr="004179E6">
                    <w:rPr>
                      <w:rFonts w:asciiTheme="minorHAnsi" w:hAnsiTheme="minorHAnsi" w:cstheme="minorHAnsi"/>
                    </w:rPr>
                    <w:t xml:space="preserve"> by the government </w:t>
                  </w:r>
                </w:p>
                <w:p w14:paraId="319A8D95" w14:textId="77777777" w:rsidR="00AB18BA" w:rsidRPr="004179E6" w:rsidRDefault="00AB18BA" w:rsidP="00AA128D">
                  <w:pPr>
                    <w:pStyle w:val="ListParagraph"/>
                    <w:widowControl/>
                    <w:numPr>
                      <w:ilvl w:val="0"/>
                      <w:numId w:val="59"/>
                    </w:numPr>
                    <w:autoSpaceDE/>
                    <w:autoSpaceDN/>
                    <w:spacing w:after="160" w:line="276" w:lineRule="auto"/>
                    <w:jc w:val="both"/>
                    <w:rPr>
                      <w:rFonts w:asciiTheme="minorHAnsi" w:hAnsiTheme="minorHAnsi" w:cstheme="minorHAnsi"/>
                    </w:rPr>
                  </w:pPr>
                  <w:r w:rsidRPr="004179E6">
                    <w:rPr>
                      <w:rFonts w:asciiTheme="minorHAnsi" w:hAnsiTheme="minorHAnsi" w:cstheme="minorHAnsi"/>
                    </w:rPr>
                    <w:t>Obviates multiple administrative proceedings since there is upfront collection of tax from the payee/deductee</w:t>
                  </w:r>
                </w:p>
                <w:p w14:paraId="6F4FA74E" w14:textId="77777777" w:rsidR="00AB18BA" w:rsidRPr="004179E6" w:rsidRDefault="00AB18BA" w:rsidP="00AA128D">
                  <w:pPr>
                    <w:pStyle w:val="ListParagraph"/>
                    <w:widowControl/>
                    <w:numPr>
                      <w:ilvl w:val="0"/>
                      <w:numId w:val="59"/>
                    </w:numPr>
                    <w:autoSpaceDE/>
                    <w:autoSpaceDN/>
                    <w:spacing w:after="160" w:line="276" w:lineRule="auto"/>
                    <w:jc w:val="both"/>
                    <w:rPr>
                      <w:rFonts w:asciiTheme="minorHAnsi" w:hAnsiTheme="minorHAnsi" w:cstheme="minorHAnsi"/>
                    </w:rPr>
                  </w:pPr>
                  <w:r w:rsidRPr="004179E6">
                    <w:rPr>
                      <w:rFonts w:asciiTheme="minorHAnsi" w:hAnsiTheme="minorHAnsi" w:cstheme="minorHAnsi"/>
                    </w:rPr>
                    <w:t>Tracking of transaction would continue as deductor would still report NIL TDS order in TDS returns. In any case, transactions can be tracked through GST returns filed by deductor and deductee. Thus, better control and monitoring over tax collections along with collection details of payers/ deductor(s).</w:t>
                  </w:r>
                </w:p>
              </w:tc>
              <w:tc>
                <w:tcPr>
                  <w:tcW w:w="4973" w:type="dxa"/>
                </w:tcPr>
                <w:p w14:paraId="5DD25984" w14:textId="77777777" w:rsidR="00AB18BA" w:rsidRPr="004179E6" w:rsidRDefault="00AB18BA" w:rsidP="00AA128D">
                  <w:pPr>
                    <w:pStyle w:val="ListParagraph"/>
                    <w:widowControl/>
                    <w:numPr>
                      <w:ilvl w:val="0"/>
                      <w:numId w:val="59"/>
                    </w:numPr>
                    <w:autoSpaceDE/>
                    <w:autoSpaceDN/>
                    <w:spacing w:after="160" w:line="276" w:lineRule="auto"/>
                    <w:jc w:val="both"/>
                    <w:rPr>
                      <w:rFonts w:asciiTheme="minorHAnsi" w:hAnsiTheme="minorHAnsi" w:cstheme="minorHAnsi"/>
                    </w:rPr>
                  </w:pPr>
                  <w:r w:rsidRPr="004179E6">
                    <w:rPr>
                      <w:rFonts w:asciiTheme="minorHAnsi" w:hAnsiTheme="minorHAnsi" w:cstheme="minorHAnsi"/>
                    </w:rPr>
                    <w:lastRenderedPageBreak/>
                    <w:t xml:space="preserve">Deductors are relieved from deducting small amounts of TDS on multiple transactions leading to lesser compliance burden. They are protected </w:t>
                  </w:r>
                  <w:r w:rsidRPr="004179E6">
                    <w:rPr>
                      <w:rFonts w:asciiTheme="minorHAnsi" w:hAnsiTheme="minorHAnsi" w:cstheme="minorHAnsi"/>
                    </w:rPr>
                    <w:lastRenderedPageBreak/>
                    <w:t xml:space="preserve">from interest, penalty and prosecution proceedings for any unintentional TDS defaults. </w:t>
                  </w:r>
                </w:p>
                <w:p w14:paraId="69C0F24B" w14:textId="77777777" w:rsidR="00AB18BA" w:rsidRPr="004179E6" w:rsidRDefault="00AB18BA" w:rsidP="00AA128D">
                  <w:pPr>
                    <w:pStyle w:val="ListParagraph"/>
                    <w:widowControl/>
                    <w:numPr>
                      <w:ilvl w:val="0"/>
                      <w:numId w:val="59"/>
                    </w:numPr>
                    <w:autoSpaceDE/>
                    <w:autoSpaceDN/>
                    <w:spacing w:after="160" w:line="276" w:lineRule="auto"/>
                    <w:jc w:val="both"/>
                    <w:rPr>
                      <w:rFonts w:asciiTheme="minorHAnsi" w:hAnsiTheme="minorHAnsi" w:cstheme="minorHAnsi"/>
                    </w:rPr>
                  </w:pPr>
                  <w:r w:rsidRPr="004179E6">
                    <w:rPr>
                      <w:rFonts w:asciiTheme="minorHAnsi" w:hAnsiTheme="minorHAnsi" w:cstheme="minorHAnsi"/>
                    </w:rPr>
                    <w:t>For income recipients, obviates tracking of deductor and their depositing TDS regularly, PAN/TAN mismatch issues, etc.</w:t>
                  </w:r>
                </w:p>
                <w:p w14:paraId="2A1C232E" w14:textId="77777777" w:rsidR="00AB18BA" w:rsidRPr="004179E6" w:rsidRDefault="00AB18BA" w:rsidP="00AA128D">
                  <w:pPr>
                    <w:pStyle w:val="ListParagraph"/>
                    <w:widowControl/>
                    <w:numPr>
                      <w:ilvl w:val="0"/>
                      <w:numId w:val="59"/>
                    </w:numPr>
                    <w:autoSpaceDE/>
                    <w:autoSpaceDN/>
                    <w:spacing w:after="160" w:line="276" w:lineRule="auto"/>
                    <w:jc w:val="both"/>
                    <w:rPr>
                      <w:rFonts w:asciiTheme="minorHAnsi" w:hAnsiTheme="minorHAnsi" w:cstheme="minorHAnsi"/>
                    </w:rPr>
                  </w:pPr>
                  <w:r w:rsidRPr="004179E6">
                    <w:rPr>
                      <w:rFonts w:asciiTheme="minorHAnsi" w:hAnsiTheme="minorHAnsi" w:cstheme="minorHAnsi"/>
                    </w:rPr>
                    <w:t>No need to reconcile TDS on advance payments against multiple invoices</w:t>
                  </w:r>
                </w:p>
                <w:p w14:paraId="147E5FD3" w14:textId="77777777" w:rsidR="00AB18BA" w:rsidRPr="004179E6" w:rsidRDefault="00AB18BA" w:rsidP="00AA128D">
                  <w:pPr>
                    <w:pStyle w:val="ListParagraph"/>
                    <w:widowControl/>
                    <w:numPr>
                      <w:ilvl w:val="0"/>
                      <w:numId w:val="59"/>
                    </w:numPr>
                    <w:autoSpaceDE/>
                    <w:autoSpaceDN/>
                    <w:spacing w:after="160" w:line="276" w:lineRule="auto"/>
                    <w:jc w:val="both"/>
                    <w:rPr>
                      <w:rFonts w:asciiTheme="minorHAnsi" w:hAnsiTheme="minorHAnsi" w:cstheme="minorHAnsi"/>
                    </w:rPr>
                  </w:pPr>
                  <w:r w:rsidRPr="004179E6">
                    <w:rPr>
                      <w:rFonts w:asciiTheme="minorHAnsi" w:hAnsiTheme="minorHAnsi" w:cstheme="minorHAnsi"/>
                    </w:rPr>
                    <w:t xml:space="preserve">No issues of year mismatch by way of TDS on year end provision by deductor and recognition of revenue in subsequent year by income recipient </w:t>
                  </w:r>
                </w:p>
                <w:p w14:paraId="5356FD4A" w14:textId="77777777" w:rsidR="00AB18BA" w:rsidRPr="004179E6" w:rsidRDefault="00AB18BA" w:rsidP="00AA128D">
                  <w:pPr>
                    <w:pStyle w:val="ListParagraph"/>
                    <w:widowControl/>
                    <w:numPr>
                      <w:ilvl w:val="0"/>
                      <w:numId w:val="59"/>
                    </w:numPr>
                    <w:autoSpaceDE/>
                    <w:autoSpaceDN/>
                    <w:spacing w:after="160" w:line="276" w:lineRule="auto"/>
                    <w:jc w:val="both"/>
                    <w:rPr>
                      <w:rFonts w:asciiTheme="minorHAnsi" w:hAnsiTheme="minorHAnsi" w:cstheme="minorHAnsi"/>
                    </w:rPr>
                  </w:pPr>
                  <w:r w:rsidRPr="004179E6">
                    <w:rPr>
                      <w:rFonts w:asciiTheme="minorHAnsi" w:hAnsiTheme="minorHAnsi" w:cstheme="minorHAnsi"/>
                    </w:rPr>
                    <w:t>Reduction in administrative efforts due to elimination of unproductive compliances/reconciliation, multiple rectifications for grant of TDS credits, appeals, etc. which will be effectively used elsewhere.</w:t>
                  </w:r>
                </w:p>
                <w:p w14:paraId="6ACA08CD" w14:textId="77777777" w:rsidR="00AB18BA" w:rsidRPr="004179E6" w:rsidRDefault="00AB18BA" w:rsidP="00AA128D">
                  <w:pPr>
                    <w:pStyle w:val="ListParagraph"/>
                    <w:widowControl/>
                    <w:numPr>
                      <w:ilvl w:val="0"/>
                      <w:numId w:val="59"/>
                    </w:numPr>
                    <w:autoSpaceDE/>
                    <w:autoSpaceDN/>
                    <w:spacing w:after="160" w:line="276" w:lineRule="auto"/>
                    <w:jc w:val="both"/>
                    <w:rPr>
                      <w:rFonts w:asciiTheme="minorHAnsi" w:hAnsiTheme="minorHAnsi" w:cstheme="minorHAnsi"/>
                      <w:lang w:val="en-IN"/>
                    </w:rPr>
                  </w:pPr>
                  <w:r w:rsidRPr="004179E6">
                    <w:rPr>
                      <w:rFonts w:asciiTheme="minorHAnsi" w:hAnsiTheme="minorHAnsi" w:cstheme="minorHAnsi"/>
                    </w:rPr>
                    <w:t>Timely compliances of tax payments without any practical difficulties</w:t>
                  </w:r>
                </w:p>
                <w:p w14:paraId="6C6E6638" w14:textId="77777777" w:rsidR="00AB18BA" w:rsidRPr="004179E6" w:rsidRDefault="00AB18BA" w:rsidP="00AA128D">
                  <w:pPr>
                    <w:pStyle w:val="ListParagraph"/>
                    <w:widowControl/>
                    <w:numPr>
                      <w:ilvl w:val="0"/>
                      <w:numId w:val="59"/>
                    </w:numPr>
                    <w:autoSpaceDE/>
                    <w:autoSpaceDN/>
                    <w:spacing w:after="160" w:line="276" w:lineRule="auto"/>
                    <w:jc w:val="both"/>
                    <w:rPr>
                      <w:rFonts w:asciiTheme="minorHAnsi" w:hAnsiTheme="minorHAnsi" w:cstheme="minorHAnsi"/>
                      <w:lang w:val="en-IN"/>
                    </w:rPr>
                  </w:pPr>
                  <w:r w:rsidRPr="004179E6">
                    <w:rPr>
                      <w:rFonts w:asciiTheme="minorHAnsi" w:hAnsiTheme="minorHAnsi" w:cstheme="minorHAnsi"/>
                      <w:lang w:val="en-IN"/>
                    </w:rPr>
                    <w:t>Promotes ease of doing business on account of compliance simplification and better cash flow management</w:t>
                  </w:r>
                </w:p>
                <w:p w14:paraId="42809065" w14:textId="5EFD0A10" w:rsidR="00AB18BA" w:rsidRPr="004179E6" w:rsidRDefault="00AB18BA" w:rsidP="00AA128D">
                  <w:pPr>
                    <w:pStyle w:val="ListParagraph"/>
                    <w:widowControl/>
                    <w:numPr>
                      <w:ilvl w:val="0"/>
                      <w:numId w:val="59"/>
                    </w:numPr>
                    <w:autoSpaceDE/>
                    <w:autoSpaceDN/>
                    <w:spacing w:after="160" w:line="276" w:lineRule="auto"/>
                    <w:jc w:val="both"/>
                    <w:rPr>
                      <w:rFonts w:asciiTheme="minorHAnsi" w:hAnsiTheme="minorHAnsi" w:cstheme="minorHAnsi"/>
                      <w:lang w:val="en-IN"/>
                    </w:rPr>
                  </w:pPr>
                  <w:r w:rsidRPr="004179E6">
                    <w:rPr>
                      <w:rFonts w:asciiTheme="minorHAnsi" w:hAnsiTheme="minorHAnsi" w:cstheme="minorHAnsi"/>
                    </w:rPr>
                    <w:lastRenderedPageBreak/>
                    <w:t>Overall optimization of work and deployment of resources for better value-added work/compliances</w:t>
                  </w:r>
                </w:p>
              </w:tc>
            </w:tr>
          </w:tbl>
          <w:p w14:paraId="68B60059" w14:textId="7E6B13E1" w:rsidR="00AC6B3B" w:rsidRPr="004179E6" w:rsidRDefault="00AC6B3B" w:rsidP="00AA128D">
            <w:pPr>
              <w:spacing w:after="160" w:line="276" w:lineRule="auto"/>
              <w:jc w:val="both"/>
              <w:rPr>
                <w:rFonts w:asciiTheme="minorHAnsi" w:hAnsiTheme="minorHAnsi" w:cstheme="minorHAnsi"/>
                <w:b/>
                <w:bCs/>
              </w:rPr>
            </w:pPr>
          </w:p>
        </w:tc>
      </w:tr>
      <w:tr w:rsidR="00E16D20" w:rsidRPr="004179E6" w14:paraId="5EE97359" w14:textId="77777777" w:rsidTr="00210D4C">
        <w:trPr>
          <w:trHeight w:val="20"/>
        </w:trPr>
        <w:tc>
          <w:tcPr>
            <w:tcW w:w="512" w:type="dxa"/>
          </w:tcPr>
          <w:p w14:paraId="579831DA" w14:textId="77777777" w:rsidR="00E16D20" w:rsidRPr="004179E6" w:rsidRDefault="00E16D20"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777835F3" w14:textId="2361FE25" w:rsidR="00E16D20" w:rsidRPr="006A70DB" w:rsidRDefault="00996824" w:rsidP="00AA128D">
            <w:pPr>
              <w:spacing w:after="160" w:line="276" w:lineRule="auto"/>
              <w:jc w:val="both"/>
              <w:rPr>
                <w:rFonts w:asciiTheme="minorHAnsi" w:hAnsiTheme="minorHAnsi" w:cstheme="minorHAnsi"/>
                <w:b/>
              </w:rPr>
            </w:pPr>
            <w:r w:rsidRPr="006A70DB">
              <w:rPr>
                <w:rFonts w:asciiTheme="minorHAnsi" w:hAnsiTheme="minorHAnsi" w:cstheme="minorHAnsi"/>
                <w:b/>
              </w:rPr>
              <w:t>Application for obtaining Tax Deduction and collection Account number (TAN) by non-residents</w:t>
            </w:r>
          </w:p>
          <w:p w14:paraId="04BD59FB" w14:textId="4D24B0AE" w:rsidR="00E16D20" w:rsidRPr="006A70DB" w:rsidRDefault="00E16D20" w:rsidP="00AA128D">
            <w:pPr>
              <w:spacing w:after="160" w:line="276" w:lineRule="auto"/>
              <w:jc w:val="both"/>
              <w:rPr>
                <w:rFonts w:asciiTheme="minorHAnsi" w:hAnsiTheme="minorHAnsi" w:cstheme="minorHAnsi"/>
                <w:b/>
              </w:rPr>
            </w:pPr>
          </w:p>
        </w:tc>
        <w:tc>
          <w:tcPr>
            <w:tcW w:w="10986" w:type="dxa"/>
          </w:tcPr>
          <w:p w14:paraId="487E8D89" w14:textId="107B1EFC" w:rsidR="00E16D20" w:rsidRPr="004179E6" w:rsidRDefault="00996824" w:rsidP="00AA128D">
            <w:pPr>
              <w:spacing w:after="160" w:line="276" w:lineRule="auto"/>
              <w:jc w:val="both"/>
              <w:rPr>
                <w:rFonts w:asciiTheme="minorHAnsi" w:hAnsiTheme="minorHAnsi" w:cstheme="minorHAnsi"/>
                <w:b/>
                <w:bCs/>
              </w:rPr>
            </w:pPr>
            <w:r w:rsidRPr="004179E6">
              <w:rPr>
                <w:rFonts w:asciiTheme="minorHAnsi" w:hAnsiTheme="minorHAnsi" w:cstheme="minorHAnsi"/>
                <w:b/>
                <w:bCs/>
              </w:rPr>
              <w:t>Background and issue:</w:t>
            </w:r>
          </w:p>
          <w:p w14:paraId="60EFFF66" w14:textId="59AD3A4C" w:rsidR="00996824" w:rsidRPr="004179E6" w:rsidRDefault="00904302" w:rsidP="00AA128D">
            <w:pPr>
              <w:pStyle w:val="ListParagraph"/>
              <w:numPr>
                <w:ilvl w:val="0"/>
                <w:numId w:val="135"/>
              </w:numPr>
              <w:spacing w:after="160" w:line="276" w:lineRule="auto"/>
              <w:ind w:left="389"/>
              <w:jc w:val="both"/>
              <w:rPr>
                <w:rFonts w:asciiTheme="minorHAnsi" w:hAnsiTheme="minorHAnsi" w:cstheme="minorHAnsi"/>
              </w:rPr>
            </w:pPr>
            <w:r w:rsidRPr="004179E6">
              <w:rPr>
                <w:rFonts w:asciiTheme="minorHAnsi" w:hAnsiTheme="minorHAnsi" w:cstheme="minorHAnsi"/>
              </w:rPr>
              <w:t xml:space="preserve">In certain corporate restructuring transactions, a non-resident buyer is required to withhold taxes. However, no specific </w:t>
            </w:r>
            <w:r w:rsidR="00D12B1E">
              <w:rPr>
                <w:rFonts w:asciiTheme="minorHAnsi" w:hAnsiTheme="minorHAnsi" w:cstheme="minorHAnsi"/>
              </w:rPr>
              <w:t xml:space="preserve">exception </w:t>
            </w:r>
            <w:r w:rsidRPr="004179E6">
              <w:rPr>
                <w:rFonts w:asciiTheme="minorHAnsi" w:hAnsiTheme="minorHAnsi" w:cstheme="minorHAnsi"/>
              </w:rPr>
              <w:t>exist for such one-off transactions</w:t>
            </w:r>
            <w:r w:rsidR="00D12B1E">
              <w:rPr>
                <w:rFonts w:asciiTheme="minorHAnsi" w:hAnsiTheme="minorHAnsi" w:cstheme="minorHAnsi"/>
              </w:rPr>
              <w:t xml:space="preserve"> </w:t>
            </w:r>
            <w:r w:rsidR="00D12B1E" w:rsidRPr="004179E6">
              <w:rPr>
                <w:rFonts w:asciiTheme="minorHAnsi" w:hAnsiTheme="minorHAnsi" w:cstheme="minorHAnsi"/>
              </w:rPr>
              <w:t xml:space="preserve">such as </w:t>
            </w:r>
            <w:r w:rsidR="00D12B1E">
              <w:rPr>
                <w:rFonts w:asciiTheme="minorHAnsi" w:hAnsiTheme="minorHAnsi" w:cstheme="minorHAnsi"/>
              </w:rPr>
              <w:t xml:space="preserve">in case of transactions subject to TDS under </w:t>
            </w:r>
            <w:r w:rsidR="00D12B1E" w:rsidRPr="004179E6">
              <w:rPr>
                <w:rFonts w:asciiTheme="minorHAnsi" w:hAnsiTheme="minorHAnsi" w:cstheme="minorHAnsi"/>
              </w:rPr>
              <w:t>Section 194-IA</w:t>
            </w:r>
            <w:r w:rsidR="00D12B1E">
              <w:rPr>
                <w:rFonts w:asciiTheme="minorHAnsi" w:hAnsiTheme="minorHAnsi" w:cstheme="minorHAnsi"/>
              </w:rPr>
              <w:t xml:space="preserve"> </w:t>
            </w:r>
            <w:r w:rsidR="00D12B1E" w:rsidRPr="004179E6">
              <w:rPr>
                <w:rFonts w:asciiTheme="minorHAnsi" w:hAnsiTheme="minorHAnsi" w:cstheme="minorHAnsi"/>
              </w:rPr>
              <w:t>[393(1) Income Tax Act 2025]</w:t>
            </w:r>
            <w:r w:rsidRPr="004179E6">
              <w:rPr>
                <w:rFonts w:asciiTheme="minorHAnsi" w:hAnsiTheme="minorHAnsi" w:cstheme="minorHAnsi"/>
              </w:rPr>
              <w:t>.</w:t>
            </w:r>
          </w:p>
          <w:p w14:paraId="19F10D11" w14:textId="211DF5C5" w:rsidR="006E4B16" w:rsidRPr="004179E6" w:rsidRDefault="006E4B16" w:rsidP="00AA128D">
            <w:pPr>
              <w:pStyle w:val="ListParagraph"/>
              <w:numPr>
                <w:ilvl w:val="0"/>
                <w:numId w:val="135"/>
              </w:numPr>
              <w:spacing w:after="160" w:line="276" w:lineRule="auto"/>
              <w:ind w:left="389"/>
              <w:jc w:val="both"/>
              <w:rPr>
                <w:rFonts w:asciiTheme="minorHAnsi" w:hAnsiTheme="minorHAnsi" w:cstheme="minorHAnsi"/>
              </w:rPr>
            </w:pPr>
            <w:r w:rsidRPr="004179E6">
              <w:rPr>
                <w:rFonts w:asciiTheme="minorHAnsi" w:hAnsiTheme="minorHAnsi" w:cstheme="minorHAnsi"/>
              </w:rPr>
              <w:t>To meet this TDS obligation, non-residents are mandatorily required to obtain a TAN by filing Form 49B</w:t>
            </w:r>
            <w:r w:rsidR="006D4E7A">
              <w:rPr>
                <w:rFonts w:asciiTheme="minorHAnsi" w:hAnsiTheme="minorHAnsi" w:cstheme="minorHAnsi"/>
              </w:rPr>
              <w:t xml:space="preserve"> (New Form 135)</w:t>
            </w:r>
            <w:r w:rsidRPr="004179E6">
              <w:rPr>
                <w:rFonts w:asciiTheme="minorHAnsi" w:hAnsiTheme="minorHAnsi" w:cstheme="minorHAnsi"/>
              </w:rPr>
              <w:t xml:space="preserve">. However, </w:t>
            </w:r>
            <w:r w:rsidR="006D4E7A">
              <w:rPr>
                <w:rFonts w:asciiTheme="minorHAnsi" w:hAnsiTheme="minorHAnsi" w:cstheme="minorHAnsi"/>
              </w:rPr>
              <w:t>the Form</w:t>
            </w:r>
            <w:r w:rsidRPr="004179E6">
              <w:rPr>
                <w:rFonts w:asciiTheme="minorHAnsi" w:hAnsiTheme="minorHAnsi" w:cstheme="minorHAnsi"/>
              </w:rPr>
              <w:t xml:space="preserve"> does not permit the inclusion of a foreign (non-Indian) address, creating administrative difficulties for non-residents without any physical presence in India.</w:t>
            </w:r>
          </w:p>
          <w:p w14:paraId="008E8AC1" w14:textId="5C9F78F1" w:rsidR="00555351" w:rsidRPr="004179E6" w:rsidRDefault="00555351" w:rsidP="00AA128D">
            <w:pPr>
              <w:pStyle w:val="ListParagraph"/>
              <w:numPr>
                <w:ilvl w:val="0"/>
                <w:numId w:val="135"/>
              </w:numPr>
              <w:spacing w:after="160" w:line="276" w:lineRule="auto"/>
              <w:ind w:left="389"/>
              <w:jc w:val="both"/>
              <w:rPr>
                <w:rFonts w:asciiTheme="minorHAnsi" w:hAnsiTheme="minorHAnsi" w:cstheme="minorHAnsi"/>
              </w:rPr>
            </w:pPr>
            <w:r w:rsidRPr="004179E6">
              <w:rPr>
                <w:rFonts w:asciiTheme="minorHAnsi" w:hAnsiTheme="minorHAnsi" w:cstheme="minorHAnsi"/>
              </w:rPr>
              <w:t>Obtaining TAN for a one-time transaction also triggers quarterly TDS return filing obligations (including NIL returns) and a cumbersome TAN surrender process.</w:t>
            </w:r>
          </w:p>
          <w:p w14:paraId="129D7D72" w14:textId="0391D166" w:rsidR="00555351" w:rsidRPr="004179E6" w:rsidRDefault="007621F6" w:rsidP="00AA128D">
            <w:pPr>
              <w:pStyle w:val="ListParagraph"/>
              <w:numPr>
                <w:ilvl w:val="0"/>
                <w:numId w:val="135"/>
              </w:numPr>
              <w:spacing w:after="160" w:line="276" w:lineRule="auto"/>
              <w:ind w:left="389"/>
              <w:jc w:val="both"/>
              <w:rPr>
                <w:rFonts w:asciiTheme="minorHAnsi" w:hAnsiTheme="minorHAnsi" w:cstheme="minorHAnsi"/>
              </w:rPr>
            </w:pPr>
            <w:r w:rsidRPr="004179E6">
              <w:rPr>
                <w:rFonts w:asciiTheme="minorHAnsi" w:hAnsiTheme="minorHAnsi" w:cstheme="minorHAnsi"/>
              </w:rPr>
              <w:t xml:space="preserve">Non-residents engaged in a one-off transaction face disproportionate compliance requirement, obtaining TAN, filing multiple NIL returns, and navigating the surrender process, despite having no ongoing tax withholding obligations. This is inconsistent with the Government’s Ease of Doing Business vision. The inability to mention a foreign address in Form 49B </w:t>
            </w:r>
            <w:r w:rsidR="00C96B36">
              <w:rPr>
                <w:rFonts w:asciiTheme="minorHAnsi" w:hAnsiTheme="minorHAnsi" w:cstheme="minorHAnsi"/>
              </w:rPr>
              <w:t xml:space="preserve">(New form 135) </w:t>
            </w:r>
            <w:r w:rsidRPr="004179E6">
              <w:rPr>
                <w:rFonts w:asciiTheme="minorHAnsi" w:hAnsiTheme="minorHAnsi" w:cstheme="minorHAnsi"/>
              </w:rPr>
              <w:t>further exacerbates procedural hurdles.</w:t>
            </w:r>
          </w:p>
          <w:p w14:paraId="4A38EF7F" w14:textId="07DE87B6" w:rsidR="007621F6" w:rsidRPr="004179E6" w:rsidRDefault="007621F6" w:rsidP="00AA128D">
            <w:pPr>
              <w:spacing w:after="160" w:line="276" w:lineRule="auto"/>
              <w:ind w:left="29"/>
              <w:jc w:val="both"/>
              <w:rPr>
                <w:rFonts w:asciiTheme="minorHAnsi" w:hAnsiTheme="minorHAnsi" w:cstheme="minorHAnsi"/>
                <w:b/>
                <w:bCs/>
              </w:rPr>
            </w:pPr>
            <w:r w:rsidRPr="004179E6">
              <w:rPr>
                <w:rFonts w:asciiTheme="minorHAnsi" w:hAnsiTheme="minorHAnsi" w:cstheme="minorHAnsi"/>
                <w:b/>
                <w:bCs/>
              </w:rPr>
              <w:t>Recommendation:</w:t>
            </w:r>
          </w:p>
          <w:p w14:paraId="1F1FFED3" w14:textId="64CE5365" w:rsidR="007621F6" w:rsidRPr="004179E6" w:rsidRDefault="00F000D3" w:rsidP="00AA128D">
            <w:pPr>
              <w:pStyle w:val="ListParagraph"/>
              <w:numPr>
                <w:ilvl w:val="0"/>
                <w:numId w:val="135"/>
              </w:numPr>
              <w:spacing w:after="160" w:line="276" w:lineRule="auto"/>
              <w:ind w:left="389"/>
              <w:jc w:val="both"/>
              <w:rPr>
                <w:rFonts w:asciiTheme="minorHAnsi" w:hAnsiTheme="minorHAnsi" w:cstheme="minorHAnsi"/>
              </w:rPr>
            </w:pPr>
            <w:r w:rsidRPr="004179E6">
              <w:rPr>
                <w:rFonts w:asciiTheme="minorHAnsi" w:hAnsiTheme="minorHAnsi" w:cstheme="minorHAnsi"/>
              </w:rPr>
              <w:t>It is recommended to amend Form 49B</w:t>
            </w:r>
            <w:r w:rsidR="00C96B36">
              <w:rPr>
                <w:rFonts w:asciiTheme="minorHAnsi" w:hAnsiTheme="minorHAnsi" w:cstheme="minorHAnsi"/>
              </w:rPr>
              <w:t xml:space="preserve"> (New Form 135)</w:t>
            </w:r>
            <w:r w:rsidRPr="004179E6">
              <w:rPr>
                <w:rFonts w:asciiTheme="minorHAnsi" w:hAnsiTheme="minorHAnsi" w:cstheme="minorHAnsi"/>
              </w:rPr>
              <w:t xml:space="preserve"> to permit inclusion of a foreign (non-Indian) address to facilitate compliance for non-residents with no presence in India.</w:t>
            </w:r>
          </w:p>
          <w:p w14:paraId="6F31A73B" w14:textId="2AE453B8" w:rsidR="00996824" w:rsidRPr="004179E6" w:rsidRDefault="00F000D3" w:rsidP="00AA128D">
            <w:pPr>
              <w:pStyle w:val="ListParagraph"/>
              <w:numPr>
                <w:ilvl w:val="0"/>
                <w:numId w:val="135"/>
              </w:numPr>
              <w:spacing w:after="160" w:line="276" w:lineRule="auto"/>
              <w:ind w:left="389"/>
              <w:jc w:val="both"/>
              <w:rPr>
                <w:rFonts w:asciiTheme="minorHAnsi" w:hAnsiTheme="minorHAnsi" w:cstheme="minorHAnsi"/>
              </w:rPr>
            </w:pPr>
            <w:r w:rsidRPr="004179E6">
              <w:rPr>
                <w:rFonts w:asciiTheme="minorHAnsi" w:hAnsiTheme="minorHAnsi" w:cstheme="minorHAnsi"/>
              </w:rPr>
              <w:t xml:space="preserve">Alternatively, </w:t>
            </w:r>
            <w:r w:rsidR="009F64E4" w:rsidRPr="004179E6">
              <w:rPr>
                <w:rFonts w:asciiTheme="minorHAnsi" w:hAnsiTheme="minorHAnsi" w:cstheme="minorHAnsi"/>
              </w:rPr>
              <w:t xml:space="preserve">it is recommended to introduce enabling provisions, similar to Section 194-IA [393(1) Income Tax </w:t>
            </w:r>
            <w:r w:rsidR="00CE3E2E" w:rsidRPr="004179E6">
              <w:rPr>
                <w:rFonts w:asciiTheme="minorHAnsi" w:hAnsiTheme="minorHAnsi" w:cstheme="minorHAnsi"/>
              </w:rPr>
              <w:t xml:space="preserve">Act </w:t>
            </w:r>
            <w:r w:rsidR="009F64E4" w:rsidRPr="004179E6">
              <w:rPr>
                <w:rFonts w:asciiTheme="minorHAnsi" w:hAnsiTheme="minorHAnsi" w:cstheme="minorHAnsi"/>
              </w:rPr>
              <w:lastRenderedPageBreak/>
              <w:t>2025], for one-off transactions, allowing non-residents to meet TDS obligations without obtaining a TAN.</w:t>
            </w:r>
          </w:p>
        </w:tc>
      </w:tr>
      <w:tr w:rsidR="00447BC6" w:rsidRPr="004179E6" w14:paraId="29406355" w14:textId="77777777" w:rsidTr="00210D4C">
        <w:trPr>
          <w:trHeight w:val="20"/>
        </w:trPr>
        <w:tc>
          <w:tcPr>
            <w:tcW w:w="512" w:type="dxa"/>
          </w:tcPr>
          <w:p w14:paraId="3BBB0A80" w14:textId="77777777" w:rsidR="00447BC6" w:rsidRPr="004179E6" w:rsidRDefault="00447BC6"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244E0845" w14:textId="0B1919AD" w:rsidR="005A6C21" w:rsidRPr="006A70DB" w:rsidRDefault="00A97F38" w:rsidP="00AA128D">
            <w:pPr>
              <w:widowControl/>
              <w:autoSpaceDE/>
              <w:autoSpaceDN/>
              <w:spacing w:after="160" w:line="276" w:lineRule="auto"/>
              <w:jc w:val="both"/>
              <w:rPr>
                <w:rFonts w:asciiTheme="minorHAnsi" w:hAnsiTheme="minorHAnsi" w:cstheme="minorHAnsi"/>
                <w:b/>
              </w:rPr>
            </w:pPr>
            <w:r w:rsidRPr="006A70DB">
              <w:rPr>
                <w:rFonts w:asciiTheme="minorHAnsi" w:hAnsiTheme="minorHAnsi" w:cstheme="minorHAnsi"/>
                <w:b/>
              </w:rPr>
              <w:t>Rate of exchange for the purpose of deduction of tax at source on income payable in foreign currenc</w:t>
            </w:r>
            <w:r w:rsidR="002178E4">
              <w:rPr>
                <w:rFonts w:asciiTheme="minorHAnsi" w:hAnsiTheme="minorHAnsi" w:cstheme="minorHAnsi"/>
                <w:b/>
              </w:rPr>
              <w:t>y</w:t>
            </w:r>
          </w:p>
          <w:p w14:paraId="118E991C" w14:textId="139AD902" w:rsidR="00447BC6" w:rsidRPr="006A70DB" w:rsidRDefault="00447BC6" w:rsidP="00AA128D">
            <w:pPr>
              <w:widowControl/>
              <w:autoSpaceDE/>
              <w:autoSpaceDN/>
              <w:spacing w:after="160" w:line="276" w:lineRule="auto"/>
              <w:jc w:val="both"/>
              <w:rPr>
                <w:rFonts w:asciiTheme="minorHAnsi" w:hAnsiTheme="minorHAnsi" w:cstheme="minorHAnsi"/>
                <w:b/>
              </w:rPr>
            </w:pPr>
          </w:p>
        </w:tc>
        <w:tc>
          <w:tcPr>
            <w:tcW w:w="10986" w:type="dxa"/>
          </w:tcPr>
          <w:p w14:paraId="3E7B3532" w14:textId="4F44620C" w:rsidR="00447BC6" w:rsidRPr="004179E6" w:rsidRDefault="00447BC6" w:rsidP="00AA128D">
            <w:pPr>
              <w:spacing w:after="160" w:line="276" w:lineRule="auto"/>
              <w:jc w:val="both"/>
              <w:rPr>
                <w:rFonts w:asciiTheme="minorHAnsi" w:hAnsiTheme="minorHAnsi" w:cstheme="minorHAnsi"/>
                <w:b/>
              </w:rPr>
            </w:pPr>
            <w:r w:rsidRPr="004179E6">
              <w:rPr>
                <w:rFonts w:asciiTheme="minorHAnsi" w:hAnsiTheme="minorHAnsi" w:cstheme="minorHAnsi"/>
                <w:b/>
              </w:rPr>
              <w:t>Background and issue:</w:t>
            </w:r>
          </w:p>
          <w:p w14:paraId="062DAF3D" w14:textId="3D30CC1E" w:rsidR="00447BC6" w:rsidRPr="004179E6" w:rsidRDefault="00447BC6" w:rsidP="00AA128D">
            <w:pPr>
              <w:pStyle w:val="ListParagraph"/>
              <w:numPr>
                <w:ilvl w:val="0"/>
                <w:numId w:val="135"/>
              </w:numPr>
              <w:spacing w:after="160" w:line="276" w:lineRule="auto"/>
              <w:ind w:left="389"/>
              <w:jc w:val="both"/>
              <w:rPr>
                <w:rFonts w:asciiTheme="minorHAnsi" w:hAnsiTheme="minorHAnsi" w:cstheme="minorHAnsi"/>
              </w:rPr>
            </w:pPr>
            <w:r w:rsidRPr="004179E6">
              <w:rPr>
                <w:rFonts w:asciiTheme="minorHAnsi" w:hAnsiTheme="minorHAnsi" w:cstheme="minorHAnsi"/>
              </w:rPr>
              <w:t>As per notification no. 64/2023/F.No. 370142/27/2023-TPL, dated 17 August 2023, CBDT prescribed ‘SBI TT buying rate’ to be the rate of exchange to be used for the purpose of TDS calculation on any income payable in foreign currency to a non-resident/ to or by a unit located in IFSC. As per the notification, SBI TT buying rate is to be used by the payer as on date of deduction.</w:t>
            </w:r>
          </w:p>
          <w:p w14:paraId="53FEAD2C" w14:textId="0CF920AE" w:rsidR="00447BC6" w:rsidRPr="004179E6" w:rsidRDefault="00447BC6" w:rsidP="00AA128D">
            <w:pPr>
              <w:pStyle w:val="ListParagraph"/>
              <w:numPr>
                <w:ilvl w:val="0"/>
                <w:numId w:val="135"/>
              </w:numPr>
              <w:spacing w:after="160" w:line="276" w:lineRule="auto"/>
              <w:ind w:left="389"/>
              <w:jc w:val="both"/>
              <w:rPr>
                <w:rFonts w:asciiTheme="minorHAnsi" w:hAnsiTheme="minorHAnsi" w:cstheme="minorHAnsi"/>
              </w:rPr>
            </w:pPr>
            <w:r w:rsidRPr="004179E6">
              <w:rPr>
                <w:rFonts w:asciiTheme="minorHAnsi" w:hAnsiTheme="minorHAnsi" w:cstheme="minorHAnsi"/>
              </w:rPr>
              <w:t>Further, Rule 115</w:t>
            </w:r>
            <w:r w:rsidRPr="004179E6" w:rsidDel="00076FA5">
              <w:rPr>
                <w:rFonts w:asciiTheme="minorHAnsi" w:hAnsiTheme="minorHAnsi" w:cstheme="minorHAnsi"/>
              </w:rPr>
              <w:t xml:space="preserve"> </w:t>
            </w:r>
            <w:r w:rsidRPr="004179E6">
              <w:rPr>
                <w:rFonts w:asciiTheme="minorHAnsi" w:hAnsiTheme="minorHAnsi" w:cstheme="minorHAnsi"/>
              </w:rPr>
              <w:t>of IT rules</w:t>
            </w:r>
            <w:r w:rsidR="005077BC">
              <w:rPr>
                <w:rFonts w:asciiTheme="minorHAnsi" w:hAnsiTheme="minorHAnsi" w:cstheme="minorHAnsi"/>
              </w:rPr>
              <w:t xml:space="preserve"> </w:t>
            </w:r>
            <w:r w:rsidR="009D716E">
              <w:rPr>
                <w:rFonts w:asciiTheme="minorHAnsi" w:hAnsiTheme="minorHAnsi" w:cstheme="minorHAnsi"/>
              </w:rPr>
              <w:t>1962 (</w:t>
            </w:r>
            <w:r w:rsidR="004F6DD5">
              <w:rPr>
                <w:rFonts w:asciiTheme="minorHAnsi" w:hAnsiTheme="minorHAnsi" w:cstheme="minorHAnsi"/>
              </w:rPr>
              <w:t xml:space="preserve">Rule 206 of </w:t>
            </w:r>
            <w:r w:rsidR="005775A4">
              <w:rPr>
                <w:rFonts w:asciiTheme="minorHAnsi" w:hAnsiTheme="minorHAnsi" w:cstheme="minorHAnsi"/>
              </w:rPr>
              <w:t>Draft</w:t>
            </w:r>
            <w:r w:rsidR="004F6DD5">
              <w:rPr>
                <w:rFonts w:asciiTheme="minorHAnsi" w:hAnsiTheme="minorHAnsi" w:cstheme="minorHAnsi"/>
              </w:rPr>
              <w:t xml:space="preserve"> IT Rules 2026)</w:t>
            </w:r>
            <w:r w:rsidRPr="004179E6">
              <w:rPr>
                <w:rFonts w:asciiTheme="minorHAnsi" w:hAnsiTheme="minorHAnsi" w:cstheme="minorHAnsi"/>
              </w:rPr>
              <w:t xml:space="preserve"> provide</w:t>
            </w:r>
            <w:r w:rsidR="004B7BDB">
              <w:rPr>
                <w:rFonts w:asciiTheme="minorHAnsi" w:hAnsiTheme="minorHAnsi" w:cstheme="minorHAnsi"/>
              </w:rPr>
              <w:t>s</w:t>
            </w:r>
            <w:r w:rsidRPr="004179E6">
              <w:rPr>
                <w:rFonts w:asciiTheme="minorHAnsi" w:hAnsiTheme="minorHAnsi" w:cstheme="minorHAnsi"/>
              </w:rPr>
              <w:t xml:space="preserve"> for SBI TT buying rate as on the specified date to be used for conversion of foreign currency into local currency for the purpose of reporting. </w:t>
            </w:r>
            <w:r w:rsidR="002A5F41" w:rsidRPr="004179E6">
              <w:rPr>
                <w:rFonts w:asciiTheme="minorHAnsi" w:hAnsiTheme="minorHAnsi" w:cstheme="minorHAnsi"/>
              </w:rPr>
              <w:t>In practice, this creates practical and administrative difficulties to manage. Further this provision becomes impractical when the date of transfer falls on a non-working day for banks (weekend/public holiday) or when real-time access to rates is not feasible.</w:t>
            </w:r>
            <w:r w:rsidR="00987DFE" w:rsidRPr="004179E6">
              <w:rPr>
                <w:rFonts w:asciiTheme="minorHAnsi" w:hAnsiTheme="minorHAnsi" w:cstheme="minorHAnsi"/>
              </w:rPr>
              <w:t xml:space="preserve"> Obtaining the exact SBI TT buying rate for the date of transfer is often impractical and cumbersome. This results in operational delays, manual interventions, or inconsistencies in applying rates, impacting timely TDS compliance.</w:t>
            </w:r>
          </w:p>
          <w:p w14:paraId="6C46523D" w14:textId="0F8DCF51" w:rsidR="00447BC6" w:rsidRPr="004179E6" w:rsidRDefault="00BE4A72" w:rsidP="00AA128D">
            <w:pPr>
              <w:pStyle w:val="ListParagraph"/>
              <w:numPr>
                <w:ilvl w:val="0"/>
                <w:numId w:val="135"/>
              </w:numPr>
              <w:spacing w:after="160" w:line="276" w:lineRule="auto"/>
              <w:ind w:left="389"/>
              <w:jc w:val="both"/>
              <w:rPr>
                <w:rFonts w:asciiTheme="minorHAnsi" w:hAnsiTheme="minorHAnsi" w:cstheme="minorHAnsi"/>
              </w:rPr>
            </w:pPr>
            <w:r w:rsidRPr="004179E6">
              <w:rPr>
                <w:rFonts w:asciiTheme="minorHAnsi" w:hAnsiTheme="minorHAnsi" w:cstheme="minorHAnsi"/>
              </w:rPr>
              <w:t>Further, a</w:t>
            </w:r>
            <w:r w:rsidR="00447BC6" w:rsidRPr="004179E6">
              <w:rPr>
                <w:rFonts w:asciiTheme="minorHAnsi" w:hAnsiTheme="minorHAnsi" w:cstheme="minorHAnsi"/>
              </w:rPr>
              <w:t xml:space="preserve">ll transactions are undertaken and recorded in foreign currency in an IFSC unit and every Bank has its own mechanism to compute its own TT buying rate which is fed in system for the purpose of conversion for recording and disclosure purposes. Hence, existence of two rates for conversion would not be feasible for a unit in IFSC and create multiple reconciliation requirements. </w:t>
            </w:r>
          </w:p>
          <w:p w14:paraId="34706DAB" w14:textId="1A39791F" w:rsidR="00447BC6" w:rsidRPr="004179E6" w:rsidRDefault="00447BC6" w:rsidP="00AA128D">
            <w:pPr>
              <w:spacing w:after="160" w:line="276" w:lineRule="auto"/>
              <w:jc w:val="both"/>
              <w:rPr>
                <w:rFonts w:asciiTheme="minorHAnsi" w:hAnsiTheme="minorHAnsi" w:cstheme="minorHAnsi"/>
                <w:b/>
              </w:rPr>
            </w:pPr>
            <w:r w:rsidRPr="004179E6">
              <w:rPr>
                <w:rFonts w:asciiTheme="minorHAnsi" w:hAnsiTheme="minorHAnsi" w:cstheme="minorHAnsi"/>
                <w:b/>
              </w:rPr>
              <w:t>Recommendation:</w:t>
            </w:r>
          </w:p>
          <w:p w14:paraId="2F873CA3" w14:textId="33636D7B" w:rsidR="003136CC" w:rsidRPr="004179E6" w:rsidRDefault="00F71F79" w:rsidP="00AA128D">
            <w:pPr>
              <w:pStyle w:val="ListParagraph"/>
              <w:numPr>
                <w:ilvl w:val="0"/>
                <w:numId w:val="135"/>
              </w:numPr>
              <w:spacing w:after="160" w:line="276" w:lineRule="auto"/>
              <w:ind w:left="389"/>
              <w:jc w:val="both"/>
              <w:rPr>
                <w:rFonts w:asciiTheme="minorHAnsi" w:hAnsiTheme="minorHAnsi" w:cstheme="minorHAnsi"/>
              </w:rPr>
            </w:pPr>
            <w:r w:rsidRPr="004179E6">
              <w:rPr>
                <w:rFonts w:asciiTheme="minorHAnsi" w:hAnsiTheme="minorHAnsi" w:cstheme="minorHAnsi"/>
              </w:rPr>
              <w:t xml:space="preserve">It is recommended to amend Rule 115 </w:t>
            </w:r>
            <w:r w:rsidR="00DF3319">
              <w:rPr>
                <w:rFonts w:asciiTheme="minorHAnsi" w:hAnsiTheme="minorHAnsi" w:cstheme="minorHAnsi"/>
              </w:rPr>
              <w:t xml:space="preserve">of IT rules 1962 (Rule </w:t>
            </w:r>
            <w:r w:rsidR="00394C14">
              <w:rPr>
                <w:rFonts w:asciiTheme="minorHAnsi" w:hAnsiTheme="minorHAnsi" w:cstheme="minorHAnsi"/>
              </w:rPr>
              <w:t xml:space="preserve">206 </w:t>
            </w:r>
            <w:r w:rsidR="00DF3319">
              <w:rPr>
                <w:rFonts w:asciiTheme="minorHAnsi" w:hAnsiTheme="minorHAnsi" w:cstheme="minorHAnsi"/>
              </w:rPr>
              <w:t xml:space="preserve">of </w:t>
            </w:r>
            <w:r w:rsidR="00C37791">
              <w:rPr>
                <w:rFonts w:asciiTheme="minorHAnsi" w:hAnsiTheme="minorHAnsi" w:cstheme="minorHAnsi"/>
              </w:rPr>
              <w:t xml:space="preserve">Draft IT Rules 2026) </w:t>
            </w:r>
            <w:r w:rsidRPr="004179E6">
              <w:rPr>
                <w:rFonts w:asciiTheme="minorHAnsi" w:hAnsiTheme="minorHAnsi" w:cstheme="minorHAnsi"/>
              </w:rPr>
              <w:t>to allow use of the SBI TT buying rate of the immediately preceding working day or average of last seven working days etc</w:t>
            </w:r>
            <w:r w:rsidR="00452F8F" w:rsidRPr="004179E6">
              <w:rPr>
                <w:rFonts w:asciiTheme="minorHAnsi" w:hAnsiTheme="minorHAnsi" w:cstheme="minorHAnsi"/>
              </w:rPr>
              <w:t>.</w:t>
            </w:r>
            <w:r w:rsidRPr="004179E6">
              <w:rPr>
                <w:rFonts w:asciiTheme="minorHAnsi" w:hAnsiTheme="minorHAnsi" w:cstheme="minorHAnsi"/>
              </w:rPr>
              <w:t xml:space="preserve"> when the bank is open. This will eliminate practical challenges, align with banking realities, and ensure smoother compliance without affecting revenue neutrality.</w:t>
            </w:r>
          </w:p>
          <w:p w14:paraId="26947B06" w14:textId="200DFD1A" w:rsidR="00447BC6" w:rsidRPr="004179E6" w:rsidRDefault="003136CC" w:rsidP="00AA128D">
            <w:pPr>
              <w:pStyle w:val="ListParagraph"/>
              <w:numPr>
                <w:ilvl w:val="0"/>
                <w:numId w:val="135"/>
              </w:numPr>
              <w:spacing w:after="160" w:line="276" w:lineRule="auto"/>
              <w:ind w:left="389"/>
              <w:jc w:val="both"/>
              <w:rPr>
                <w:rFonts w:asciiTheme="minorHAnsi" w:hAnsiTheme="minorHAnsi" w:cstheme="minorHAnsi"/>
                <w:b/>
                <w:bCs/>
                <w:u w:val="single"/>
              </w:rPr>
            </w:pPr>
            <w:r w:rsidRPr="004179E6">
              <w:rPr>
                <w:rFonts w:asciiTheme="minorHAnsi" w:hAnsiTheme="minorHAnsi" w:cstheme="minorHAnsi"/>
              </w:rPr>
              <w:lastRenderedPageBreak/>
              <w:t>Separately, it is also recommended that f</w:t>
            </w:r>
            <w:r w:rsidR="00447BC6" w:rsidRPr="004179E6">
              <w:rPr>
                <w:rFonts w:asciiTheme="minorHAnsi" w:hAnsiTheme="minorHAnsi" w:cstheme="minorHAnsi"/>
              </w:rPr>
              <w:t>or promoting hassle free functioning of IFSC units and ensuring ease of business in India, Banks located at IFSC should be permitted to use their own TT buying rate for the purpose of reporting as well as computing TDS on FC transactions. Or a permitted variance range of +/- 5% with the SBI TT buying rate should be prescribed for Banks</w:t>
            </w:r>
            <w:r w:rsidR="00A97F38" w:rsidRPr="004179E6">
              <w:rPr>
                <w:rFonts w:asciiTheme="minorHAnsi" w:hAnsiTheme="minorHAnsi" w:cstheme="minorHAnsi"/>
              </w:rPr>
              <w:t>.</w:t>
            </w:r>
          </w:p>
        </w:tc>
      </w:tr>
      <w:tr w:rsidR="00520F25" w:rsidRPr="004179E6" w14:paraId="142E892F" w14:textId="77777777" w:rsidTr="00210D4C">
        <w:trPr>
          <w:trHeight w:val="20"/>
        </w:trPr>
        <w:tc>
          <w:tcPr>
            <w:tcW w:w="512" w:type="dxa"/>
          </w:tcPr>
          <w:p w14:paraId="3B1F0B90" w14:textId="77777777" w:rsidR="00520F25" w:rsidRPr="004179E6" w:rsidRDefault="00520F25"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38F7993E" w14:textId="0CB4AA9C" w:rsidR="00F2365D" w:rsidRPr="006A70DB" w:rsidRDefault="00F2365D" w:rsidP="00AA128D">
            <w:pPr>
              <w:spacing w:after="160" w:line="276" w:lineRule="auto"/>
              <w:rPr>
                <w:rFonts w:asciiTheme="minorHAnsi" w:eastAsia="Times New Roman" w:hAnsiTheme="minorHAnsi" w:cstheme="minorHAnsi"/>
                <w:b/>
                <w:color w:val="353435"/>
                <w:lang w:eastAsia="en-IN"/>
              </w:rPr>
            </w:pPr>
            <w:r w:rsidRPr="006A70DB">
              <w:rPr>
                <w:rFonts w:asciiTheme="minorHAnsi" w:eastAsia="Times New Roman" w:hAnsiTheme="minorHAnsi" w:cstheme="minorHAnsi"/>
                <w:b/>
                <w:color w:val="353435"/>
                <w:lang w:eastAsia="en-IN"/>
              </w:rPr>
              <w:t>Form 15CA and 15CB compliance on Dividend payments</w:t>
            </w:r>
          </w:p>
          <w:p w14:paraId="0DBEC4AE" w14:textId="78B0BC18" w:rsidR="00F2365D" w:rsidRPr="006A70DB" w:rsidRDefault="00F2365D" w:rsidP="00AA128D">
            <w:pPr>
              <w:spacing w:after="160" w:line="276" w:lineRule="auto"/>
              <w:rPr>
                <w:rFonts w:asciiTheme="minorHAnsi" w:eastAsia="Times New Roman" w:hAnsiTheme="minorHAnsi" w:cstheme="minorHAnsi"/>
                <w:b/>
                <w:color w:val="353435"/>
                <w:lang w:eastAsia="en-IN"/>
              </w:rPr>
            </w:pPr>
            <w:r w:rsidRPr="006A70DB">
              <w:rPr>
                <w:rFonts w:asciiTheme="minorHAnsi" w:eastAsia="Times New Roman" w:hAnsiTheme="minorHAnsi" w:cstheme="minorHAnsi"/>
                <w:b/>
                <w:color w:val="353435"/>
                <w:lang w:eastAsia="en-IN"/>
              </w:rPr>
              <w:t xml:space="preserve">Section 393(2)[Table: S.No.17] of ITA 2025 [corresponding </w:t>
            </w:r>
            <w:r w:rsidR="00033F7C" w:rsidRPr="006A70DB">
              <w:rPr>
                <w:rFonts w:asciiTheme="minorHAnsi" w:eastAsia="Times New Roman" w:hAnsiTheme="minorHAnsi" w:cstheme="minorHAnsi"/>
                <w:b/>
                <w:color w:val="353435"/>
                <w:lang w:eastAsia="en-IN"/>
              </w:rPr>
              <w:t xml:space="preserve">to </w:t>
            </w:r>
            <w:r w:rsidRPr="006A70DB">
              <w:rPr>
                <w:rFonts w:asciiTheme="minorHAnsi" w:eastAsia="Times New Roman" w:hAnsiTheme="minorHAnsi" w:cstheme="minorHAnsi"/>
                <w:b/>
                <w:color w:val="353435"/>
                <w:lang w:eastAsia="en-IN"/>
              </w:rPr>
              <w:t>S. 195 of ITA, 1961]</w:t>
            </w:r>
          </w:p>
          <w:p w14:paraId="5CBA19ED" w14:textId="6B9DE8A4" w:rsidR="00F2365D" w:rsidRPr="006A70DB" w:rsidRDefault="00F2365D" w:rsidP="00AA128D">
            <w:pPr>
              <w:spacing w:after="160" w:line="276" w:lineRule="auto"/>
              <w:rPr>
                <w:rFonts w:asciiTheme="minorHAnsi" w:eastAsia="Times New Roman" w:hAnsiTheme="minorHAnsi" w:cstheme="minorHAnsi"/>
                <w:b/>
                <w:color w:val="353435"/>
                <w:lang w:eastAsia="en-IN"/>
              </w:rPr>
            </w:pPr>
          </w:p>
          <w:p w14:paraId="6A8C02ED" w14:textId="23F2B918" w:rsidR="00F2365D" w:rsidRPr="006A70DB" w:rsidRDefault="00F2365D" w:rsidP="00AA128D">
            <w:pPr>
              <w:spacing w:after="160" w:line="276" w:lineRule="auto"/>
              <w:rPr>
                <w:rFonts w:asciiTheme="minorHAnsi" w:eastAsia="Times New Roman" w:hAnsiTheme="minorHAnsi" w:cstheme="minorHAnsi"/>
                <w:b/>
                <w:color w:val="353435"/>
                <w:lang w:eastAsia="en-IN"/>
              </w:rPr>
            </w:pPr>
          </w:p>
          <w:p w14:paraId="310B6942" w14:textId="77777777" w:rsidR="00520F25" w:rsidRPr="006A70DB" w:rsidRDefault="00520F25" w:rsidP="00AA128D">
            <w:pPr>
              <w:spacing w:after="160" w:line="276" w:lineRule="auto"/>
              <w:rPr>
                <w:rFonts w:asciiTheme="minorHAnsi" w:hAnsiTheme="minorHAnsi" w:cstheme="minorHAnsi"/>
                <w:b/>
              </w:rPr>
            </w:pPr>
          </w:p>
        </w:tc>
        <w:tc>
          <w:tcPr>
            <w:tcW w:w="10986" w:type="dxa"/>
          </w:tcPr>
          <w:p w14:paraId="6135B8F5" w14:textId="690AE2A7" w:rsidR="00F2365D" w:rsidRPr="004179E6" w:rsidRDefault="00F2365D" w:rsidP="00AA128D">
            <w:pPr>
              <w:widowControl/>
              <w:autoSpaceDE/>
              <w:autoSpaceDN/>
              <w:spacing w:after="160" w:line="276" w:lineRule="auto"/>
              <w:jc w:val="both"/>
              <w:rPr>
                <w:rFonts w:asciiTheme="minorHAnsi" w:hAnsiTheme="minorHAnsi" w:cstheme="minorHAnsi"/>
                <w:b/>
                <w:bCs/>
              </w:rPr>
            </w:pPr>
            <w:r w:rsidRPr="004179E6">
              <w:rPr>
                <w:rFonts w:asciiTheme="minorHAnsi" w:hAnsiTheme="minorHAnsi" w:cstheme="minorHAnsi"/>
                <w:b/>
                <w:bCs/>
              </w:rPr>
              <w:t>Rationale:</w:t>
            </w:r>
          </w:p>
          <w:p w14:paraId="1F750F5F" w14:textId="0F17973B" w:rsidR="007161CF" w:rsidRPr="004179E6" w:rsidRDefault="007161CF" w:rsidP="00AA128D">
            <w:pPr>
              <w:pStyle w:val="ListParagraph"/>
              <w:widowControl/>
              <w:numPr>
                <w:ilvl w:val="0"/>
                <w:numId w:val="90"/>
              </w:numPr>
              <w:autoSpaceDE/>
              <w:autoSpaceDN/>
              <w:spacing w:after="160" w:line="276" w:lineRule="auto"/>
              <w:jc w:val="both"/>
              <w:rPr>
                <w:rFonts w:asciiTheme="minorHAnsi" w:hAnsiTheme="minorHAnsi" w:cstheme="minorHAnsi"/>
              </w:rPr>
            </w:pPr>
            <w:r w:rsidRPr="004179E6">
              <w:rPr>
                <w:rFonts w:asciiTheme="minorHAnsi" w:hAnsiTheme="minorHAnsi" w:cstheme="minorHAnsi"/>
              </w:rPr>
              <w:t>With effect from April 1, 2020, dividends declared by Indian companies are taxable in the hands of shareholders. Companies have to deduct or withhold tax for dividends paid to the shareholders. There are various classes of shareholders (individuals, trusts, Govt companies, FPIs, Mutual funds, insurance companies, NRIs etc.) each having different withholding tax implications. A company needs to analyse all classes of shareholders and apply appropriate TDS rate.</w:t>
            </w:r>
            <w:r w:rsidR="00F338F9" w:rsidRPr="004179E6">
              <w:rPr>
                <w:rFonts w:asciiTheme="minorHAnsi" w:hAnsiTheme="minorHAnsi" w:cstheme="minorHAnsi"/>
              </w:rPr>
              <w:t xml:space="preserve"> It also</w:t>
            </w:r>
            <w:r w:rsidRPr="004179E6">
              <w:rPr>
                <w:rFonts w:asciiTheme="minorHAnsi" w:hAnsiTheme="minorHAnsi" w:cstheme="minorHAnsi"/>
              </w:rPr>
              <w:t xml:space="preserve"> </w:t>
            </w:r>
            <w:r w:rsidR="00F338F9" w:rsidRPr="004179E6">
              <w:rPr>
                <w:rFonts w:asciiTheme="minorHAnsi" w:eastAsia="Times New Roman" w:hAnsiTheme="minorHAnsi" w:cstheme="minorHAnsi"/>
                <w:color w:val="353435"/>
                <w:lang w:eastAsia="en-IN"/>
              </w:rPr>
              <w:t xml:space="preserve">depends upon whether the same is getting paid to resident or non-resident shareholder. </w:t>
            </w:r>
          </w:p>
          <w:p w14:paraId="389D2455" w14:textId="190F3C41" w:rsidR="003E5F00" w:rsidRPr="004179E6" w:rsidRDefault="003E5F00" w:rsidP="00AA128D">
            <w:pPr>
              <w:pStyle w:val="ListParagraph"/>
              <w:widowControl/>
              <w:numPr>
                <w:ilvl w:val="0"/>
                <w:numId w:val="90"/>
              </w:numPr>
              <w:autoSpaceDE/>
              <w:autoSpaceDN/>
              <w:spacing w:after="160" w:line="276" w:lineRule="auto"/>
              <w:jc w:val="both"/>
              <w:rPr>
                <w:rFonts w:asciiTheme="minorHAnsi" w:hAnsiTheme="minorHAnsi" w:cstheme="minorHAnsi"/>
              </w:rPr>
            </w:pPr>
            <w:r w:rsidRPr="004179E6">
              <w:rPr>
                <w:rFonts w:asciiTheme="minorHAnsi" w:eastAsiaTheme="minorEastAsia" w:hAnsiTheme="minorHAnsi" w:cstheme="minorHAnsi"/>
              </w:rPr>
              <w:t xml:space="preserve">Section 195(6) of the Act read with Rule 37BB of the Income Tax Rules </w:t>
            </w:r>
            <w:r w:rsidR="008869CC">
              <w:rPr>
                <w:rFonts w:asciiTheme="minorHAnsi" w:eastAsiaTheme="minorEastAsia" w:hAnsiTheme="minorHAnsi" w:cstheme="minorHAnsi"/>
              </w:rPr>
              <w:t>1962 (</w:t>
            </w:r>
            <w:r w:rsidR="00390547">
              <w:rPr>
                <w:rFonts w:asciiTheme="minorHAnsi" w:eastAsiaTheme="minorEastAsia" w:hAnsiTheme="minorHAnsi" w:cstheme="minorHAnsi"/>
              </w:rPr>
              <w:t>Rule 220 of Draft IT Rules 2026)</w:t>
            </w:r>
            <w:r w:rsidRPr="004179E6">
              <w:rPr>
                <w:rFonts w:asciiTheme="minorHAnsi" w:eastAsiaTheme="minorEastAsia" w:hAnsiTheme="minorHAnsi" w:cstheme="minorHAnsi"/>
              </w:rPr>
              <w:t xml:space="preserve"> provides that a Company shall be required to furnish the information relating to payment of dividend to a non-resident shareholder by filing Form 15CA/15CB </w:t>
            </w:r>
            <w:r w:rsidR="00D004F0">
              <w:rPr>
                <w:rFonts w:asciiTheme="minorHAnsi" w:eastAsiaTheme="minorEastAsia" w:hAnsiTheme="minorHAnsi" w:cstheme="minorHAnsi"/>
              </w:rPr>
              <w:t>(</w:t>
            </w:r>
            <w:r w:rsidR="00DA6775">
              <w:rPr>
                <w:rFonts w:asciiTheme="minorHAnsi" w:eastAsiaTheme="minorEastAsia" w:hAnsiTheme="minorHAnsi" w:cstheme="minorHAnsi"/>
              </w:rPr>
              <w:t xml:space="preserve">New </w:t>
            </w:r>
            <w:r w:rsidR="00D004F0">
              <w:rPr>
                <w:rFonts w:asciiTheme="minorHAnsi" w:eastAsiaTheme="minorEastAsia" w:hAnsiTheme="minorHAnsi" w:cstheme="minorHAnsi"/>
              </w:rPr>
              <w:t>Form</w:t>
            </w:r>
            <w:r w:rsidR="00DA6775">
              <w:rPr>
                <w:rFonts w:asciiTheme="minorHAnsi" w:eastAsiaTheme="minorEastAsia" w:hAnsiTheme="minorHAnsi" w:cstheme="minorHAnsi"/>
              </w:rPr>
              <w:t>s</w:t>
            </w:r>
            <w:r w:rsidR="00D004F0">
              <w:rPr>
                <w:rFonts w:asciiTheme="minorHAnsi" w:eastAsiaTheme="minorEastAsia" w:hAnsiTheme="minorHAnsi" w:cstheme="minorHAnsi"/>
              </w:rPr>
              <w:t xml:space="preserve"> 145/146).</w:t>
            </w:r>
          </w:p>
          <w:p w14:paraId="4305B2D1" w14:textId="58C2F890" w:rsidR="009C6FDF" w:rsidRPr="004179E6" w:rsidRDefault="00464914" w:rsidP="00AA128D">
            <w:pPr>
              <w:pStyle w:val="ListParagraph"/>
              <w:widowControl/>
              <w:numPr>
                <w:ilvl w:val="0"/>
                <w:numId w:val="90"/>
              </w:numPr>
              <w:autoSpaceDE/>
              <w:autoSpaceDN/>
              <w:spacing w:after="160" w:line="276" w:lineRule="auto"/>
              <w:jc w:val="both"/>
              <w:rPr>
                <w:rFonts w:asciiTheme="minorHAnsi" w:hAnsiTheme="minorHAnsi" w:cstheme="minorHAnsi"/>
              </w:rPr>
            </w:pPr>
            <w:r w:rsidRPr="004179E6">
              <w:rPr>
                <w:rFonts w:asciiTheme="minorHAnsi" w:eastAsia="Times New Roman" w:hAnsiTheme="minorHAnsi" w:cstheme="minorHAnsi"/>
                <w:color w:val="353435"/>
                <w:lang w:eastAsia="en-IN"/>
              </w:rPr>
              <w:t>A</w:t>
            </w:r>
            <w:r w:rsidR="00F2365D" w:rsidRPr="004179E6">
              <w:rPr>
                <w:rFonts w:asciiTheme="minorHAnsi" w:eastAsia="Times New Roman" w:hAnsiTheme="minorHAnsi" w:cstheme="minorHAnsi"/>
                <w:color w:val="353435"/>
                <w:lang w:eastAsia="en-IN"/>
              </w:rPr>
              <w:t xml:space="preserve">ll </w:t>
            </w:r>
            <w:r w:rsidRPr="004179E6">
              <w:rPr>
                <w:rFonts w:asciiTheme="minorHAnsi" w:eastAsia="Times New Roman" w:hAnsiTheme="minorHAnsi" w:cstheme="minorHAnsi"/>
                <w:color w:val="353435"/>
                <w:lang w:eastAsia="en-IN"/>
              </w:rPr>
              <w:t xml:space="preserve">such </w:t>
            </w:r>
            <w:r w:rsidR="00F2365D" w:rsidRPr="004179E6">
              <w:rPr>
                <w:rFonts w:asciiTheme="minorHAnsi" w:eastAsia="Times New Roman" w:hAnsiTheme="minorHAnsi" w:cstheme="minorHAnsi"/>
                <w:color w:val="353435"/>
                <w:lang w:eastAsia="en-IN"/>
              </w:rPr>
              <w:t>companies would be filing TDS return</w:t>
            </w:r>
            <w:r w:rsidR="00474D24" w:rsidRPr="004179E6">
              <w:rPr>
                <w:rFonts w:asciiTheme="minorHAnsi" w:eastAsia="Times New Roman" w:hAnsiTheme="minorHAnsi" w:cstheme="minorHAnsi"/>
                <w:color w:val="353435"/>
                <w:lang w:eastAsia="en-IN"/>
              </w:rPr>
              <w:t>s</w:t>
            </w:r>
            <w:r w:rsidR="00F2365D" w:rsidRPr="004179E6">
              <w:rPr>
                <w:rFonts w:asciiTheme="minorHAnsi" w:eastAsia="Times New Roman" w:hAnsiTheme="minorHAnsi" w:cstheme="minorHAnsi"/>
                <w:color w:val="353435"/>
                <w:lang w:eastAsia="en-IN"/>
              </w:rPr>
              <w:t xml:space="preserve"> whereby the tax department would get the necessary details of shareholders with dividend payment details. Also, where the tax has been deducted as per the provisions of Income </w:t>
            </w:r>
            <w:r w:rsidR="003A31EF" w:rsidRPr="004179E6">
              <w:rPr>
                <w:rFonts w:asciiTheme="minorHAnsi" w:eastAsia="Times New Roman" w:hAnsiTheme="minorHAnsi" w:cstheme="minorHAnsi"/>
                <w:color w:val="353435"/>
                <w:lang w:eastAsia="en-IN"/>
              </w:rPr>
              <w:t>T</w:t>
            </w:r>
            <w:r w:rsidR="00F2365D" w:rsidRPr="004179E6">
              <w:rPr>
                <w:rFonts w:asciiTheme="minorHAnsi" w:eastAsia="Times New Roman" w:hAnsiTheme="minorHAnsi" w:cstheme="minorHAnsi"/>
                <w:color w:val="353435"/>
                <w:lang w:eastAsia="en-IN"/>
              </w:rPr>
              <w:t xml:space="preserve">ax Act, there is no additional tax to be collected by the Income tax department from such non-resident shareholders. There is no requirement to file income tax return by the non-resident shareholders in such cases. </w:t>
            </w:r>
          </w:p>
          <w:p w14:paraId="65058A55" w14:textId="00DAF0DC" w:rsidR="00F2365D" w:rsidRPr="004179E6" w:rsidRDefault="00F2365D" w:rsidP="00AA128D">
            <w:pPr>
              <w:pStyle w:val="ListParagraph"/>
              <w:widowControl/>
              <w:numPr>
                <w:ilvl w:val="0"/>
                <w:numId w:val="90"/>
              </w:numPr>
              <w:autoSpaceDE/>
              <w:autoSpaceDN/>
              <w:spacing w:after="160" w:line="276" w:lineRule="auto"/>
              <w:jc w:val="both"/>
              <w:rPr>
                <w:rFonts w:asciiTheme="minorHAnsi" w:hAnsiTheme="minorHAnsi" w:cstheme="minorHAnsi"/>
              </w:rPr>
            </w:pPr>
            <w:r w:rsidRPr="004179E6">
              <w:rPr>
                <w:rFonts w:asciiTheme="minorHAnsi" w:eastAsia="Times New Roman" w:hAnsiTheme="minorHAnsi" w:cstheme="minorHAnsi"/>
                <w:color w:val="353435"/>
                <w:lang w:eastAsia="en-IN"/>
              </w:rPr>
              <w:t xml:space="preserve">Therefore, the provisions of submission of </w:t>
            </w:r>
            <w:r w:rsidR="00933359" w:rsidRPr="004179E6">
              <w:rPr>
                <w:rFonts w:asciiTheme="minorHAnsi" w:eastAsia="Times New Roman" w:hAnsiTheme="minorHAnsi" w:cstheme="minorHAnsi"/>
                <w:color w:val="353435"/>
                <w:lang w:eastAsia="en-IN"/>
              </w:rPr>
              <w:t>F</w:t>
            </w:r>
            <w:r w:rsidRPr="004179E6">
              <w:rPr>
                <w:rFonts w:asciiTheme="minorHAnsi" w:eastAsia="Times New Roman" w:hAnsiTheme="minorHAnsi" w:cstheme="minorHAnsi"/>
                <w:color w:val="353435"/>
                <w:lang w:eastAsia="en-IN"/>
              </w:rPr>
              <w:t xml:space="preserve">orm 15CA and 15CB </w:t>
            </w:r>
            <w:r w:rsidR="00BE0A18">
              <w:rPr>
                <w:rFonts w:asciiTheme="minorHAnsi" w:eastAsia="Times New Roman" w:hAnsiTheme="minorHAnsi" w:cstheme="minorHAnsi"/>
                <w:color w:val="353435"/>
                <w:lang w:eastAsia="en-IN"/>
              </w:rPr>
              <w:t xml:space="preserve">(Form 145 and 146) </w:t>
            </w:r>
            <w:r w:rsidRPr="004179E6">
              <w:rPr>
                <w:rFonts w:asciiTheme="minorHAnsi" w:eastAsia="Times New Roman" w:hAnsiTheme="minorHAnsi" w:cstheme="minorHAnsi"/>
                <w:color w:val="353435"/>
                <w:lang w:eastAsia="en-IN"/>
              </w:rPr>
              <w:t>be done away with wherever the tax has been deducted as per the provisions of Income tax Act and the same be made applicable only in cases where lower tax has been deducted depending upon the rates prescribed by the Double Tax Avoidance Agreements (DTAA).</w:t>
            </w:r>
          </w:p>
          <w:p w14:paraId="2098DE56" w14:textId="37169C24" w:rsidR="00F2365D" w:rsidRPr="004179E6" w:rsidRDefault="00F2365D" w:rsidP="00AA128D">
            <w:pPr>
              <w:widowControl/>
              <w:autoSpaceDE/>
              <w:autoSpaceDN/>
              <w:spacing w:after="160" w:line="276" w:lineRule="auto"/>
              <w:jc w:val="both"/>
              <w:rPr>
                <w:rFonts w:asciiTheme="minorHAnsi" w:hAnsiTheme="minorHAnsi" w:cstheme="minorHAnsi"/>
                <w:b/>
                <w:bCs/>
              </w:rPr>
            </w:pPr>
            <w:r w:rsidRPr="004179E6">
              <w:rPr>
                <w:rFonts w:asciiTheme="minorHAnsi" w:hAnsiTheme="minorHAnsi" w:cstheme="minorHAnsi"/>
                <w:b/>
                <w:bCs/>
              </w:rPr>
              <w:t>Recommendation:</w:t>
            </w:r>
          </w:p>
          <w:p w14:paraId="1DD1C991" w14:textId="1F01EBC2" w:rsidR="00D0716D" w:rsidRPr="004179E6" w:rsidRDefault="00F2365D" w:rsidP="00AA128D">
            <w:pPr>
              <w:pStyle w:val="ListParagraph"/>
              <w:widowControl/>
              <w:numPr>
                <w:ilvl w:val="0"/>
                <w:numId w:val="90"/>
              </w:numPr>
              <w:autoSpaceDE/>
              <w:autoSpaceDN/>
              <w:spacing w:after="160" w:line="276" w:lineRule="auto"/>
              <w:jc w:val="both"/>
              <w:rPr>
                <w:rFonts w:asciiTheme="minorHAnsi" w:eastAsia="Times New Roman" w:hAnsiTheme="minorHAnsi" w:cstheme="minorHAnsi"/>
                <w:color w:val="353435"/>
                <w:lang w:eastAsia="en-IN"/>
              </w:rPr>
            </w:pPr>
            <w:r w:rsidRPr="004179E6">
              <w:rPr>
                <w:rFonts w:asciiTheme="minorHAnsi" w:eastAsia="Times New Roman" w:hAnsiTheme="minorHAnsi" w:cstheme="minorHAnsi"/>
                <w:color w:val="353435"/>
                <w:lang w:eastAsia="en-IN"/>
              </w:rPr>
              <w:lastRenderedPageBreak/>
              <w:t xml:space="preserve">Section 393(2)[Table: S.No.17] be amended in respect of dividend payable to non-resident shareholders whereby the same should not be applicable where the tax has been deducted as per the provisions of Income tax Act.  Therefore, submission of Form 15CA/15 CB </w:t>
            </w:r>
            <w:r w:rsidR="008C1BFD">
              <w:rPr>
                <w:rFonts w:asciiTheme="minorHAnsi" w:eastAsia="Times New Roman" w:hAnsiTheme="minorHAnsi" w:cstheme="minorHAnsi"/>
                <w:color w:val="353435"/>
                <w:lang w:eastAsia="en-IN"/>
              </w:rPr>
              <w:t xml:space="preserve">(Form 145/146) </w:t>
            </w:r>
            <w:r w:rsidRPr="004179E6">
              <w:rPr>
                <w:rFonts w:asciiTheme="minorHAnsi" w:eastAsia="Times New Roman" w:hAnsiTheme="minorHAnsi" w:cstheme="minorHAnsi"/>
                <w:color w:val="353435"/>
                <w:lang w:eastAsia="en-IN"/>
              </w:rPr>
              <w:t>should be made a requirement only in cases where the tax has been deducted at a lower rate / Nil rate by applying the provisions of DTAA.</w:t>
            </w:r>
          </w:p>
        </w:tc>
      </w:tr>
      <w:tr w:rsidR="00F46DCE" w:rsidRPr="004179E6" w14:paraId="0C36F57F" w14:textId="77777777" w:rsidTr="00210D4C">
        <w:trPr>
          <w:trHeight w:val="20"/>
        </w:trPr>
        <w:tc>
          <w:tcPr>
            <w:tcW w:w="14454" w:type="dxa"/>
            <w:gridSpan w:val="3"/>
            <w:shd w:val="clear" w:color="auto" w:fill="D9D9D9" w:themeFill="background1" w:themeFillShade="D9"/>
          </w:tcPr>
          <w:p w14:paraId="1DEC459A" w14:textId="77777777" w:rsidR="00F46DCE" w:rsidRPr="006A70DB" w:rsidRDefault="00F46DCE" w:rsidP="00AA128D">
            <w:pPr>
              <w:spacing w:after="160" w:line="276" w:lineRule="auto"/>
              <w:jc w:val="center"/>
              <w:rPr>
                <w:rFonts w:asciiTheme="minorHAnsi" w:hAnsiTheme="minorHAnsi" w:cstheme="minorHAnsi"/>
                <w:b/>
              </w:rPr>
            </w:pPr>
            <w:r w:rsidRPr="006A70DB">
              <w:rPr>
                <w:rFonts w:asciiTheme="minorHAnsi" w:hAnsiTheme="minorHAnsi" w:cstheme="minorHAnsi"/>
                <w:b/>
              </w:rPr>
              <w:lastRenderedPageBreak/>
              <w:t>Assessment related issues</w:t>
            </w:r>
          </w:p>
        </w:tc>
      </w:tr>
      <w:tr w:rsidR="00F46DCE" w:rsidRPr="004179E6" w14:paraId="14F75A0A" w14:textId="77777777" w:rsidTr="00210D4C">
        <w:trPr>
          <w:trHeight w:val="20"/>
        </w:trPr>
        <w:tc>
          <w:tcPr>
            <w:tcW w:w="512" w:type="dxa"/>
          </w:tcPr>
          <w:p w14:paraId="219CC86D" w14:textId="77777777" w:rsidR="00F46DCE" w:rsidRPr="004179E6" w:rsidRDefault="00F46DCE"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21EC1DF8" w14:textId="0188DFFE" w:rsidR="00F46DCE" w:rsidRPr="006A70DB" w:rsidRDefault="00F46DCE" w:rsidP="00AA128D">
            <w:pPr>
              <w:spacing w:after="160" w:line="276" w:lineRule="auto"/>
              <w:jc w:val="both"/>
              <w:rPr>
                <w:rFonts w:asciiTheme="minorHAnsi" w:hAnsiTheme="minorHAnsi" w:cstheme="minorHAnsi"/>
                <w:b/>
              </w:rPr>
            </w:pPr>
            <w:r w:rsidRPr="006A70DB">
              <w:rPr>
                <w:rFonts w:asciiTheme="minorHAnsi" w:hAnsiTheme="minorHAnsi" w:cstheme="minorHAnsi"/>
                <w:b/>
              </w:rPr>
              <w:t xml:space="preserve">Section 139 </w:t>
            </w:r>
            <w:r w:rsidR="00D20BD6" w:rsidRPr="006A70DB">
              <w:rPr>
                <w:rFonts w:asciiTheme="minorHAnsi" w:hAnsiTheme="minorHAnsi" w:cstheme="minorHAnsi"/>
                <w:b/>
              </w:rPr>
              <w:t xml:space="preserve">of ITA 1961 (S. 263 of ITA 2025) </w:t>
            </w:r>
            <w:r w:rsidRPr="006A70DB">
              <w:rPr>
                <w:rFonts w:asciiTheme="minorHAnsi" w:hAnsiTheme="minorHAnsi" w:cstheme="minorHAnsi"/>
                <w:b/>
              </w:rPr>
              <w:t>read with Rule 12</w:t>
            </w:r>
            <w:r w:rsidR="0075321C" w:rsidRPr="006A70DB">
              <w:rPr>
                <w:rFonts w:asciiTheme="minorHAnsi" w:hAnsiTheme="minorHAnsi" w:cstheme="minorHAnsi"/>
                <w:b/>
              </w:rPr>
              <w:t xml:space="preserve"> of IT Rules 1962 (Rule </w:t>
            </w:r>
            <w:r w:rsidR="00A20B7D" w:rsidRPr="006A70DB">
              <w:rPr>
                <w:rFonts w:asciiTheme="minorHAnsi" w:hAnsiTheme="minorHAnsi" w:cstheme="minorHAnsi"/>
                <w:b/>
              </w:rPr>
              <w:t>164 of Draft IT Rules 2026</w:t>
            </w:r>
            <w:r w:rsidRPr="006A70DB">
              <w:rPr>
                <w:rFonts w:asciiTheme="minorHAnsi" w:hAnsiTheme="minorHAnsi" w:cstheme="minorHAnsi"/>
                <w:b/>
              </w:rPr>
              <w:t>/Section 92E</w:t>
            </w:r>
            <w:r w:rsidR="003850FD" w:rsidRPr="006A70DB">
              <w:rPr>
                <w:rFonts w:asciiTheme="minorHAnsi" w:hAnsiTheme="minorHAnsi" w:cstheme="minorHAnsi"/>
                <w:b/>
              </w:rPr>
              <w:t xml:space="preserve"> of ITA 1961 (S. 172 of ITA 2025)</w:t>
            </w:r>
            <w:r w:rsidRPr="006A70DB">
              <w:rPr>
                <w:rFonts w:asciiTheme="minorHAnsi" w:hAnsiTheme="minorHAnsi" w:cstheme="minorHAnsi"/>
                <w:b/>
              </w:rPr>
              <w:t xml:space="preserve"> read with Rule 10E </w:t>
            </w:r>
            <w:r w:rsidR="001E43FC" w:rsidRPr="006A70DB">
              <w:rPr>
                <w:rFonts w:asciiTheme="minorHAnsi" w:hAnsiTheme="minorHAnsi" w:cstheme="minorHAnsi"/>
                <w:b/>
              </w:rPr>
              <w:t xml:space="preserve">of IT Rules 1962 (Rule </w:t>
            </w:r>
            <w:r w:rsidR="005066A7" w:rsidRPr="006A70DB">
              <w:rPr>
                <w:rFonts w:asciiTheme="minorHAnsi" w:hAnsiTheme="minorHAnsi" w:cstheme="minorHAnsi"/>
                <w:b/>
              </w:rPr>
              <w:t xml:space="preserve">85 of Draft IT Rules 2026) </w:t>
            </w:r>
            <w:r w:rsidRPr="006A70DB">
              <w:rPr>
                <w:rFonts w:asciiTheme="minorHAnsi" w:hAnsiTheme="minorHAnsi" w:cstheme="minorHAnsi"/>
                <w:b/>
              </w:rPr>
              <w:t>[ITR and Form 3CEB</w:t>
            </w:r>
            <w:r w:rsidR="00211E1D" w:rsidRPr="006A70DB">
              <w:rPr>
                <w:rFonts w:asciiTheme="minorHAnsi" w:hAnsiTheme="minorHAnsi" w:cstheme="minorHAnsi"/>
                <w:b/>
              </w:rPr>
              <w:t xml:space="preserve"> (</w:t>
            </w:r>
            <w:r w:rsidR="00E206CC" w:rsidRPr="006A70DB">
              <w:rPr>
                <w:rFonts w:asciiTheme="minorHAnsi" w:hAnsiTheme="minorHAnsi" w:cstheme="minorHAnsi"/>
                <w:b/>
              </w:rPr>
              <w:t xml:space="preserve">New </w:t>
            </w:r>
            <w:r w:rsidR="00211E1D" w:rsidRPr="006A70DB">
              <w:rPr>
                <w:rFonts w:asciiTheme="minorHAnsi" w:hAnsiTheme="minorHAnsi" w:cstheme="minorHAnsi"/>
                <w:b/>
              </w:rPr>
              <w:t xml:space="preserve">Form </w:t>
            </w:r>
            <w:r w:rsidR="00454CCA" w:rsidRPr="006A70DB">
              <w:rPr>
                <w:rFonts w:asciiTheme="minorHAnsi" w:hAnsiTheme="minorHAnsi" w:cstheme="minorHAnsi"/>
                <w:b/>
              </w:rPr>
              <w:t>48)</w:t>
            </w:r>
            <w:r w:rsidRPr="006A70DB">
              <w:rPr>
                <w:rFonts w:asciiTheme="minorHAnsi" w:hAnsiTheme="minorHAnsi" w:cstheme="minorHAnsi"/>
                <w:b/>
              </w:rPr>
              <w:t xml:space="preserve">] – No scope of Disclosure in ITR and Form 3CEB </w:t>
            </w:r>
          </w:p>
        </w:tc>
        <w:tc>
          <w:tcPr>
            <w:tcW w:w="10986" w:type="dxa"/>
          </w:tcPr>
          <w:p w14:paraId="7A468224" w14:textId="77777777" w:rsidR="00F46DCE" w:rsidRPr="004179E6" w:rsidRDefault="00F46DCE" w:rsidP="00AA128D">
            <w:pPr>
              <w:widowControl/>
              <w:autoSpaceDE/>
              <w:autoSpaceDN/>
              <w:spacing w:after="160" w:line="276" w:lineRule="auto"/>
              <w:jc w:val="both"/>
              <w:rPr>
                <w:rFonts w:asciiTheme="minorHAnsi" w:hAnsiTheme="minorHAnsi" w:cstheme="minorHAnsi"/>
                <w:b/>
                <w:bCs/>
              </w:rPr>
            </w:pPr>
            <w:r w:rsidRPr="004179E6">
              <w:rPr>
                <w:rFonts w:asciiTheme="minorHAnsi" w:hAnsiTheme="minorHAnsi" w:cstheme="minorHAnsi"/>
                <w:b/>
                <w:bCs/>
              </w:rPr>
              <w:t>Rationale:</w:t>
            </w:r>
          </w:p>
          <w:p w14:paraId="7DFB911E" w14:textId="2352FD08" w:rsidR="00F46DCE" w:rsidRPr="004179E6" w:rsidRDefault="00F46DCE"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The current format of electronic Income Tax Return (ITR) and electronic Form 3CEB (</w:t>
            </w:r>
            <w:r w:rsidR="00E206CC">
              <w:rPr>
                <w:rFonts w:asciiTheme="minorHAnsi" w:hAnsiTheme="minorHAnsi" w:cstheme="minorHAnsi"/>
              </w:rPr>
              <w:t xml:space="preserve">New </w:t>
            </w:r>
            <w:r w:rsidR="00671D81">
              <w:rPr>
                <w:rFonts w:asciiTheme="minorHAnsi" w:hAnsiTheme="minorHAnsi" w:cstheme="minorHAnsi"/>
              </w:rPr>
              <w:t>Form 48)</w:t>
            </w:r>
            <w:r w:rsidRPr="004179E6">
              <w:rPr>
                <w:rFonts w:asciiTheme="minorHAnsi" w:hAnsiTheme="minorHAnsi" w:cstheme="minorHAnsi"/>
              </w:rPr>
              <w:t xml:space="preserve"> (TP Certificate) do not provide any scope for the taxpayer/TP Auditor to include separate voluntary disclosure statements/ remarks. </w:t>
            </w:r>
          </w:p>
          <w:p w14:paraId="36FB176C" w14:textId="77777777" w:rsidR="00F46DCE" w:rsidRPr="004179E6" w:rsidRDefault="00F46DCE"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The assessee at times wishes to voluntarily disclose certain items or tax positions for bonafide reasons to avoid any potential penalty exposure.</w:t>
            </w:r>
          </w:p>
          <w:p w14:paraId="59BE56E3" w14:textId="77777777" w:rsidR="00F46DCE" w:rsidRPr="004179E6" w:rsidRDefault="00F46DCE" w:rsidP="00AA128D">
            <w:pPr>
              <w:widowControl/>
              <w:autoSpaceDE/>
              <w:autoSpaceDN/>
              <w:spacing w:after="160" w:line="276" w:lineRule="auto"/>
              <w:jc w:val="both"/>
              <w:rPr>
                <w:rFonts w:asciiTheme="minorHAnsi" w:hAnsiTheme="minorHAnsi" w:cstheme="minorHAnsi"/>
                <w:b/>
                <w:bCs/>
              </w:rPr>
            </w:pPr>
            <w:r w:rsidRPr="004179E6">
              <w:rPr>
                <w:rFonts w:asciiTheme="minorHAnsi" w:hAnsiTheme="minorHAnsi" w:cstheme="minorHAnsi"/>
                <w:b/>
                <w:bCs/>
              </w:rPr>
              <w:t>Recommendation:</w:t>
            </w:r>
          </w:p>
          <w:p w14:paraId="76181555" w14:textId="429A527D" w:rsidR="00F46DCE" w:rsidRPr="004179E6" w:rsidRDefault="00F46DCE"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It is requested to modify the formats of electronic Income Tax Return (ITR) and electronic Form 3CEB (</w:t>
            </w:r>
            <w:r w:rsidR="001A1FBD">
              <w:rPr>
                <w:rFonts w:asciiTheme="minorHAnsi" w:hAnsiTheme="minorHAnsi" w:cstheme="minorHAnsi"/>
              </w:rPr>
              <w:t xml:space="preserve">New </w:t>
            </w:r>
            <w:r w:rsidR="00671D81">
              <w:rPr>
                <w:rFonts w:asciiTheme="minorHAnsi" w:hAnsiTheme="minorHAnsi" w:cstheme="minorHAnsi"/>
              </w:rPr>
              <w:t>Form 48)</w:t>
            </w:r>
            <w:r w:rsidR="001A1FBD">
              <w:rPr>
                <w:rFonts w:asciiTheme="minorHAnsi" w:hAnsiTheme="minorHAnsi" w:cstheme="minorHAnsi"/>
              </w:rPr>
              <w:t xml:space="preserve"> </w:t>
            </w:r>
            <w:r w:rsidRPr="004179E6">
              <w:rPr>
                <w:rFonts w:asciiTheme="minorHAnsi" w:hAnsiTheme="minorHAnsi" w:cstheme="minorHAnsi"/>
              </w:rPr>
              <w:t>(TP Certificate) to enable the taxpayer/TP Auditor to include separate disclosure statements / remarks.</w:t>
            </w:r>
          </w:p>
        </w:tc>
      </w:tr>
      <w:tr w:rsidR="00F46DCE" w:rsidRPr="004179E6" w14:paraId="60922566" w14:textId="77777777" w:rsidTr="00210D4C">
        <w:trPr>
          <w:trHeight w:val="20"/>
        </w:trPr>
        <w:tc>
          <w:tcPr>
            <w:tcW w:w="512" w:type="dxa"/>
          </w:tcPr>
          <w:p w14:paraId="3DB4642A" w14:textId="77777777" w:rsidR="00F46DCE" w:rsidRPr="004179E6" w:rsidRDefault="00F46DCE"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6129D4A1" w14:textId="77777777" w:rsidR="00F46DCE" w:rsidRPr="006A70DB" w:rsidRDefault="00F46DCE" w:rsidP="00AA128D">
            <w:pPr>
              <w:spacing w:after="160" w:line="276" w:lineRule="auto"/>
              <w:jc w:val="both"/>
              <w:rPr>
                <w:rFonts w:asciiTheme="minorHAnsi" w:hAnsiTheme="minorHAnsi" w:cstheme="minorHAnsi"/>
                <w:b/>
              </w:rPr>
            </w:pPr>
            <w:r w:rsidRPr="006A70DB">
              <w:rPr>
                <w:rFonts w:asciiTheme="minorHAnsi" w:hAnsiTheme="minorHAnsi" w:cstheme="minorHAnsi"/>
                <w:b/>
              </w:rPr>
              <w:t>Section 43B</w:t>
            </w:r>
            <w:r w:rsidR="00D31D2F" w:rsidRPr="006A70DB">
              <w:rPr>
                <w:rFonts w:asciiTheme="minorHAnsi" w:hAnsiTheme="minorHAnsi" w:cstheme="minorHAnsi"/>
                <w:b/>
              </w:rPr>
              <w:t xml:space="preserve"> (S. 37 of ITA 2025)</w:t>
            </w:r>
            <w:r w:rsidRPr="006A70DB">
              <w:rPr>
                <w:rFonts w:asciiTheme="minorHAnsi" w:hAnsiTheme="minorHAnsi" w:cstheme="minorHAnsi"/>
                <w:b/>
              </w:rPr>
              <w:t xml:space="preserve"> - Expense provisions disallowed in earlier year(s) cannot be taxed again in subsequent year when such provisions are reversed and credited to P/L Account – changes required in Tax Audit </w:t>
            </w:r>
            <w:r w:rsidRPr="006A70DB">
              <w:rPr>
                <w:rFonts w:asciiTheme="minorHAnsi" w:hAnsiTheme="minorHAnsi" w:cstheme="minorHAnsi"/>
                <w:b/>
              </w:rPr>
              <w:lastRenderedPageBreak/>
              <w:t>Report utility</w:t>
            </w:r>
          </w:p>
          <w:p w14:paraId="0CB9BC23" w14:textId="77777777" w:rsidR="00523725" w:rsidRPr="006A70DB" w:rsidRDefault="00523725" w:rsidP="00AA128D">
            <w:pPr>
              <w:spacing w:after="160" w:line="276" w:lineRule="auto"/>
              <w:jc w:val="both"/>
              <w:rPr>
                <w:rFonts w:asciiTheme="minorHAnsi" w:hAnsiTheme="minorHAnsi" w:cstheme="minorHAnsi"/>
                <w:b/>
              </w:rPr>
            </w:pPr>
          </w:p>
          <w:p w14:paraId="4C737B0B" w14:textId="01121812" w:rsidR="00523725" w:rsidRPr="006A70DB" w:rsidRDefault="00523725" w:rsidP="00AA128D">
            <w:pPr>
              <w:spacing w:after="160" w:line="276" w:lineRule="auto"/>
              <w:jc w:val="both"/>
              <w:rPr>
                <w:rFonts w:asciiTheme="minorHAnsi" w:hAnsiTheme="minorHAnsi" w:cstheme="minorHAnsi"/>
                <w:b/>
              </w:rPr>
            </w:pPr>
          </w:p>
        </w:tc>
        <w:tc>
          <w:tcPr>
            <w:tcW w:w="10986" w:type="dxa"/>
          </w:tcPr>
          <w:p w14:paraId="05444265" w14:textId="1D4B4F22" w:rsidR="00F46DCE" w:rsidRPr="00336452" w:rsidRDefault="00F46DCE" w:rsidP="00AA128D">
            <w:pPr>
              <w:widowControl/>
              <w:autoSpaceDE/>
              <w:autoSpaceDN/>
              <w:spacing w:after="160" w:line="276" w:lineRule="auto"/>
              <w:jc w:val="both"/>
              <w:rPr>
                <w:rFonts w:asciiTheme="minorHAnsi" w:hAnsiTheme="minorHAnsi" w:cstheme="minorHAnsi"/>
                <w:b/>
              </w:rPr>
            </w:pPr>
            <w:r w:rsidRPr="00336452">
              <w:rPr>
                <w:rFonts w:asciiTheme="minorHAnsi" w:hAnsiTheme="minorHAnsi" w:cstheme="minorHAnsi"/>
                <w:b/>
              </w:rPr>
              <w:lastRenderedPageBreak/>
              <w:t>Rationale:</w:t>
            </w:r>
          </w:p>
          <w:p w14:paraId="26B3D7A9" w14:textId="56507785" w:rsidR="00F46DCE" w:rsidRPr="00547959" w:rsidRDefault="00F46DCE"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547959">
              <w:rPr>
                <w:rFonts w:asciiTheme="minorHAnsi" w:hAnsiTheme="minorHAnsi" w:cstheme="minorHAnsi"/>
              </w:rPr>
              <w:t xml:space="preserve">Expense Provisions/Liabilities disallowed u/s 43B </w:t>
            </w:r>
            <w:r w:rsidR="00D31D2F" w:rsidRPr="00547959">
              <w:rPr>
                <w:rFonts w:asciiTheme="minorHAnsi" w:hAnsiTheme="minorHAnsi" w:cstheme="minorHAnsi"/>
              </w:rPr>
              <w:t xml:space="preserve">(u/s 37 of ITA 2025) </w:t>
            </w:r>
            <w:r w:rsidRPr="00547959">
              <w:rPr>
                <w:rFonts w:asciiTheme="minorHAnsi" w:hAnsiTheme="minorHAnsi" w:cstheme="minorHAnsi"/>
              </w:rPr>
              <w:t xml:space="preserve">in earlier years </w:t>
            </w:r>
          </w:p>
          <w:p w14:paraId="5C65465C" w14:textId="3E426358" w:rsidR="00F46DCE" w:rsidRPr="00547959" w:rsidRDefault="00F46DCE" w:rsidP="00AA128D">
            <w:pPr>
              <w:pStyle w:val="ListParagraph"/>
              <w:widowControl/>
              <w:numPr>
                <w:ilvl w:val="0"/>
                <w:numId w:val="5"/>
              </w:numPr>
              <w:autoSpaceDE/>
              <w:autoSpaceDN/>
              <w:spacing w:after="160" w:line="276" w:lineRule="auto"/>
              <w:jc w:val="both"/>
              <w:rPr>
                <w:rFonts w:asciiTheme="minorHAnsi" w:hAnsiTheme="minorHAnsi" w:cstheme="minorHAnsi"/>
              </w:rPr>
            </w:pPr>
            <w:r w:rsidRPr="00547959">
              <w:rPr>
                <w:rFonts w:asciiTheme="minorHAnsi" w:hAnsiTheme="minorHAnsi" w:cstheme="minorHAnsi"/>
              </w:rPr>
              <w:t xml:space="preserve">are subsequently allowed </w:t>
            </w:r>
          </w:p>
          <w:p w14:paraId="34491AB4" w14:textId="14250BC1" w:rsidR="00F46DCE" w:rsidRPr="00547959" w:rsidRDefault="00F46DCE" w:rsidP="00AA128D">
            <w:pPr>
              <w:pStyle w:val="ListParagraph"/>
              <w:widowControl/>
              <w:numPr>
                <w:ilvl w:val="0"/>
                <w:numId w:val="5"/>
              </w:numPr>
              <w:autoSpaceDE/>
              <w:autoSpaceDN/>
              <w:spacing w:after="160" w:line="276" w:lineRule="auto"/>
              <w:jc w:val="both"/>
              <w:rPr>
                <w:rFonts w:asciiTheme="minorHAnsi" w:hAnsiTheme="minorHAnsi" w:cstheme="minorHAnsi"/>
              </w:rPr>
            </w:pPr>
            <w:r w:rsidRPr="00547959">
              <w:rPr>
                <w:rFonts w:asciiTheme="minorHAnsi" w:hAnsiTheme="minorHAnsi" w:cstheme="minorHAnsi"/>
              </w:rPr>
              <w:t xml:space="preserve"> the year in which the same are actually paid, OR </w:t>
            </w:r>
          </w:p>
          <w:p w14:paraId="739238B7" w14:textId="04A0E916" w:rsidR="00F46DCE" w:rsidRPr="00547959" w:rsidRDefault="00F46DCE" w:rsidP="00AA128D">
            <w:pPr>
              <w:pStyle w:val="ListParagraph"/>
              <w:widowControl/>
              <w:numPr>
                <w:ilvl w:val="0"/>
                <w:numId w:val="5"/>
              </w:numPr>
              <w:autoSpaceDE/>
              <w:autoSpaceDN/>
              <w:spacing w:after="160" w:line="276" w:lineRule="auto"/>
              <w:jc w:val="both"/>
              <w:rPr>
                <w:rFonts w:asciiTheme="minorHAnsi" w:hAnsiTheme="minorHAnsi" w:cstheme="minorHAnsi"/>
              </w:rPr>
            </w:pPr>
            <w:r w:rsidRPr="00547959">
              <w:rPr>
                <w:rFonts w:asciiTheme="minorHAnsi" w:hAnsiTheme="minorHAnsi" w:cstheme="minorHAnsi"/>
              </w:rPr>
              <w:t xml:space="preserve">are not taxed again in the year in which the same are reversed and credited to Profit &amp; Loss Account </w:t>
            </w:r>
          </w:p>
          <w:p w14:paraId="4B96AFB4" w14:textId="235134AD" w:rsidR="00F46DCE" w:rsidRPr="00547959" w:rsidRDefault="00F46DCE"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547959">
              <w:rPr>
                <w:rFonts w:asciiTheme="minorHAnsi" w:hAnsiTheme="minorHAnsi" w:cstheme="minorHAnsi"/>
              </w:rPr>
              <w:lastRenderedPageBreak/>
              <w:t xml:space="preserve">However, against such Expense Provisions/Liabilities disallowed u/s 43B in the earlier years, the Tax Auditors have the option in the Tax Audit 3CD Utility under clause 26(i)(A), to mention only (a) the amounts paid and (b) the amounts not paid. </w:t>
            </w:r>
          </w:p>
          <w:p w14:paraId="6EDF6388" w14:textId="7EBED72D" w:rsidR="00F46DCE" w:rsidRPr="00547959" w:rsidRDefault="00F46DCE"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547959">
              <w:rPr>
                <w:rFonts w:asciiTheme="minorHAnsi" w:hAnsiTheme="minorHAnsi" w:cstheme="minorHAnsi"/>
              </w:rPr>
              <w:t xml:space="preserve">There is no separate option for the Tax Auditors to report “the amounts which have been reversed and credited to Profit &amp; Loss Account”  </w:t>
            </w:r>
          </w:p>
          <w:p w14:paraId="0AFA3BC4" w14:textId="2FA3D886" w:rsidR="00F46DCE" w:rsidRPr="00547959" w:rsidRDefault="00F46DCE"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547959">
              <w:rPr>
                <w:rFonts w:asciiTheme="minorHAnsi" w:hAnsiTheme="minorHAnsi" w:cstheme="minorHAnsi"/>
              </w:rPr>
              <w:t>Generally, such Provisions/Liability amounts reversed and credited to Profit &amp; Loss Account are reported by the Tax Auditors in the 3CD Utility under “Amounts not paid” with the remarks “Reversed and Credited to Profit &amp; Loss Account”</w:t>
            </w:r>
          </w:p>
          <w:p w14:paraId="3CD37C49" w14:textId="5F14D329" w:rsidR="00F46DCE" w:rsidRPr="00547959" w:rsidRDefault="00F46DCE"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547959">
              <w:rPr>
                <w:rFonts w:asciiTheme="minorHAnsi" w:hAnsiTheme="minorHAnsi" w:cstheme="minorHAnsi"/>
              </w:rPr>
              <w:t>Accordingly, the assessee in the Computation of Income Tax Return computes the Taxable Income by reducing the same from PBT; however, in the 143(1) Intimation, the CPC does not reduce the same from PBT while computing the Assessed Taxable Income since the same are reported by the Tax Auditors under “Not paid” without considering the Remarks of the Tax Auditor “Reversed and Credited to Profit &amp; Loss Account”;</w:t>
            </w:r>
          </w:p>
          <w:p w14:paraId="33109774" w14:textId="2C2372F0" w:rsidR="00B61955" w:rsidRPr="00547959" w:rsidRDefault="00C27F24"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Pr>
                <w:rFonts w:asciiTheme="minorHAnsi" w:hAnsiTheme="minorHAnsi" w:cstheme="minorHAnsi"/>
              </w:rPr>
              <w:t>C</w:t>
            </w:r>
            <w:r w:rsidR="00B61955" w:rsidRPr="00547959">
              <w:rPr>
                <w:rFonts w:asciiTheme="minorHAnsi" w:hAnsiTheme="minorHAnsi" w:cstheme="minorHAnsi"/>
              </w:rPr>
              <w:t xml:space="preserve">lause 33 of Part B of Form 26 now requires reporting only of the amount which was </w:t>
            </w:r>
            <w:r w:rsidR="00FD5D3C" w:rsidRPr="00547959">
              <w:rPr>
                <w:rFonts w:asciiTheme="minorHAnsi" w:hAnsiTheme="minorHAnsi" w:cstheme="minorHAnsi"/>
              </w:rPr>
              <w:t>disallowed in any previous year and which is allowed in the current year</w:t>
            </w:r>
            <w:r w:rsidR="000B2080" w:rsidRPr="00547959">
              <w:rPr>
                <w:rFonts w:asciiTheme="minorHAnsi" w:hAnsiTheme="minorHAnsi" w:cstheme="minorHAnsi"/>
              </w:rPr>
              <w:t xml:space="preserve">. Hence even the option available earlier in Form 3CD </w:t>
            </w:r>
            <w:r w:rsidR="00E73BBE">
              <w:rPr>
                <w:rFonts w:asciiTheme="minorHAnsi" w:hAnsiTheme="minorHAnsi" w:cstheme="minorHAnsi"/>
              </w:rPr>
              <w:t xml:space="preserve">of reporting amount not paid from preceding year’s outstanding amount </w:t>
            </w:r>
            <w:r w:rsidR="000B2080" w:rsidRPr="00547959">
              <w:rPr>
                <w:rFonts w:asciiTheme="minorHAnsi" w:hAnsiTheme="minorHAnsi" w:cstheme="minorHAnsi"/>
              </w:rPr>
              <w:t>is not available under the revised forms.</w:t>
            </w:r>
          </w:p>
          <w:p w14:paraId="1853CB32" w14:textId="38879C17" w:rsidR="00F46DCE" w:rsidRPr="00336452" w:rsidRDefault="00F46DCE" w:rsidP="00AA128D">
            <w:pPr>
              <w:widowControl/>
              <w:autoSpaceDE/>
              <w:autoSpaceDN/>
              <w:spacing w:after="160" w:line="276" w:lineRule="auto"/>
              <w:jc w:val="both"/>
              <w:rPr>
                <w:rFonts w:asciiTheme="minorHAnsi" w:hAnsiTheme="minorHAnsi" w:cstheme="minorHAnsi"/>
                <w:b/>
              </w:rPr>
            </w:pPr>
            <w:r w:rsidRPr="00336452">
              <w:rPr>
                <w:rFonts w:asciiTheme="minorHAnsi" w:hAnsiTheme="minorHAnsi" w:cstheme="minorHAnsi"/>
                <w:b/>
              </w:rPr>
              <w:t>Recommendation:</w:t>
            </w:r>
          </w:p>
          <w:p w14:paraId="61A70C5D" w14:textId="3883AFA4" w:rsidR="00F46DCE" w:rsidRPr="00547959" w:rsidRDefault="00F46DCE"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547959">
              <w:rPr>
                <w:rFonts w:asciiTheme="minorHAnsi" w:hAnsiTheme="minorHAnsi" w:cstheme="minorHAnsi"/>
              </w:rPr>
              <w:t xml:space="preserve">It is requested to make necessary modifications in the </w:t>
            </w:r>
            <w:r w:rsidR="006E2F24" w:rsidRPr="00547959">
              <w:rPr>
                <w:rFonts w:asciiTheme="minorHAnsi" w:hAnsiTheme="minorHAnsi" w:cstheme="minorHAnsi"/>
              </w:rPr>
              <w:t xml:space="preserve">Form 26 to disclose such amounts as </w:t>
            </w:r>
            <w:r w:rsidR="00C97C7F" w:rsidRPr="00547959">
              <w:rPr>
                <w:rFonts w:asciiTheme="minorHAnsi" w:hAnsiTheme="minorHAnsi" w:cstheme="minorHAnsi"/>
              </w:rPr>
              <w:t>“amounts reversed and credited to profit and loss account</w:t>
            </w:r>
            <w:r w:rsidR="002F4194" w:rsidRPr="00547959">
              <w:rPr>
                <w:rFonts w:asciiTheme="minorHAnsi" w:hAnsiTheme="minorHAnsi" w:cstheme="minorHAnsi"/>
              </w:rPr>
              <w:t xml:space="preserve">” </w:t>
            </w:r>
            <w:r w:rsidR="005F45C2" w:rsidRPr="00547959">
              <w:rPr>
                <w:rFonts w:asciiTheme="minorHAnsi" w:hAnsiTheme="minorHAnsi" w:cstheme="minorHAnsi"/>
              </w:rPr>
              <w:t xml:space="preserve">and the CPC should accordingly computing taxable income by reducing PBT while issuing the intimation Order u/s </w:t>
            </w:r>
            <w:r w:rsidR="00D854F0">
              <w:rPr>
                <w:rFonts w:asciiTheme="minorHAnsi" w:hAnsiTheme="minorHAnsi" w:cstheme="minorHAnsi"/>
              </w:rPr>
              <w:t>270</w:t>
            </w:r>
            <w:r w:rsidR="005F45C2" w:rsidRPr="00547959">
              <w:rPr>
                <w:rFonts w:asciiTheme="minorHAnsi" w:hAnsiTheme="minorHAnsi" w:cstheme="minorHAnsi"/>
              </w:rPr>
              <w:t>(1)</w:t>
            </w:r>
            <w:r w:rsidR="00D854F0">
              <w:rPr>
                <w:rFonts w:asciiTheme="minorHAnsi" w:hAnsiTheme="minorHAnsi" w:cstheme="minorHAnsi"/>
              </w:rPr>
              <w:t xml:space="preserve"> of ITA 2025</w:t>
            </w:r>
            <w:r w:rsidR="005F45C2" w:rsidRPr="00547959">
              <w:rPr>
                <w:rFonts w:asciiTheme="minorHAnsi" w:hAnsiTheme="minorHAnsi" w:cstheme="minorHAnsi"/>
              </w:rPr>
              <w:t>)</w:t>
            </w:r>
          </w:p>
        </w:tc>
      </w:tr>
      <w:tr w:rsidR="00F46DCE" w:rsidRPr="004179E6" w14:paraId="583AB8B3" w14:textId="77777777" w:rsidTr="00210D4C">
        <w:trPr>
          <w:trHeight w:val="20"/>
        </w:trPr>
        <w:tc>
          <w:tcPr>
            <w:tcW w:w="512" w:type="dxa"/>
          </w:tcPr>
          <w:p w14:paraId="61B19D2F" w14:textId="77777777" w:rsidR="00F46DCE" w:rsidRPr="004179E6" w:rsidRDefault="00F46DCE"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75E7F9D3" w14:textId="4B059C0A" w:rsidR="00F46DCE" w:rsidRPr="006A70DB" w:rsidRDefault="00F46DCE" w:rsidP="00AA128D">
            <w:pPr>
              <w:widowControl/>
              <w:autoSpaceDE/>
              <w:autoSpaceDN/>
              <w:spacing w:after="160" w:line="276" w:lineRule="auto"/>
              <w:rPr>
                <w:rFonts w:asciiTheme="minorHAnsi" w:eastAsiaTheme="minorHAnsi" w:hAnsiTheme="minorHAnsi" w:cstheme="minorHAnsi"/>
                <w:b/>
                <w:lang w:val="en-IN" w:eastAsia="en-IN" w:bidi="hi-IN"/>
              </w:rPr>
            </w:pPr>
            <w:r w:rsidRPr="006A70DB">
              <w:rPr>
                <w:rFonts w:asciiTheme="minorHAnsi" w:hAnsiTheme="minorHAnsi" w:cstheme="minorHAnsi"/>
                <w:b/>
              </w:rPr>
              <w:t xml:space="preserve">Clause 34(a) of Form 3CD </w:t>
            </w:r>
            <w:r w:rsidR="009F65B6" w:rsidRPr="006A70DB">
              <w:rPr>
                <w:rFonts w:asciiTheme="minorHAnsi" w:hAnsiTheme="minorHAnsi" w:cstheme="minorHAnsi"/>
                <w:b/>
              </w:rPr>
              <w:t>(</w:t>
            </w:r>
            <w:r w:rsidR="00182F41" w:rsidRPr="006A70DB">
              <w:rPr>
                <w:rFonts w:asciiTheme="minorHAnsi" w:hAnsiTheme="minorHAnsi" w:cstheme="minorHAnsi"/>
                <w:b/>
              </w:rPr>
              <w:t xml:space="preserve">Schedule </w:t>
            </w:r>
            <w:r w:rsidR="00D71AFC" w:rsidRPr="006A70DB">
              <w:rPr>
                <w:rFonts w:asciiTheme="minorHAnsi" w:hAnsiTheme="minorHAnsi" w:cstheme="minorHAnsi"/>
                <w:b/>
              </w:rPr>
              <w:t>– TDS/TCS of Part B of Form 2</w:t>
            </w:r>
            <w:r w:rsidR="00111F94" w:rsidRPr="006A70DB">
              <w:rPr>
                <w:rFonts w:asciiTheme="minorHAnsi" w:hAnsiTheme="minorHAnsi" w:cstheme="minorHAnsi"/>
                <w:b/>
              </w:rPr>
              <w:t>6</w:t>
            </w:r>
            <w:r w:rsidR="00D71AFC" w:rsidRPr="006A70DB">
              <w:rPr>
                <w:rFonts w:asciiTheme="minorHAnsi" w:hAnsiTheme="minorHAnsi" w:cstheme="minorHAnsi"/>
                <w:b/>
              </w:rPr>
              <w:t xml:space="preserve">) </w:t>
            </w:r>
            <w:r w:rsidRPr="006A70DB">
              <w:rPr>
                <w:rFonts w:asciiTheme="minorHAnsi" w:hAnsiTheme="minorHAnsi" w:cstheme="minorHAnsi"/>
                <w:b/>
              </w:rPr>
              <w:t xml:space="preserve">(Expenses as per </w:t>
            </w:r>
            <w:r w:rsidRPr="006A70DB">
              <w:rPr>
                <w:rFonts w:asciiTheme="minorHAnsi" w:hAnsiTheme="minorHAnsi" w:cstheme="minorHAnsi"/>
                <w:b/>
              </w:rPr>
              <w:lastRenderedPageBreak/>
              <w:t>P/L vis-a-vis TDS against same)</w:t>
            </w:r>
            <w:r w:rsidRPr="006A70DB">
              <w:rPr>
                <w:rFonts w:asciiTheme="minorHAnsi" w:eastAsiaTheme="minorHAnsi" w:hAnsiTheme="minorHAnsi" w:cstheme="minorHAnsi"/>
                <w:b/>
                <w:lang w:val="en-IN" w:eastAsia="en-IN" w:bidi="hi-IN"/>
              </w:rPr>
              <w:t xml:space="preserve"> </w:t>
            </w:r>
          </w:p>
          <w:p w14:paraId="5F68071E" w14:textId="77777777" w:rsidR="00F46DCE" w:rsidRPr="006A70DB" w:rsidRDefault="00F46DCE" w:rsidP="00AA128D">
            <w:pPr>
              <w:spacing w:after="160" w:line="276" w:lineRule="auto"/>
              <w:jc w:val="both"/>
              <w:rPr>
                <w:rFonts w:asciiTheme="minorHAnsi" w:hAnsiTheme="minorHAnsi" w:cstheme="minorHAnsi"/>
                <w:b/>
              </w:rPr>
            </w:pPr>
          </w:p>
        </w:tc>
        <w:tc>
          <w:tcPr>
            <w:tcW w:w="10986" w:type="dxa"/>
          </w:tcPr>
          <w:p w14:paraId="34E5E04B" w14:textId="6FF9B40A" w:rsidR="00F46DCE" w:rsidRPr="004179E6" w:rsidRDefault="00F46DCE" w:rsidP="00AA128D">
            <w:pPr>
              <w:spacing w:after="160" w:line="276" w:lineRule="auto"/>
              <w:jc w:val="both"/>
              <w:rPr>
                <w:rFonts w:asciiTheme="minorHAnsi" w:hAnsiTheme="minorHAnsi" w:cstheme="minorHAnsi"/>
                <w:u w:val="single"/>
              </w:rPr>
            </w:pPr>
            <w:r w:rsidRPr="004179E6">
              <w:rPr>
                <w:rFonts w:asciiTheme="minorHAnsi" w:hAnsiTheme="minorHAnsi" w:cstheme="minorHAnsi"/>
                <w:b/>
                <w:bCs/>
              </w:rPr>
              <w:lastRenderedPageBreak/>
              <w:t>Rationale</w:t>
            </w:r>
            <w:r w:rsidRPr="004179E6">
              <w:rPr>
                <w:rFonts w:asciiTheme="minorHAnsi" w:hAnsiTheme="minorHAnsi" w:cstheme="minorHAnsi"/>
                <w:u w:val="single"/>
              </w:rPr>
              <w:t>:</w:t>
            </w:r>
          </w:p>
          <w:p w14:paraId="71DA6147" w14:textId="3E0ED406" w:rsidR="00F46DCE" w:rsidRPr="004179E6" w:rsidRDefault="00F46DCE" w:rsidP="00AA128D">
            <w:pPr>
              <w:pStyle w:val="ListParagraph"/>
              <w:widowControl/>
              <w:numPr>
                <w:ilvl w:val="0"/>
                <w:numId w:val="6"/>
              </w:numPr>
              <w:autoSpaceDE/>
              <w:autoSpaceDN/>
              <w:spacing w:after="160" w:line="276" w:lineRule="auto"/>
              <w:ind w:left="328"/>
              <w:jc w:val="both"/>
              <w:rPr>
                <w:rFonts w:asciiTheme="minorHAnsi" w:hAnsiTheme="minorHAnsi" w:cstheme="minorHAnsi"/>
              </w:rPr>
            </w:pPr>
            <w:r w:rsidRPr="004179E6">
              <w:rPr>
                <w:rFonts w:asciiTheme="minorHAnsi" w:hAnsiTheme="minorHAnsi" w:cstheme="minorHAnsi"/>
              </w:rPr>
              <w:lastRenderedPageBreak/>
              <w:t xml:space="preserve">Clause 34(a) in Form 3CD </w:t>
            </w:r>
            <w:r w:rsidR="00A23CA1">
              <w:rPr>
                <w:rFonts w:asciiTheme="minorHAnsi" w:hAnsiTheme="minorHAnsi" w:cstheme="minorHAnsi"/>
              </w:rPr>
              <w:t>(Schedule</w:t>
            </w:r>
            <w:r w:rsidR="00A23CA1" w:rsidRPr="004179E6">
              <w:rPr>
                <w:rFonts w:asciiTheme="minorHAnsi" w:hAnsiTheme="minorHAnsi" w:cstheme="minorHAnsi"/>
              </w:rPr>
              <w:t xml:space="preserve"> </w:t>
            </w:r>
            <w:r w:rsidR="00A23CA1">
              <w:rPr>
                <w:rFonts w:asciiTheme="minorHAnsi" w:hAnsiTheme="minorHAnsi" w:cstheme="minorHAnsi"/>
              </w:rPr>
              <w:t xml:space="preserve">TDS TCS of Part B of Form 26) </w:t>
            </w:r>
            <w:r w:rsidRPr="004179E6">
              <w:rPr>
                <w:rFonts w:asciiTheme="minorHAnsi" w:hAnsiTheme="minorHAnsi" w:cstheme="minorHAnsi"/>
              </w:rPr>
              <w:t>requires reporting of all TDS/TCS</w:t>
            </w:r>
            <w:r w:rsidR="00D71AFC">
              <w:rPr>
                <w:rFonts w:asciiTheme="minorHAnsi" w:hAnsiTheme="minorHAnsi" w:cstheme="minorHAnsi"/>
              </w:rPr>
              <w:t xml:space="preserve">. </w:t>
            </w:r>
            <w:r w:rsidRPr="004179E6">
              <w:rPr>
                <w:rFonts w:asciiTheme="minorHAnsi" w:hAnsiTheme="minorHAnsi" w:cstheme="minorHAnsi"/>
              </w:rPr>
              <w:t xml:space="preserve">transactions of the taxpayer even if there is no default. </w:t>
            </w:r>
          </w:p>
          <w:p w14:paraId="61D2DE4C" w14:textId="6AA13F4D" w:rsidR="00F46DCE" w:rsidRPr="004179E6" w:rsidRDefault="00516563" w:rsidP="00AA128D">
            <w:pPr>
              <w:pStyle w:val="ListParagraph"/>
              <w:widowControl/>
              <w:numPr>
                <w:ilvl w:val="0"/>
                <w:numId w:val="6"/>
              </w:numPr>
              <w:autoSpaceDE/>
              <w:autoSpaceDN/>
              <w:spacing w:after="160" w:line="276" w:lineRule="auto"/>
              <w:ind w:left="328"/>
              <w:jc w:val="both"/>
              <w:rPr>
                <w:rFonts w:asciiTheme="minorHAnsi" w:hAnsiTheme="minorHAnsi" w:cstheme="minorHAnsi"/>
              </w:rPr>
            </w:pPr>
            <w:r>
              <w:rPr>
                <w:rFonts w:asciiTheme="minorHAnsi" w:hAnsiTheme="minorHAnsi" w:cstheme="minorHAnsi"/>
              </w:rPr>
              <w:t>A</w:t>
            </w:r>
            <w:r w:rsidR="00F46DCE" w:rsidRPr="004179E6">
              <w:rPr>
                <w:rFonts w:asciiTheme="minorHAnsi" w:hAnsiTheme="minorHAnsi" w:cstheme="minorHAnsi"/>
              </w:rPr>
              <w:t xml:space="preserve">lmost all the transactions of a company are captured in the TDS/TCS Returns filed by the company as well as by the supplier/customer. </w:t>
            </w:r>
          </w:p>
          <w:p w14:paraId="71A6ED09" w14:textId="15910009" w:rsidR="00F46DCE" w:rsidRPr="004179E6" w:rsidRDefault="00F46DCE" w:rsidP="00AA128D">
            <w:pPr>
              <w:pStyle w:val="ListParagraph"/>
              <w:widowControl/>
              <w:numPr>
                <w:ilvl w:val="0"/>
                <w:numId w:val="6"/>
              </w:numPr>
              <w:autoSpaceDE/>
              <w:autoSpaceDN/>
              <w:spacing w:after="160" w:line="276" w:lineRule="auto"/>
              <w:ind w:left="328"/>
              <w:jc w:val="both"/>
              <w:rPr>
                <w:rFonts w:asciiTheme="minorHAnsi" w:hAnsiTheme="minorHAnsi" w:cstheme="minorHAnsi"/>
              </w:rPr>
            </w:pPr>
            <w:r w:rsidRPr="004179E6">
              <w:rPr>
                <w:rFonts w:asciiTheme="minorHAnsi" w:hAnsiTheme="minorHAnsi" w:cstheme="minorHAnsi"/>
              </w:rPr>
              <w:t xml:space="preserve">Reporting the said transactions again under Clause 34(a) of Form 3CD may lead to unnecessary duplication of the activities on the part of the assessee. </w:t>
            </w:r>
          </w:p>
          <w:p w14:paraId="2BE073E6" w14:textId="029F7925" w:rsidR="00F46DCE" w:rsidRPr="004179E6" w:rsidRDefault="00F46DCE" w:rsidP="00AA128D">
            <w:pPr>
              <w:pStyle w:val="ListParagraph"/>
              <w:widowControl/>
              <w:numPr>
                <w:ilvl w:val="0"/>
                <w:numId w:val="6"/>
              </w:numPr>
              <w:autoSpaceDE/>
              <w:autoSpaceDN/>
              <w:spacing w:after="160" w:line="276" w:lineRule="auto"/>
              <w:ind w:left="328"/>
              <w:jc w:val="both"/>
              <w:rPr>
                <w:rFonts w:asciiTheme="minorHAnsi" w:hAnsiTheme="minorHAnsi" w:cstheme="minorHAnsi"/>
              </w:rPr>
            </w:pPr>
            <w:r w:rsidRPr="004179E6">
              <w:rPr>
                <w:rFonts w:asciiTheme="minorHAnsi" w:hAnsiTheme="minorHAnsi" w:cstheme="minorHAnsi"/>
              </w:rPr>
              <w:t xml:space="preserve">Moreover, ICAI Guidance Note on Tax Audit recommends maintenance of Reconciliation of the TDS/TCS Transactions vis-à-vis Books of Accounts for the purposes of Tax Audit of Clause 34(a) of the Form 3CD. </w:t>
            </w:r>
          </w:p>
          <w:p w14:paraId="5CCAFB52" w14:textId="3B1EF28F" w:rsidR="00F46DCE" w:rsidRPr="004179E6" w:rsidRDefault="00F46DCE" w:rsidP="00AA128D">
            <w:pPr>
              <w:pStyle w:val="ListParagraph"/>
              <w:widowControl/>
              <w:numPr>
                <w:ilvl w:val="0"/>
                <w:numId w:val="6"/>
              </w:numPr>
              <w:autoSpaceDE/>
              <w:autoSpaceDN/>
              <w:spacing w:after="160" w:line="276" w:lineRule="auto"/>
              <w:ind w:left="328"/>
              <w:jc w:val="both"/>
              <w:rPr>
                <w:rFonts w:asciiTheme="minorHAnsi" w:hAnsiTheme="minorHAnsi" w:cstheme="minorHAnsi"/>
              </w:rPr>
            </w:pPr>
            <w:r w:rsidRPr="004179E6">
              <w:rPr>
                <w:rFonts w:asciiTheme="minorHAnsi" w:hAnsiTheme="minorHAnsi" w:cstheme="minorHAnsi"/>
              </w:rPr>
              <w:t xml:space="preserve">It will be a huge daunting task for the large companies carrying on large volumes of transactions with multiple business complexities to arrange and maintain such reconciliations. </w:t>
            </w:r>
          </w:p>
          <w:p w14:paraId="72185E8A" w14:textId="5FABBDB7" w:rsidR="00F46DCE" w:rsidRPr="004179E6" w:rsidRDefault="00F46DCE" w:rsidP="00AA128D">
            <w:pPr>
              <w:pStyle w:val="ListParagraph"/>
              <w:widowControl/>
              <w:numPr>
                <w:ilvl w:val="0"/>
                <w:numId w:val="6"/>
              </w:numPr>
              <w:autoSpaceDE/>
              <w:autoSpaceDN/>
              <w:spacing w:after="160" w:line="276" w:lineRule="auto"/>
              <w:ind w:left="328"/>
              <w:jc w:val="both"/>
              <w:rPr>
                <w:rFonts w:asciiTheme="minorHAnsi" w:hAnsiTheme="minorHAnsi" w:cstheme="minorHAnsi"/>
              </w:rPr>
            </w:pPr>
            <w:r w:rsidRPr="004179E6">
              <w:rPr>
                <w:rFonts w:asciiTheme="minorHAnsi" w:hAnsiTheme="minorHAnsi" w:cstheme="minorHAnsi"/>
              </w:rPr>
              <w:t xml:space="preserve">The reporting should be restricted to cases of TDS/TCS default whether by way of failure to deduct/collect or short deduction/collection or failure to deposit tax after deducting/collecting.  </w:t>
            </w:r>
          </w:p>
          <w:p w14:paraId="2BEFC799" w14:textId="169A73B2" w:rsidR="00F46DCE" w:rsidRPr="004179E6" w:rsidRDefault="00F46DCE" w:rsidP="00AA128D">
            <w:pPr>
              <w:spacing w:after="160" w:line="276" w:lineRule="auto"/>
              <w:jc w:val="both"/>
              <w:rPr>
                <w:rFonts w:asciiTheme="minorHAnsi" w:hAnsiTheme="minorHAnsi" w:cstheme="minorHAnsi"/>
                <w:u w:val="single"/>
              </w:rPr>
            </w:pPr>
            <w:r w:rsidRPr="004179E6">
              <w:rPr>
                <w:rFonts w:asciiTheme="minorHAnsi" w:hAnsiTheme="minorHAnsi" w:cstheme="minorHAnsi"/>
                <w:b/>
                <w:bCs/>
              </w:rPr>
              <w:t>Recommendation</w:t>
            </w:r>
            <w:r w:rsidRPr="004179E6">
              <w:rPr>
                <w:rFonts w:asciiTheme="minorHAnsi" w:hAnsiTheme="minorHAnsi" w:cstheme="minorHAnsi"/>
                <w:u w:val="single"/>
              </w:rPr>
              <w:t>:</w:t>
            </w:r>
          </w:p>
          <w:p w14:paraId="445050DB" w14:textId="713132EE" w:rsidR="00F46DCE" w:rsidRPr="004179E6" w:rsidRDefault="00F70CC9" w:rsidP="00AA128D">
            <w:pPr>
              <w:pStyle w:val="ListParagraph"/>
              <w:widowControl/>
              <w:numPr>
                <w:ilvl w:val="0"/>
                <w:numId w:val="6"/>
              </w:numPr>
              <w:autoSpaceDE/>
              <w:autoSpaceDN/>
              <w:spacing w:after="160" w:line="276" w:lineRule="auto"/>
              <w:ind w:left="328"/>
              <w:jc w:val="both"/>
              <w:rPr>
                <w:rFonts w:asciiTheme="minorHAnsi" w:hAnsiTheme="minorHAnsi" w:cstheme="minorHAnsi"/>
                <w:b/>
                <w:bCs/>
              </w:rPr>
            </w:pPr>
            <w:r>
              <w:rPr>
                <w:rFonts w:asciiTheme="minorHAnsi" w:hAnsiTheme="minorHAnsi" w:cstheme="minorHAnsi"/>
              </w:rPr>
              <w:t>Schedule</w:t>
            </w:r>
            <w:r w:rsidRPr="004179E6">
              <w:rPr>
                <w:rFonts w:asciiTheme="minorHAnsi" w:hAnsiTheme="minorHAnsi" w:cstheme="minorHAnsi"/>
              </w:rPr>
              <w:t xml:space="preserve"> </w:t>
            </w:r>
            <w:r>
              <w:rPr>
                <w:rFonts w:asciiTheme="minorHAnsi" w:hAnsiTheme="minorHAnsi" w:cstheme="minorHAnsi"/>
              </w:rPr>
              <w:t>TDS TCS of Part B of Form 26</w:t>
            </w:r>
            <w:r w:rsidR="00F46DCE" w:rsidRPr="004179E6">
              <w:rPr>
                <w:rFonts w:asciiTheme="minorHAnsi" w:hAnsiTheme="minorHAnsi" w:cstheme="minorHAnsi"/>
              </w:rPr>
              <w:t>may be deleted for the convenience of the assessee. Alternatively, it may be modified to report only cases of TDS/TCS default rather than report all the transactions.</w:t>
            </w:r>
          </w:p>
        </w:tc>
      </w:tr>
      <w:tr w:rsidR="00F46DCE" w:rsidRPr="004179E6" w14:paraId="12BEB035" w14:textId="77777777" w:rsidTr="00210D4C">
        <w:trPr>
          <w:trHeight w:val="20"/>
        </w:trPr>
        <w:tc>
          <w:tcPr>
            <w:tcW w:w="512" w:type="dxa"/>
          </w:tcPr>
          <w:p w14:paraId="5FCC8E61" w14:textId="77777777" w:rsidR="00F46DCE" w:rsidRPr="004179E6" w:rsidRDefault="00F46DCE"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457F19E5" w14:textId="3FF9CBE3" w:rsidR="00F46DCE" w:rsidRPr="006A70DB" w:rsidRDefault="00F46DCE" w:rsidP="00AA128D">
            <w:pPr>
              <w:spacing w:after="160" w:line="276" w:lineRule="auto"/>
              <w:jc w:val="both"/>
              <w:rPr>
                <w:rFonts w:asciiTheme="minorHAnsi" w:hAnsiTheme="minorHAnsi" w:cstheme="minorHAnsi"/>
                <w:b/>
              </w:rPr>
            </w:pPr>
            <w:r w:rsidRPr="006A70DB">
              <w:rPr>
                <w:rFonts w:asciiTheme="minorHAnsi" w:hAnsiTheme="minorHAnsi" w:cstheme="minorHAnsi"/>
                <w:b/>
              </w:rPr>
              <w:t xml:space="preserve">Section 41(1) </w:t>
            </w:r>
            <w:r w:rsidR="003A227C" w:rsidRPr="006A70DB">
              <w:rPr>
                <w:rFonts w:asciiTheme="minorHAnsi" w:hAnsiTheme="minorHAnsi" w:cstheme="minorHAnsi"/>
                <w:b/>
              </w:rPr>
              <w:t xml:space="preserve">of ITA 1961 </w:t>
            </w:r>
            <w:r w:rsidR="00096426" w:rsidRPr="006A70DB">
              <w:rPr>
                <w:rFonts w:asciiTheme="minorHAnsi" w:hAnsiTheme="minorHAnsi" w:cstheme="minorHAnsi"/>
                <w:b/>
              </w:rPr>
              <w:t>(s.38</w:t>
            </w:r>
            <w:r w:rsidR="00564FC9" w:rsidRPr="006A70DB">
              <w:rPr>
                <w:rFonts w:asciiTheme="minorHAnsi" w:hAnsiTheme="minorHAnsi" w:cstheme="minorHAnsi"/>
                <w:b/>
              </w:rPr>
              <w:t>(1)(a)</w:t>
            </w:r>
            <w:r w:rsidR="00096426" w:rsidRPr="006A70DB">
              <w:rPr>
                <w:rFonts w:asciiTheme="minorHAnsi" w:hAnsiTheme="minorHAnsi" w:cstheme="minorHAnsi"/>
                <w:b/>
              </w:rPr>
              <w:t xml:space="preserve"> of ITA 2025) </w:t>
            </w:r>
            <w:r w:rsidRPr="006A70DB">
              <w:rPr>
                <w:rFonts w:asciiTheme="minorHAnsi" w:hAnsiTheme="minorHAnsi" w:cstheme="minorHAnsi"/>
                <w:b/>
              </w:rPr>
              <w:t xml:space="preserve">- Expense provisions disallowed in earlier year(s) cannot be taxed again in subsequent year when such </w:t>
            </w:r>
            <w:r w:rsidRPr="006A70DB">
              <w:rPr>
                <w:rFonts w:asciiTheme="minorHAnsi" w:hAnsiTheme="minorHAnsi" w:cstheme="minorHAnsi"/>
                <w:b/>
              </w:rPr>
              <w:lastRenderedPageBreak/>
              <w:t>provisions are reversed and credited to P/L Account- changes required in Tax Audit Report utility</w:t>
            </w:r>
          </w:p>
          <w:p w14:paraId="38114D4B" w14:textId="77777777" w:rsidR="00F46DCE" w:rsidRPr="006A70DB" w:rsidRDefault="00F46DCE" w:rsidP="00AA128D">
            <w:pPr>
              <w:spacing w:after="160" w:line="276" w:lineRule="auto"/>
              <w:rPr>
                <w:rFonts w:asciiTheme="minorHAnsi" w:hAnsiTheme="minorHAnsi" w:cstheme="minorHAnsi"/>
                <w:b/>
              </w:rPr>
            </w:pPr>
          </w:p>
        </w:tc>
        <w:tc>
          <w:tcPr>
            <w:tcW w:w="10986" w:type="dxa"/>
          </w:tcPr>
          <w:p w14:paraId="0ACF0DB1" w14:textId="6838298D" w:rsidR="00F46DCE" w:rsidRPr="004179E6" w:rsidRDefault="00F46DCE" w:rsidP="00AA128D">
            <w:pPr>
              <w:widowControl/>
              <w:autoSpaceDE/>
              <w:autoSpaceDN/>
              <w:spacing w:after="160" w:line="276" w:lineRule="auto"/>
              <w:jc w:val="both"/>
              <w:rPr>
                <w:rFonts w:asciiTheme="minorHAnsi" w:hAnsiTheme="minorHAnsi" w:cstheme="minorHAnsi"/>
                <w:b/>
                <w:bCs/>
              </w:rPr>
            </w:pPr>
            <w:r w:rsidRPr="004179E6">
              <w:rPr>
                <w:rFonts w:asciiTheme="minorHAnsi" w:hAnsiTheme="minorHAnsi" w:cstheme="minorHAnsi"/>
                <w:b/>
                <w:bCs/>
              </w:rPr>
              <w:lastRenderedPageBreak/>
              <w:t>Rationale:</w:t>
            </w:r>
          </w:p>
          <w:p w14:paraId="444CF1CD" w14:textId="2739421A" w:rsidR="00F46DCE" w:rsidRPr="004179E6" w:rsidRDefault="00F46DCE"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 xml:space="preserve">Section 41(1) </w:t>
            </w:r>
            <w:r w:rsidR="00564FC9">
              <w:rPr>
                <w:rFonts w:asciiTheme="minorHAnsi" w:hAnsiTheme="minorHAnsi" w:cstheme="minorHAnsi"/>
              </w:rPr>
              <w:t xml:space="preserve">of ITA 1961 </w:t>
            </w:r>
            <w:r w:rsidR="00096426">
              <w:rPr>
                <w:rFonts w:asciiTheme="minorHAnsi" w:hAnsiTheme="minorHAnsi" w:cstheme="minorHAnsi"/>
              </w:rPr>
              <w:t>(s.38</w:t>
            </w:r>
            <w:r w:rsidR="00564FC9">
              <w:rPr>
                <w:rFonts w:asciiTheme="minorHAnsi" w:hAnsiTheme="minorHAnsi" w:cstheme="minorHAnsi"/>
              </w:rPr>
              <w:t>(1)(a)</w:t>
            </w:r>
            <w:r w:rsidR="00096426">
              <w:rPr>
                <w:rFonts w:asciiTheme="minorHAnsi" w:hAnsiTheme="minorHAnsi" w:cstheme="minorHAnsi"/>
              </w:rPr>
              <w:t xml:space="preserve"> of ITA </w:t>
            </w:r>
            <w:r w:rsidR="00564FC9">
              <w:rPr>
                <w:rFonts w:asciiTheme="minorHAnsi" w:hAnsiTheme="minorHAnsi" w:cstheme="minorHAnsi"/>
              </w:rPr>
              <w:t>2025)</w:t>
            </w:r>
            <w:r w:rsidR="00096426">
              <w:rPr>
                <w:rFonts w:asciiTheme="minorHAnsi" w:hAnsiTheme="minorHAnsi" w:cstheme="minorHAnsi"/>
              </w:rPr>
              <w:t xml:space="preserve"> </w:t>
            </w:r>
            <w:r w:rsidR="002A6B33">
              <w:rPr>
                <w:rFonts w:asciiTheme="minorHAnsi" w:hAnsiTheme="minorHAnsi" w:cstheme="minorHAnsi"/>
              </w:rPr>
              <w:t>was introduced</w:t>
            </w:r>
            <w:r w:rsidRPr="004179E6">
              <w:rPr>
                <w:rFonts w:asciiTheme="minorHAnsi" w:hAnsiTheme="minorHAnsi" w:cstheme="minorHAnsi"/>
              </w:rPr>
              <w:t xml:space="preserve"> to cover a particular fact/situation. This Section applies where a trading liability was allowed as a deduction in earlier years in computing the business income of the assessee and the assessee has obtained a benefit in respect of such trading liability in later year by way of remission or cessation of the liability. In such a case, the section says that whatever benefit has arisen to the assessee in the later year by way of remission of the liability will be brought to tax in that year. The principle behind the section is to </w:t>
            </w:r>
            <w:r w:rsidRPr="004179E6">
              <w:rPr>
                <w:rFonts w:asciiTheme="minorHAnsi" w:hAnsiTheme="minorHAnsi" w:cstheme="minorHAnsi"/>
              </w:rPr>
              <w:lastRenderedPageBreak/>
              <w:t xml:space="preserve">ensure that the assessee may not get way with a double benefit once by way of deduction in an earlier assessment year and again by not being taxed on the benefit received by him in a later year with reference to the liability earlier allowed as a deduction. </w:t>
            </w:r>
          </w:p>
          <w:p w14:paraId="051AB4DA" w14:textId="77777777" w:rsidR="001A4727" w:rsidRDefault="00F46DCE"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 xml:space="preserve">The tax auditor has to mention in </w:t>
            </w:r>
            <w:r w:rsidR="009F138D">
              <w:rPr>
                <w:rFonts w:asciiTheme="minorHAnsi" w:hAnsiTheme="minorHAnsi" w:cstheme="minorHAnsi"/>
              </w:rPr>
              <w:t xml:space="preserve">Schedule – computation of receipt/income </w:t>
            </w:r>
            <w:r w:rsidRPr="004179E6">
              <w:rPr>
                <w:rFonts w:asciiTheme="minorHAnsi" w:hAnsiTheme="minorHAnsi" w:cstheme="minorHAnsi"/>
              </w:rPr>
              <w:t xml:space="preserve">of Form </w:t>
            </w:r>
            <w:r w:rsidR="009F138D">
              <w:rPr>
                <w:rFonts w:asciiTheme="minorHAnsi" w:hAnsiTheme="minorHAnsi" w:cstheme="minorHAnsi"/>
              </w:rPr>
              <w:t xml:space="preserve">26 </w:t>
            </w:r>
            <w:r w:rsidRPr="004179E6">
              <w:rPr>
                <w:rFonts w:asciiTheme="minorHAnsi" w:hAnsiTheme="minorHAnsi" w:cstheme="minorHAnsi"/>
              </w:rPr>
              <w:t>all such profits chargeable to tax u/s 41</w:t>
            </w:r>
            <w:r w:rsidR="00BA342F">
              <w:rPr>
                <w:rFonts w:asciiTheme="minorHAnsi" w:hAnsiTheme="minorHAnsi" w:cstheme="minorHAnsi"/>
              </w:rPr>
              <w:t xml:space="preserve"> of ITA 1961 (S. 38 of ITA 2025)</w:t>
            </w:r>
            <w:r w:rsidRPr="004179E6">
              <w:rPr>
                <w:rFonts w:asciiTheme="minorHAnsi" w:hAnsiTheme="minorHAnsi" w:cstheme="minorHAnsi"/>
              </w:rPr>
              <w:t xml:space="preserve"> irrespective of the fact whether the relevant amounts have been credited to Profit &amp; Loss Account or not</w:t>
            </w:r>
            <w:r w:rsidR="001A4727">
              <w:rPr>
                <w:rFonts w:asciiTheme="minorHAnsi" w:hAnsiTheme="minorHAnsi" w:cstheme="minorHAnsi"/>
              </w:rPr>
              <w:t>.</w:t>
            </w:r>
          </w:p>
          <w:p w14:paraId="3161B58B" w14:textId="6C98D420" w:rsidR="00F46DCE" w:rsidRPr="001A4727" w:rsidRDefault="00F46DCE"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1A4727">
              <w:rPr>
                <w:rFonts w:asciiTheme="minorHAnsi" w:hAnsiTheme="minorHAnsi" w:cstheme="minorHAnsi"/>
              </w:rPr>
              <w:t>Once an Expense is offered/surrendered for taxation in one year cannot be disallowed again in subsequent year; hence expense provisions made in books which have been surrendered for taxation in one year should not be taxed again in the subsequent year when such provisions are actually utilized or written back and credited to Profit &amp; Loss Account and therefore such reversal of provisions by credit to Profit &amp; Loss Account cannot be taxed u/s 41(1)</w:t>
            </w:r>
            <w:r w:rsidR="00BA342F" w:rsidRPr="001A4727">
              <w:rPr>
                <w:rFonts w:asciiTheme="minorHAnsi" w:hAnsiTheme="minorHAnsi" w:cstheme="minorHAnsi"/>
              </w:rPr>
              <w:t xml:space="preserve"> of ITA 1961 (S. 38 of ITA 2025)</w:t>
            </w:r>
            <w:r w:rsidR="001A4727">
              <w:rPr>
                <w:rFonts w:asciiTheme="minorHAnsi" w:hAnsiTheme="minorHAnsi" w:cstheme="minorHAnsi"/>
              </w:rPr>
              <w:t>.</w:t>
            </w:r>
          </w:p>
          <w:p w14:paraId="0C7E5EDB" w14:textId="037B3F93" w:rsidR="00F46DCE" w:rsidRPr="004179E6" w:rsidRDefault="00F46DCE" w:rsidP="00AA128D">
            <w:pPr>
              <w:widowControl/>
              <w:autoSpaceDE/>
              <w:autoSpaceDN/>
              <w:spacing w:after="160" w:line="276" w:lineRule="auto"/>
              <w:jc w:val="both"/>
              <w:rPr>
                <w:rFonts w:asciiTheme="minorHAnsi" w:hAnsiTheme="minorHAnsi" w:cstheme="minorHAnsi"/>
                <w:b/>
                <w:bCs/>
              </w:rPr>
            </w:pPr>
            <w:r w:rsidRPr="004179E6">
              <w:rPr>
                <w:rFonts w:asciiTheme="minorHAnsi" w:hAnsiTheme="minorHAnsi" w:cstheme="minorHAnsi"/>
                <w:b/>
                <w:bCs/>
              </w:rPr>
              <w:t>Recommendation:</w:t>
            </w:r>
          </w:p>
          <w:p w14:paraId="6709A45D" w14:textId="5A254199" w:rsidR="00F46DCE" w:rsidRPr="004179E6" w:rsidRDefault="00F46DCE" w:rsidP="00AA128D">
            <w:pPr>
              <w:widowControl/>
              <w:autoSpaceDE/>
              <w:autoSpaceDN/>
              <w:spacing w:after="160" w:line="276" w:lineRule="auto"/>
              <w:jc w:val="both"/>
              <w:rPr>
                <w:rFonts w:asciiTheme="minorHAnsi" w:hAnsiTheme="minorHAnsi" w:cstheme="minorHAnsi"/>
              </w:rPr>
            </w:pPr>
            <w:r w:rsidRPr="004179E6">
              <w:rPr>
                <w:rFonts w:asciiTheme="minorHAnsi" w:hAnsiTheme="minorHAnsi" w:cstheme="minorHAnsi"/>
              </w:rPr>
              <w:t>It is requested to:</w:t>
            </w:r>
          </w:p>
          <w:p w14:paraId="77F37573" w14:textId="0E05D35C" w:rsidR="00F46DCE" w:rsidRPr="004179E6" w:rsidRDefault="00F46DCE"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Incorporate separate sections so that the expenses (mainly provisions made in books) which have been disallowed/offered/surrendered for taxation in one year should not be taxed again in the subsequent year when such provisions are written back and credited to Profit &amp; Loss Account and accordingly to be reduced from Book PBT to compute the Taxable Income</w:t>
            </w:r>
          </w:p>
          <w:p w14:paraId="51EDABAC" w14:textId="26B17162" w:rsidR="00F46DCE" w:rsidRPr="004179E6" w:rsidRDefault="00F46DCE"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 xml:space="preserve">To incorporate specific clause in Form </w:t>
            </w:r>
            <w:r w:rsidR="00BA342F">
              <w:rPr>
                <w:rFonts w:asciiTheme="minorHAnsi" w:hAnsiTheme="minorHAnsi" w:cstheme="minorHAnsi"/>
              </w:rPr>
              <w:t xml:space="preserve">26 </w:t>
            </w:r>
            <w:r w:rsidRPr="004179E6">
              <w:rPr>
                <w:rFonts w:asciiTheme="minorHAnsi" w:hAnsiTheme="minorHAnsi" w:cstheme="minorHAnsi"/>
              </w:rPr>
              <w:t>for the tax auditors to specify such amounts which have been actually utilized or written back and credited to Profit &amp; Loss Account</w:t>
            </w:r>
          </w:p>
          <w:p w14:paraId="25DFB8BB" w14:textId="3F09D74C" w:rsidR="00F46DCE" w:rsidRPr="004179E6" w:rsidRDefault="00F46DCE"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The principle behind the aforesaid proposal is to ensure that the assesses are not subjected to double taxation</w:t>
            </w:r>
          </w:p>
        </w:tc>
      </w:tr>
      <w:tr w:rsidR="003C31EB" w:rsidRPr="004179E6" w14:paraId="0644802E" w14:textId="77777777" w:rsidTr="00210D4C">
        <w:trPr>
          <w:trHeight w:val="20"/>
        </w:trPr>
        <w:tc>
          <w:tcPr>
            <w:tcW w:w="512" w:type="dxa"/>
          </w:tcPr>
          <w:p w14:paraId="17201DFA" w14:textId="77777777" w:rsidR="003C31EB" w:rsidRPr="004179E6" w:rsidRDefault="003C31EB"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462ACDD2" w14:textId="5E04AF1D" w:rsidR="003C31EB" w:rsidRPr="006A70DB" w:rsidRDefault="003C31EB" w:rsidP="00AA128D">
            <w:pPr>
              <w:spacing w:after="160" w:line="276" w:lineRule="auto"/>
              <w:jc w:val="both"/>
              <w:rPr>
                <w:rFonts w:asciiTheme="minorHAnsi" w:hAnsiTheme="minorHAnsi" w:cstheme="minorHAnsi"/>
                <w:b/>
              </w:rPr>
            </w:pPr>
            <w:r w:rsidRPr="006A70DB">
              <w:rPr>
                <w:rFonts w:asciiTheme="minorHAnsi" w:hAnsiTheme="minorHAnsi" w:cstheme="minorHAnsi"/>
                <w:b/>
              </w:rPr>
              <w:t xml:space="preserve">Rule 26, Rule 128 of IT Rules </w:t>
            </w:r>
            <w:r w:rsidRPr="006A70DB">
              <w:rPr>
                <w:rFonts w:asciiTheme="minorHAnsi" w:hAnsiTheme="minorHAnsi" w:cstheme="minorHAnsi"/>
                <w:b/>
              </w:rPr>
              <w:lastRenderedPageBreak/>
              <w:t>1962 (Rule 207 and 76 of Draft IT Rules 2026) requiring SBI TT Buy rate for conversion</w:t>
            </w:r>
          </w:p>
        </w:tc>
        <w:tc>
          <w:tcPr>
            <w:tcW w:w="10986" w:type="dxa"/>
          </w:tcPr>
          <w:p w14:paraId="7326CE7F" w14:textId="77777777" w:rsidR="003C31EB" w:rsidRPr="004179E6" w:rsidRDefault="003C31EB" w:rsidP="00AA128D">
            <w:pPr>
              <w:widowControl/>
              <w:autoSpaceDE/>
              <w:autoSpaceDN/>
              <w:spacing w:after="160" w:line="276" w:lineRule="auto"/>
              <w:jc w:val="both"/>
              <w:rPr>
                <w:rFonts w:asciiTheme="minorHAnsi" w:hAnsiTheme="minorHAnsi" w:cstheme="minorHAnsi"/>
                <w:b/>
                <w:bCs/>
              </w:rPr>
            </w:pPr>
            <w:r w:rsidRPr="004179E6">
              <w:rPr>
                <w:rFonts w:asciiTheme="minorHAnsi" w:hAnsiTheme="minorHAnsi" w:cstheme="minorHAnsi"/>
                <w:b/>
                <w:bCs/>
              </w:rPr>
              <w:lastRenderedPageBreak/>
              <w:t>Rationale:</w:t>
            </w:r>
          </w:p>
          <w:p w14:paraId="5B7C0A38" w14:textId="366938FD" w:rsidR="003C31EB" w:rsidRPr="004179E6" w:rsidRDefault="003C31EB"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lastRenderedPageBreak/>
              <w:t>In case of foreign remittance or claim of foreign tax credit, the relevant income tax rules prescribe use of SBI TT Buy Rate for the purpose of conversion</w:t>
            </w:r>
          </w:p>
          <w:p w14:paraId="784103F0" w14:textId="7F7E1C56" w:rsidR="003C31EB" w:rsidRPr="004179E6" w:rsidRDefault="003C31EB"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SBI TT Buy Rates are not easily available and again become an onerous compliance. SBI charges fees for giving this information.</w:t>
            </w:r>
          </w:p>
          <w:p w14:paraId="7140F43D" w14:textId="50951608" w:rsidR="003C31EB" w:rsidRPr="004179E6" w:rsidRDefault="003C31EB"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As the foreign remittances from India usually take place against well-accepted foreign currencies, the exchanges rates don’t differ much within payment banks, RBI or SBI</w:t>
            </w:r>
            <w:r>
              <w:rPr>
                <w:rFonts w:asciiTheme="minorHAnsi" w:hAnsiTheme="minorHAnsi" w:cstheme="minorHAnsi"/>
              </w:rPr>
              <w:t>.</w:t>
            </w:r>
          </w:p>
          <w:p w14:paraId="49A30071" w14:textId="77777777" w:rsidR="003C31EB" w:rsidRPr="004179E6" w:rsidRDefault="003C31EB" w:rsidP="00AA128D">
            <w:pPr>
              <w:widowControl/>
              <w:autoSpaceDE/>
              <w:autoSpaceDN/>
              <w:spacing w:after="160" w:line="276" w:lineRule="auto"/>
              <w:jc w:val="both"/>
              <w:rPr>
                <w:rFonts w:asciiTheme="minorHAnsi" w:hAnsiTheme="minorHAnsi" w:cstheme="minorHAnsi"/>
                <w:b/>
                <w:bCs/>
              </w:rPr>
            </w:pPr>
            <w:r w:rsidRPr="004179E6">
              <w:rPr>
                <w:rFonts w:asciiTheme="minorHAnsi" w:hAnsiTheme="minorHAnsi" w:cstheme="minorHAnsi"/>
                <w:b/>
                <w:bCs/>
              </w:rPr>
              <w:t>Recommendation:</w:t>
            </w:r>
          </w:p>
          <w:p w14:paraId="0D54B8DC" w14:textId="77777777" w:rsidR="003C31EB" w:rsidRPr="004179E6" w:rsidRDefault="003C31EB"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Rules should be suitably amended to allow use of foreign exchange rates for well-traded currencies at the transaction value itself or an average exchange rate prevailing on the date of transaction or relevant month.</w:t>
            </w:r>
          </w:p>
        </w:tc>
      </w:tr>
      <w:tr w:rsidR="003C31EB" w:rsidRPr="004179E6" w14:paraId="57E83CA9" w14:textId="77777777" w:rsidTr="00210D4C">
        <w:trPr>
          <w:trHeight w:val="20"/>
        </w:trPr>
        <w:tc>
          <w:tcPr>
            <w:tcW w:w="14454" w:type="dxa"/>
            <w:gridSpan w:val="3"/>
            <w:shd w:val="clear" w:color="auto" w:fill="D0CECE" w:themeFill="background2" w:themeFillShade="E6"/>
          </w:tcPr>
          <w:p w14:paraId="0CF6174A" w14:textId="77777777" w:rsidR="003C31EB" w:rsidRPr="006A70DB" w:rsidRDefault="003C31EB" w:rsidP="00AA128D">
            <w:pPr>
              <w:spacing w:after="160" w:line="276" w:lineRule="auto"/>
              <w:jc w:val="center"/>
              <w:rPr>
                <w:rFonts w:asciiTheme="minorHAnsi" w:hAnsiTheme="minorHAnsi" w:cstheme="minorHAnsi"/>
                <w:b/>
              </w:rPr>
            </w:pPr>
            <w:r w:rsidRPr="006A70DB">
              <w:rPr>
                <w:rFonts w:asciiTheme="minorHAnsi" w:hAnsiTheme="minorHAnsi" w:cstheme="minorHAnsi"/>
                <w:b/>
              </w:rPr>
              <w:lastRenderedPageBreak/>
              <w:t>International taxation</w:t>
            </w:r>
          </w:p>
        </w:tc>
      </w:tr>
      <w:tr w:rsidR="003C31EB" w:rsidRPr="004179E6" w14:paraId="7D5B0040" w14:textId="77777777" w:rsidTr="00210D4C">
        <w:trPr>
          <w:trHeight w:val="20"/>
        </w:trPr>
        <w:tc>
          <w:tcPr>
            <w:tcW w:w="512" w:type="dxa"/>
          </w:tcPr>
          <w:p w14:paraId="2A9C61CA" w14:textId="77777777" w:rsidR="003C31EB" w:rsidRPr="004179E6" w:rsidRDefault="003C31EB"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4C603E53" w14:textId="0492D45F" w:rsidR="003C31EB" w:rsidRPr="006A70DB" w:rsidRDefault="003C31EB" w:rsidP="00AA128D">
            <w:pPr>
              <w:spacing w:after="160" w:line="276" w:lineRule="auto"/>
              <w:rPr>
                <w:rFonts w:asciiTheme="minorHAnsi" w:hAnsiTheme="minorHAnsi" w:cstheme="minorHAnsi"/>
                <w:b/>
              </w:rPr>
            </w:pPr>
            <w:r w:rsidRPr="006A70DB">
              <w:rPr>
                <w:rFonts w:asciiTheme="minorHAnsi" w:hAnsiTheme="minorHAnsi" w:cstheme="minorHAnsi"/>
                <w:b/>
              </w:rPr>
              <w:t>Raising the threshold for Form 15CB (New Form 146) under Rule 37BB of ITR 1962 (Rule 220 of Draft IT Rules 2026)</w:t>
            </w:r>
          </w:p>
        </w:tc>
        <w:tc>
          <w:tcPr>
            <w:tcW w:w="10986" w:type="dxa"/>
          </w:tcPr>
          <w:p w14:paraId="1FEE9EC3" w14:textId="77777777" w:rsidR="003C31EB" w:rsidRPr="004179E6" w:rsidRDefault="003C31EB" w:rsidP="00AA128D">
            <w:pPr>
              <w:tabs>
                <w:tab w:val="center" w:pos="4320"/>
                <w:tab w:val="right" w:pos="8640"/>
              </w:tabs>
              <w:spacing w:after="160" w:line="276" w:lineRule="auto"/>
              <w:jc w:val="both"/>
              <w:rPr>
                <w:rFonts w:asciiTheme="minorHAnsi" w:hAnsiTheme="minorHAnsi" w:cstheme="minorHAnsi"/>
                <w:b/>
              </w:rPr>
            </w:pPr>
            <w:r w:rsidRPr="004179E6">
              <w:rPr>
                <w:rFonts w:asciiTheme="minorHAnsi" w:hAnsiTheme="minorHAnsi" w:cstheme="minorHAnsi"/>
                <w:b/>
              </w:rPr>
              <w:t>Rationale:</w:t>
            </w:r>
          </w:p>
          <w:p w14:paraId="2C79F358" w14:textId="2C10B57E" w:rsidR="003C31EB" w:rsidRPr="004179E6" w:rsidRDefault="003C31EB"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As per Rule 37BB(1) of ITR 1962</w:t>
            </w:r>
            <w:r>
              <w:rPr>
                <w:rFonts w:asciiTheme="minorHAnsi" w:hAnsiTheme="minorHAnsi" w:cstheme="minorHAnsi"/>
              </w:rPr>
              <w:t xml:space="preserve"> (Rule 220(1) of Draft IT Rules 2026)</w:t>
            </w:r>
            <w:r w:rsidRPr="004179E6">
              <w:rPr>
                <w:rFonts w:asciiTheme="minorHAnsi" w:hAnsiTheme="minorHAnsi" w:cstheme="minorHAnsi"/>
              </w:rPr>
              <w:t xml:space="preserve">, any remittance to a non-resident above ₹5,00,000 (in aggregate during a financial year) requires the remitter to obtain a certificate in Form 15CB </w:t>
            </w:r>
            <w:r>
              <w:rPr>
                <w:rFonts w:asciiTheme="minorHAnsi" w:hAnsiTheme="minorHAnsi" w:cstheme="minorHAnsi"/>
              </w:rPr>
              <w:t>(New Form 146)</w:t>
            </w:r>
            <w:r w:rsidRPr="004179E6">
              <w:rPr>
                <w:rFonts w:asciiTheme="minorHAnsi" w:hAnsiTheme="minorHAnsi" w:cstheme="minorHAnsi"/>
              </w:rPr>
              <w:t xml:space="preserve"> from a Chartered Accountant (CA), along with filing Form 15CA</w:t>
            </w:r>
            <w:r>
              <w:rPr>
                <w:rFonts w:asciiTheme="minorHAnsi" w:hAnsiTheme="minorHAnsi" w:cstheme="minorHAnsi"/>
              </w:rPr>
              <w:t xml:space="preserve"> (New Form 145)</w:t>
            </w:r>
            <w:r w:rsidRPr="004179E6">
              <w:rPr>
                <w:rFonts w:asciiTheme="minorHAnsi" w:hAnsiTheme="minorHAnsi" w:cstheme="minorHAnsi"/>
              </w:rPr>
              <w:t>.</w:t>
            </w:r>
          </w:p>
          <w:p w14:paraId="2CF0C5B1" w14:textId="7F826CF4" w:rsidR="003C31EB" w:rsidRPr="004179E6" w:rsidRDefault="003C31EB"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The Income-tax Act 2025 retains the broad obligation to deduct tax on any sum chargeable under the Act. Currently, no increase has been prescribed in the threshold for Form 15CB</w:t>
            </w:r>
            <w:r>
              <w:rPr>
                <w:rFonts w:asciiTheme="minorHAnsi" w:hAnsiTheme="minorHAnsi" w:cstheme="minorHAnsi"/>
              </w:rPr>
              <w:t xml:space="preserve"> (New Form 146)</w:t>
            </w:r>
            <w:r w:rsidRPr="004179E6">
              <w:rPr>
                <w:rFonts w:asciiTheme="minorHAnsi" w:hAnsiTheme="minorHAnsi" w:cstheme="minorHAnsi"/>
              </w:rPr>
              <w:t>.</w:t>
            </w:r>
          </w:p>
          <w:p w14:paraId="160D172E" w14:textId="0BB9BA7B" w:rsidR="003C31EB" w:rsidRPr="004179E6" w:rsidRDefault="003C31EB"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On a practical standpoint, this requirement tends to be overly burdensome, especially for routine or recurring transactions such as import of goods, royalty, software subscriptions, SaaS payments, or freight remittances.</w:t>
            </w:r>
          </w:p>
          <w:p w14:paraId="7F1E271E" w14:textId="77777777" w:rsidR="003C31EB" w:rsidRPr="004179E6" w:rsidRDefault="003C31EB"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lastRenderedPageBreak/>
              <w:t xml:space="preserve">The current threshold was fixed many years ago and has not been revised in line with inflation, rising foreign trade volumes, and digitization of tax compliance. With significant currency depreciation and growth in cross-border trade, the current threshold limit is no longer realistic. </w:t>
            </w:r>
          </w:p>
          <w:p w14:paraId="31B5D387" w14:textId="760F731F" w:rsidR="003C31EB" w:rsidRPr="004179E6" w:rsidRDefault="003C31EB"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 xml:space="preserve">Routine payments like import consignments, software licenses, or consultancy fees often cross this threshold. Businesses (especially SMEs and start-ups) face compliance costs, delays, and dependence on CAs for certification of even small-value transactions. The large number of low-value Form 15CB </w:t>
            </w:r>
            <w:r>
              <w:rPr>
                <w:rFonts w:asciiTheme="minorHAnsi" w:hAnsiTheme="minorHAnsi" w:cstheme="minorHAnsi"/>
              </w:rPr>
              <w:t xml:space="preserve">(New Form 146) </w:t>
            </w:r>
            <w:r w:rsidRPr="004179E6">
              <w:rPr>
                <w:rFonts w:asciiTheme="minorHAnsi" w:hAnsiTheme="minorHAnsi" w:cstheme="minorHAnsi"/>
              </w:rPr>
              <w:t>filings clogs the compliance system, diverting resources from monitoring high-risk/high-value transactions.</w:t>
            </w:r>
          </w:p>
          <w:p w14:paraId="00B9A1B3" w14:textId="7BDC95E7" w:rsidR="003C31EB" w:rsidRPr="004179E6" w:rsidRDefault="003C31EB"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Most countries do not impose such onerous procedural requirements for routine cross-border remittances. Instead, they rely on self-declaration and audit trails.</w:t>
            </w:r>
          </w:p>
          <w:p w14:paraId="56DB09BD" w14:textId="5683C67C" w:rsidR="003C31EB" w:rsidRPr="004179E6" w:rsidRDefault="003C31EB"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With the availability of the Income-tax portal, PAN–based tracking, and Form 26AS/AIS</w:t>
            </w:r>
            <w:r>
              <w:rPr>
                <w:rFonts w:asciiTheme="minorHAnsi" w:hAnsiTheme="minorHAnsi" w:cstheme="minorHAnsi"/>
              </w:rPr>
              <w:t xml:space="preserve"> (New Form 168)</w:t>
            </w:r>
            <w:r w:rsidRPr="004179E6">
              <w:rPr>
                <w:rFonts w:asciiTheme="minorHAnsi" w:hAnsiTheme="minorHAnsi" w:cstheme="minorHAnsi"/>
              </w:rPr>
              <w:t>, the risk of revenue leakage in low-value transactions is minimal.</w:t>
            </w:r>
          </w:p>
          <w:p w14:paraId="5293EA13" w14:textId="7BE3D585" w:rsidR="003C31EB" w:rsidRPr="004179E6" w:rsidRDefault="003C31EB" w:rsidP="00AA128D">
            <w:pPr>
              <w:widowControl/>
              <w:autoSpaceDE/>
              <w:autoSpaceDN/>
              <w:spacing w:after="160" w:line="276" w:lineRule="auto"/>
              <w:jc w:val="both"/>
              <w:rPr>
                <w:rFonts w:asciiTheme="minorHAnsi" w:hAnsiTheme="minorHAnsi" w:cstheme="minorHAnsi"/>
                <w:b/>
                <w:bCs/>
              </w:rPr>
            </w:pPr>
            <w:r w:rsidRPr="004179E6">
              <w:rPr>
                <w:rFonts w:asciiTheme="minorHAnsi" w:hAnsiTheme="minorHAnsi" w:cstheme="minorHAnsi"/>
                <w:b/>
                <w:bCs/>
              </w:rPr>
              <w:t>Recommendation:</w:t>
            </w:r>
          </w:p>
          <w:p w14:paraId="6DBCA65C" w14:textId="07629AE6" w:rsidR="003C31EB" w:rsidRPr="004179E6" w:rsidRDefault="003C31EB"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 xml:space="preserve">It is recommended to necessitate obtaining of Form 15CB </w:t>
            </w:r>
            <w:r>
              <w:rPr>
                <w:rFonts w:asciiTheme="minorHAnsi" w:hAnsiTheme="minorHAnsi" w:cstheme="minorHAnsi"/>
              </w:rPr>
              <w:t xml:space="preserve">(New Form 146) </w:t>
            </w:r>
            <w:r w:rsidRPr="004179E6">
              <w:rPr>
                <w:rFonts w:asciiTheme="minorHAnsi" w:hAnsiTheme="minorHAnsi" w:cstheme="minorHAnsi"/>
              </w:rPr>
              <w:t>only where the remittance or aggregate of remittances during a financial year exceeds ₹25,00,000 or such higher sum as may be considered prudent.</w:t>
            </w:r>
          </w:p>
          <w:p w14:paraId="2343DBFB" w14:textId="79A988F9" w:rsidR="003C31EB" w:rsidRPr="004179E6" w:rsidRDefault="003C31EB"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Alternatively, a graded threshold may be provided for compliances.</w:t>
            </w:r>
          </w:p>
        </w:tc>
      </w:tr>
      <w:tr w:rsidR="003C31EB" w:rsidRPr="004179E6" w14:paraId="629997D9" w14:textId="77777777" w:rsidTr="00210D4C">
        <w:trPr>
          <w:trHeight w:val="20"/>
        </w:trPr>
        <w:tc>
          <w:tcPr>
            <w:tcW w:w="512" w:type="dxa"/>
          </w:tcPr>
          <w:p w14:paraId="2A453909" w14:textId="77777777" w:rsidR="003C31EB" w:rsidRPr="004179E6" w:rsidRDefault="003C31EB"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3CA9CB7D" w14:textId="4F4325B7" w:rsidR="003C31EB" w:rsidRPr="006A70DB" w:rsidRDefault="003C31EB" w:rsidP="00AA128D">
            <w:pPr>
              <w:spacing w:after="160" w:line="276" w:lineRule="auto"/>
              <w:rPr>
                <w:rFonts w:asciiTheme="minorHAnsi" w:hAnsiTheme="minorHAnsi" w:cstheme="minorHAnsi"/>
                <w:b/>
              </w:rPr>
            </w:pPr>
            <w:r w:rsidRPr="006A70DB">
              <w:rPr>
                <w:rFonts w:asciiTheme="minorHAnsi" w:hAnsiTheme="minorHAnsi" w:cstheme="minorHAnsi"/>
                <w:b/>
              </w:rPr>
              <w:t>Foreign Tax Credit on aggregate basis - Rule 128 of IT Rules 1962 (Rule 76 of Draft IT Rules 2026)</w:t>
            </w:r>
          </w:p>
        </w:tc>
        <w:tc>
          <w:tcPr>
            <w:tcW w:w="10986" w:type="dxa"/>
          </w:tcPr>
          <w:p w14:paraId="58F03D3F" w14:textId="77777777" w:rsidR="003C31EB" w:rsidRPr="004179E6" w:rsidRDefault="003C31EB" w:rsidP="00AA128D">
            <w:pPr>
              <w:tabs>
                <w:tab w:val="center" w:pos="4320"/>
                <w:tab w:val="right" w:pos="8640"/>
              </w:tabs>
              <w:spacing w:after="160" w:line="276" w:lineRule="auto"/>
              <w:jc w:val="both"/>
              <w:rPr>
                <w:rFonts w:asciiTheme="minorHAnsi" w:hAnsiTheme="minorHAnsi" w:cstheme="minorHAnsi"/>
              </w:rPr>
            </w:pPr>
            <w:r w:rsidRPr="004179E6">
              <w:rPr>
                <w:rFonts w:asciiTheme="minorHAnsi" w:hAnsiTheme="minorHAnsi" w:cstheme="minorHAnsi"/>
                <w:b/>
              </w:rPr>
              <w:t>Rationale</w:t>
            </w:r>
            <w:r w:rsidRPr="004179E6">
              <w:rPr>
                <w:rFonts w:asciiTheme="minorHAnsi" w:hAnsiTheme="minorHAnsi" w:cstheme="minorHAnsi"/>
              </w:rPr>
              <w:t>:</w:t>
            </w:r>
          </w:p>
          <w:p w14:paraId="136A74A1" w14:textId="268439B7" w:rsidR="003C31EB" w:rsidRPr="004179E6" w:rsidRDefault="003C31EB"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An option is available to the assessee to apply either the provisions of domestic law or of the treaty law, whichever is more beneficial to him, in respect of countries with which India has concluded DTAA. CBDT has notified FTC rules according to which the taxpayer is required to compute the FTC.</w:t>
            </w:r>
          </w:p>
          <w:p w14:paraId="7608F6B0" w14:textId="77777777" w:rsidR="003C31EB" w:rsidRPr="004179E6" w:rsidRDefault="003C31EB"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lastRenderedPageBreak/>
              <w:t>Indian MNCs have global operations with permanent establishments in many countries. The present method of computing FTC for each country by referring to the relevant treaty is onerous for both the assessees as well as the tax administration in view of the fact that each tax treaty is a code in itself and has to be contextually interpreted.</w:t>
            </w:r>
          </w:p>
          <w:p w14:paraId="50ECB29A" w14:textId="77777777" w:rsidR="003C31EB" w:rsidRPr="004179E6" w:rsidRDefault="003C31EB" w:rsidP="00AA128D">
            <w:pPr>
              <w:pStyle w:val="Default"/>
              <w:spacing w:after="160" w:line="276" w:lineRule="auto"/>
              <w:jc w:val="both"/>
              <w:rPr>
                <w:rFonts w:asciiTheme="minorHAnsi" w:hAnsiTheme="minorHAnsi" w:cstheme="minorHAnsi"/>
                <w:b/>
                <w:bCs/>
                <w:color w:val="auto"/>
                <w:sz w:val="22"/>
                <w:szCs w:val="22"/>
                <w:u w:val="single"/>
              </w:rPr>
            </w:pPr>
            <w:r w:rsidRPr="004179E6">
              <w:rPr>
                <w:rFonts w:asciiTheme="minorHAnsi" w:hAnsiTheme="minorHAnsi" w:cstheme="minorHAnsi"/>
                <w:b/>
                <w:bCs/>
                <w:color w:val="auto"/>
                <w:sz w:val="22"/>
                <w:szCs w:val="22"/>
              </w:rPr>
              <w:t>Recommendation</w:t>
            </w:r>
            <w:r w:rsidRPr="004179E6">
              <w:rPr>
                <w:rFonts w:asciiTheme="minorHAnsi" w:hAnsiTheme="minorHAnsi" w:cstheme="minorHAnsi"/>
                <w:b/>
                <w:bCs/>
                <w:color w:val="auto"/>
                <w:sz w:val="22"/>
                <w:szCs w:val="22"/>
                <w:u w:val="single"/>
              </w:rPr>
              <w:t xml:space="preserve">: </w:t>
            </w:r>
          </w:p>
          <w:p w14:paraId="238C90BE" w14:textId="55994E78" w:rsidR="003C31EB" w:rsidRPr="004179E6" w:rsidRDefault="003C31EB"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The domestic law should provide for a simpler method of granting FTC by aggregating all foreign sourced incomes. The taxes paid in foreign country should be allowed as credit on aggregate basis against the India tax liability.</w:t>
            </w:r>
          </w:p>
        </w:tc>
      </w:tr>
      <w:tr w:rsidR="003C31EB" w:rsidRPr="004179E6" w14:paraId="7A72910F" w14:textId="77777777" w:rsidTr="00210D4C">
        <w:trPr>
          <w:trHeight w:val="20"/>
        </w:trPr>
        <w:tc>
          <w:tcPr>
            <w:tcW w:w="512" w:type="dxa"/>
          </w:tcPr>
          <w:p w14:paraId="39633CF8" w14:textId="77777777" w:rsidR="003C31EB" w:rsidRPr="004179E6" w:rsidRDefault="003C31EB"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2F26C778" w14:textId="54D1C295" w:rsidR="003C31EB" w:rsidRPr="006A70DB" w:rsidRDefault="003C31EB" w:rsidP="00AA128D">
            <w:pPr>
              <w:spacing w:after="160" w:line="276" w:lineRule="auto"/>
              <w:rPr>
                <w:rFonts w:asciiTheme="minorHAnsi" w:hAnsiTheme="minorHAnsi" w:cstheme="minorHAnsi"/>
                <w:b/>
              </w:rPr>
            </w:pPr>
            <w:r w:rsidRPr="006A70DB">
              <w:rPr>
                <w:rFonts w:asciiTheme="minorHAnsi" w:hAnsiTheme="minorHAnsi" w:cstheme="minorHAnsi"/>
                <w:b/>
              </w:rPr>
              <w:t>Carry-forward of excess Foreign Tax Credit -Rule 128 of IT Rules 1962 (Rule 76 of Draft IT Rules 2026)</w:t>
            </w:r>
          </w:p>
        </w:tc>
        <w:tc>
          <w:tcPr>
            <w:tcW w:w="10986" w:type="dxa"/>
          </w:tcPr>
          <w:p w14:paraId="7DBF041B" w14:textId="77777777" w:rsidR="003C31EB" w:rsidRPr="004179E6" w:rsidRDefault="003C31EB" w:rsidP="00AA128D">
            <w:pPr>
              <w:tabs>
                <w:tab w:val="center" w:pos="4320"/>
                <w:tab w:val="right" w:pos="8640"/>
              </w:tabs>
              <w:spacing w:after="160" w:line="276" w:lineRule="auto"/>
              <w:jc w:val="both"/>
              <w:rPr>
                <w:rFonts w:asciiTheme="minorHAnsi" w:hAnsiTheme="minorHAnsi" w:cstheme="minorHAnsi"/>
              </w:rPr>
            </w:pPr>
            <w:r w:rsidRPr="004179E6">
              <w:rPr>
                <w:rFonts w:asciiTheme="minorHAnsi" w:hAnsiTheme="minorHAnsi" w:cstheme="minorHAnsi"/>
                <w:b/>
              </w:rPr>
              <w:t>Rationale</w:t>
            </w:r>
            <w:r w:rsidRPr="004179E6">
              <w:rPr>
                <w:rFonts w:asciiTheme="minorHAnsi" w:hAnsiTheme="minorHAnsi" w:cstheme="minorHAnsi"/>
              </w:rPr>
              <w:t>:</w:t>
            </w:r>
          </w:p>
          <w:p w14:paraId="240D84E2" w14:textId="3E4C8EB8" w:rsidR="003C31EB" w:rsidRPr="004179E6" w:rsidRDefault="003C31EB"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t>The FTC is restricted to the tax liability of the assessee in India. In the following situations, the assessee is not granted full credit for the foreign taxes paid:</w:t>
            </w:r>
          </w:p>
          <w:p w14:paraId="35AF9C5B" w14:textId="491749AC" w:rsidR="003C31EB" w:rsidRPr="004179E6" w:rsidRDefault="003C31EB" w:rsidP="00AA128D">
            <w:pPr>
              <w:pStyle w:val="ListParagraph"/>
              <w:widowControl/>
              <w:numPr>
                <w:ilvl w:val="1"/>
                <w:numId w:val="1"/>
              </w:numPr>
              <w:autoSpaceDE/>
              <w:autoSpaceDN/>
              <w:spacing w:after="160" w:line="276" w:lineRule="auto"/>
              <w:ind w:left="720"/>
              <w:jc w:val="both"/>
              <w:rPr>
                <w:rFonts w:asciiTheme="minorHAnsi" w:hAnsiTheme="minorHAnsi" w:cstheme="minorHAnsi"/>
              </w:rPr>
            </w:pPr>
            <w:r w:rsidRPr="004179E6">
              <w:rPr>
                <w:rFonts w:asciiTheme="minorHAnsi" w:hAnsiTheme="minorHAnsi" w:cstheme="minorHAnsi"/>
              </w:rPr>
              <w:t xml:space="preserve">The working formula prescribed in Section 91 </w:t>
            </w:r>
            <w:r>
              <w:rPr>
                <w:rFonts w:asciiTheme="minorHAnsi" w:hAnsiTheme="minorHAnsi" w:cstheme="minorHAnsi"/>
              </w:rPr>
              <w:t>of ITA 1961 (S. 160 of ITA 2025)</w:t>
            </w:r>
            <w:r w:rsidRPr="004179E6">
              <w:rPr>
                <w:rFonts w:asciiTheme="minorHAnsi" w:hAnsiTheme="minorHAnsi" w:cstheme="minorHAnsi"/>
              </w:rPr>
              <w:t xml:space="preserve"> or the relevant tax treaty is not yielding optimal results by way of granting FTC.</w:t>
            </w:r>
          </w:p>
          <w:p w14:paraId="2D0E2920" w14:textId="37644E1C" w:rsidR="003C31EB" w:rsidRPr="004179E6" w:rsidRDefault="003C31EB" w:rsidP="00AA128D">
            <w:pPr>
              <w:pStyle w:val="ListParagraph"/>
              <w:widowControl/>
              <w:numPr>
                <w:ilvl w:val="1"/>
                <w:numId w:val="1"/>
              </w:numPr>
              <w:autoSpaceDE/>
              <w:autoSpaceDN/>
              <w:spacing w:after="160" w:line="276" w:lineRule="auto"/>
              <w:ind w:left="720"/>
              <w:jc w:val="both"/>
              <w:rPr>
                <w:rFonts w:asciiTheme="minorHAnsi" w:hAnsiTheme="minorHAnsi" w:cstheme="minorHAnsi"/>
              </w:rPr>
            </w:pPr>
            <w:r w:rsidRPr="004179E6">
              <w:rPr>
                <w:rFonts w:asciiTheme="minorHAnsi" w:hAnsiTheme="minorHAnsi" w:cstheme="minorHAnsi"/>
              </w:rPr>
              <w:t>Where the assessee incurs a loss on its worldwide income for any assessment year, no FTC is granted.</w:t>
            </w:r>
          </w:p>
          <w:p w14:paraId="134C70D7" w14:textId="77777777" w:rsidR="003C31EB" w:rsidRPr="004179E6" w:rsidRDefault="003C31EB" w:rsidP="00AA128D">
            <w:pPr>
              <w:pStyle w:val="ListParagraph"/>
              <w:widowControl/>
              <w:numPr>
                <w:ilvl w:val="1"/>
                <w:numId w:val="1"/>
              </w:numPr>
              <w:autoSpaceDE/>
              <w:autoSpaceDN/>
              <w:spacing w:after="160" w:line="276" w:lineRule="auto"/>
              <w:ind w:left="720"/>
              <w:jc w:val="both"/>
              <w:rPr>
                <w:rFonts w:asciiTheme="minorHAnsi" w:hAnsiTheme="minorHAnsi" w:cstheme="minorHAnsi"/>
              </w:rPr>
            </w:pPr>
            <w:r w:rsidRPr="004179E6">
              <w:rPr>
                <w:rFonts w:asciiTheme="minorHAnsi" w:hAnsiTheme="minorHAnsi" w:cstheme="minorHAnsi"/>
              </w:rPr>
              <w:t>Where the Indian tax payable on the worldwide income is lower than the foreign tax paid, FTC is partially available.</w:t>
            </w:r>
          </w:p>
          <w:p w14:paraId="7691B521" w14:textId="77777777" w:rsidR="003C31EB" w:rsidRPr="004179E6" w:rsidRDefault="003C31EB" w:rsidP="00AA128D">
            <w:pPr>
              <w:pStyle w:val="ListParagraph"/>
              <w:widowControl/>
              <w:numPr>
                <w:ilvl w:val="1"/>
                <w:numId w:val="1"/>
              </w:numPr>
              <w:autoSpaceDE/>
              <w:autoSpaceDN/>
              <w:spacing w:after="160" w:line="276" w:lineRule="auto"/>
              <w:ind w:left="720"/>
              <w:jc w:val="both"/>
              <w:rPr>
                <w:rFonts w:asciiTheme="minorHAnsi" w:hAnsiTheme="minorHAnsi" w:cstheme="minorHAnsi"/>
              </w:rPr>
            </w:pPr>
            <w:r w:rsidRPr="004179E6">
              <w:rPr>
                <w:rFonts w:asciiTheme="minorHAnsi" w:hAnsiTheme="minorHAnsi" w:cstheme="minorHAnsi"/>
              </w:rPr>
              <w:t>The method of computing the income in the foreign countries is different from the method of computing the income under the Income Tax Act.</w:t>
            </w:r>
          </w:p>
          <w:p w14:paraId="4EDEA8B3" w14:textId="77777777" w:rsidR="003C31EB" w:rsidRPr="004179E6" w:rsidRDefault="003C31EB" w:rsidP="00AA128D">
            <w:pPr>
              <w:pStyle w:val="ListParagraph"/>
              <w:widowControl/>
              <w:numPr>
                <w:ilvl w:val="1"/>
                <w:numId w:val="1"/>
              </w:numPr>
              <w:autoSpaceDE/>
              <w:autoSpaceDN/>
              <w:spacing w:after="160" w:line="276" w:lineRule="auto"/>
              <w:ind w:left="720"/>
              <w:jc w:val="both"/>
              <w:rPr>
                <w:rFonts w:asciiTheme="minorHAnsi" w:hAnsiTheme="minorHAnsi" w:cstheme="minorHAnsi"/>
              </w:rPr>
            </w:pPr>
            <w:r w:rsidRPr="004179E6">
              <w:rPr>
                <w:rFonts w:asciiTheme="minorHAnsi" w:hAnsiTheme="minorHAnsi" w:cstheme="minorHAnsi"/>
              </w:rPr>
              <w:t>The time period within which tax credit should be claimed and allowed is not defined. Owing to differences in laws and practices in tax administration in foreign jurisdictions, the tax liability for any financial year could get determined much after the conclusion of assessment for the same year in India.</w:t>
            </w:r>
          </w:p>
          <w:p w14:paraId="4EFAC2A7" w14:textId="77777777" w:rsidR="003C31EB" w:rsidRPr="004179E6" w:rsidRDefault="003C31EB" w:rsidP="00AA128D">
            <w:pPr>
              <w:spacing w:after="160" w:line="276" w:lineRule="auto"/>
              <w:jc w:val="both"/>
              <w:rPr>
                <w:rFonts w:asciiTheme="minorHAnsi" w:hAnsiTheme="minorHAnsi" w:cstheme="minorHAnsi"/>
              </w:rPr>
            </w:pPr>
            <w:r w:rsidRPr="004179E6">
              <w:rPr>
                <w:rFonts w:asciiTheme="minorHAnsi" w:hAnsiTheme="minorHAnsi" w:cstheme="minorHAnsi"/>
                <w:b/>
              </w:rPr>
              <w:t>Recommendation</w:t>
            </w:r>
            <w:r w:rsidRPr="004179E6">
              <w:rPr>
                <w:rFonts w:asciiTheme="minorHAnsi" w:hAnsiTheme="minorHAnsi" w:cstheme="minorHAnsi"/>
              </w:rPr>
              <w:t>:</w:t>
            </w:r>
          </w:p>
          <w:p w14:paraId="050A6287" w14:textId="77777777" w:rsidR="003C31EB" w:rsidRPr="004179E6" w:rsidRDefault="003C31EB" w:rsidP="00AA128D">
            <w:pPr>
              <w:pStyle w:val="ListParagraph"/>
              <w:widowControl/>
              <w:numPr>
                <w:ilvl w:val="0"/>
                <w:numId w:val="1"/>
              </w:numPr>
              <w:autoSpaceDE/>
              <w:autoSpaceDN/>
              <w:spacing w:after="160" w:line="276" w:lineRule="auto"/>
              <w:ind w:left="360"/>
              <w:jc w:val="both"/>
              <w:rPr>
                <w:rFonts w:asciiTheme="minorHAnsi" w:hAnsiTheme="minorHAnsi" w:cstheme="minorHAnsi"/>
              </w:rPr>
            </w:pPr>
            <w:r w:rsidRPr="004179E6">
              <w:rPr>
                <w:rFonts w:asciiTheme="minorHAnsi" w:hAnsiTheme="minorHAnsi" w:cstheme="minorHAnsi"/>
              </w:rPr>
              <w:lastRenderedPageBreak/>
              <w:t>Assessees need to be allowed carry forward of the “unutilized” foreign tax credit for 5 years. It is recommended to suitably introduce the provisions to allow such relief which is due to the assessee. Accordingly, rule for FTC should provide for the carry forward of the FTC.</w:t>
            </w:r>
          </w:p>
        </w:tc>
      </w:tr>
      <w:tr w:rsidR="003C31EB" w:rsidRPr="004179E6" w14:paraId="730FE805" w14:textId="77777777" w:rsidTr="00210D4C">
        <w:trPr>
          <w:trHeight w:val="20"/>
        </w:trPr>
        <w:tc>
          <w:tcPr>
            <w:tcW w:w="512" w:type="dxa"/>
          </w:tcPr>
          <w:p w14:paraId="31FDE147" w14:textId="77777777" w:rsidR="003C31EB" w:rsidRPr="004179E6" w:rsidRDefault="003C31EB"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73B81C82" w14:textId="36B4F928" w:rsidR="003C31EB" w:rsidRPr="006A70DB" w:rsidRDefault="003C31EB" w:rsidP="00AA128D">
            <w:pPr>
              <w:spacing w:after="160" w:line="276" w:lineRule="auto"/>
              <w:rPr>
                <w:rFonts w:asciiTheme="minorHAnsi" w:hAnsiTheme="minorHAnsi" w:cstheme="minorHAnsi"/>
                <w:b/>
              </w:rPr>
            </w:pPr>
            <w:r w:rsidRPr="006A70DB">
              <w:rPr>
                <w:rFonts w:asciiTheme="minorHAnsi" w:hAnsiTheme="minorHAnsi" w:cstheme="minorHAnsi"/>
                <w:b/>
              </w:rPr>
              <w:t>Request in relation to Rule 10V of IT Rules 1962 (Rule 274 of Draft IT Rules 2026) - Manner of calculation of minimum remuneration to be paid to fund manager</w:t>
            </w:r>
          </w:p>
        </w:tc>
        <w:tc>
          <w:tcPr>
            <w:tcW w:w="10986" w:type="dxa"/>
          </w:tcPr>
          <w:p w14:paraId="7F7B46F7" w14:textId="386D9AB0" w:rsidR="003C31EB" w:rsidRPr="004179E6" w:rsidRDefault="003C31EB" w:rsidP="00AA128D">
            <w:pPr>
              <w:spacing w:after="160" w:line="276" w:lineRule="auto"/>
              <w:jc w:val="both"/>
              <w:rPr>
                <w:rFonts w:asciiTheme="minorHAnsi" w:hAnsiTheme="minorHAnsi" w:cstheme="minorHAnsi"/>
                <w:b/>
              </w:rPr>
            </w:pPr>
            <w:r w:rsidRPr="004179E6">
              <w:rPr>
                <w:rFonts w:asciiTheme="minorHAnsi" w:hAnsiTheme="minorHAnsi" w:cstheme="minorHAnsi"/>
                <w:b/>
              </w:rPr>
              <w:t>Background:</w:t>
            </w:r>
          </w:p>
          <w:p w14:paraId="7B899796" w14:textId="353D2DC0" w:rsidR="003C31EB" w:rsidRPr="004179E6" w:rsidRDefault="003C31EB" w:rsidP="00AA128D">
            <w:pPr>
              <w:pStyle w:val="ListParagraph"/>
              <w:numPr>
                <w:ilvl w:val="0"/>
                <w:numId w:val="110"/>
              </w:numPr>
              <w:spacing w:after="160" w:line="276" w:lineRule="auto"/>
              <w:ind w:left="389"/>
              <w:jc w:val="both"/>
              <w:rPr>
                <w:rFonts w:asciiTheme="minorHAnsi" w:hAnsiTheme="minorHAnsi" w:cstheme="minorHAnsi"/>
              </w:rPr>
            </w:pPr>
            <w:r w:rsidRPr="004179E6">
              <w:rPr>
                <w:rFonts w:asciiTheme="minorHAnsi" w:hAnsiTheme="minorHAnsi" w:cstheme="minorHAnsi"/>
              </w:rPr>
              <w:t>In certain cases, the presence of Fund managers in India may be considered as constituting a Permanent Establishment (‘PE’) under S. 9A of ITA 1961 (corresponding to S. 9(12) of ITA 2025) for the offshore funds managed by such Fund managers. This may create an additional exposure for the offshore fund and may increase its tax liability in India. Thus, to encourage fund managers to shift their base to India and to alleviate their concerns regarding additional tax consequences as result of this shift, the Finance Act, 2015 had clarified that management of an eligible offshore fund by an eligible fund manager in India shall not create a business connection for the eligible offshore fund in India, subject to certain conditions. Though some of the conditions were relaxed by the Finance Act, 2016, 2017 and 2020, Fund managers still have concerns.</w:t>
            </w:r>
          </w:p>
          <w:p w14:paraId="2C87BA28" w14:textId="7D4C84A5" w:rsidR="003C31EB" w:rsidRPr="004179E6" w:rsidRDefault="003C31EB" w:rsidP="00AA128D">
            <w:pPr>
              <w:pStyle w:val="ListParagraph"/>
              <w:numPr>
                <w:ilvl w:val="0"/>
                <w:numId w:val="110"/>
              </w:numPr>
              <w:spacing w:after="160" w:line="276" w:lineRule="auto"/>
              <w:ind w:left="389"/>
              <w:jc w:val="both"/>
              <w:rPr>
                <w:rFonts w:asciiTheme="minorHAnsi" w:hAnsiTheme="minorHAnsi" w:cstheme="minorHAnsi"/>
              </w:rPr>
            </w:pPr>
            <w:r w:rsidRPr="004179E6">
              <w:rPr>
                <w:rFonts w:asciiTheme="minorHAnsi" w:hAnsiTheme="minorHAnsi" w:cstheme="minorHAnsi"/>
              </w:rPr>
              <w:t xml:space="preserve">The remuneration rules have broadly provided the clarity that was required.  However, if few aspects are clarified in greater detail then it will bring absolute clarity in calculation of remuneration to be paid to the fund manager. </w:t>
            </w:r>
          </w:p>
          <w:p w14:paraId="7DE4E0E9" w14:textId="681EE2D3" w:rsidR="003C31EB" w:rsidRPr="004179E6" w:rsidRDefault="003C31EB" w:rsidP="00AA128D">
            <w:pPr>
              <w:pStyle w:val="ListParagraph"/>
              <w:widowControl/>
              <w:numPr>
                <w:ilvl w:val="0"/>
                <w:numId w:val="55"/>
              </w:numPr>
              <w:autoSpaceDE/>
              <w:autoSpaceDN/>
              <w:spacing w:after="160" w:line="276" w:lineRule="auto"/>
              <w:ind w:left="673" w:hanging="180"/>
              <w:jc w:val="both"/>
              <w:rPr>
                <w:rFonts w:asciiTheme="minorHAnsi" w:hAnsiTheme="minorHAnsi" w:cstheme="minorHAnsi"/>
                <w:b/>
              </w:rPr>
            </w:pPr>
            <w:r w:rsidRPr="004179E6">
              <w:rPr>
                <w:rFonts w:asciiTheme="minorHAnsi" w:hAnsiTheme="minorHAnsi" w:cstheme="minorHAnsi"/>
                <w:b/>
              </w:rPr>
              <w:t>Issue:</w:t>
            </w:r>
          </w:p>
          <w:p w14:paraId="509543E1" w14:textId="39C5A6FB" w:rsidR="003C31EB" w:rsidRPr="004179E6" w:rsidRDefault="003C31EB" w:rsidP="00AA128D">
            <w:pPr>
              <w:pStyle w:val="ListParagraph"/>
              <w:numPr>
                <w:ilvl w:val="0"/>
                <w:numId w:val="110"/>
              </w:numPr>
              <w:spacing w:after="160" w:line="276" w:lineRule="auto"/>
              <w:ind w:left="389"/>
              <w:jc w:val="both"/>
              <w:rPr>
                <w:rFonts w:asciiTheme="minorHAnsi" w:hAnsiTheme="minorHAnsi" w:cstheme="minorHAnsi"/>
                <w:i/>
              </w:rPr>
            </w:pPr>
            <w:r w:rsidRPr="004179E6">
              <w:rPr>
                <w:rFonts w:asciiTheme="minorHAnsi" w:hAnsiTheme="minorHAnsi" w:cstheme="minorHAnsi"/>
              </w:rPr>
              <w:t>The term ‘management fee’ as defined in the Explanation to Rule 10V of the Income-tax Rules, 1962  “</w:t>
            </w:r>
            <w:r w:rsidRPr="004179E6">
              <w:rPr>
                <w:rFonts w:asciiTheme="minorHAnsi" w:hAnsiTheme="minorHAnsi" w:cstheme="minorHAnsi"/>
                <w:i/>
              </w:rPr>
              <w:t xml:space="preserve">means the amount as mentioned in the certificate obtained from an accountant, as defined in clause (i) of Explanation to rule 11UB, for this purpose”. </w:t>
            </w:r>
          </w:p>
          <w:p w14:paraId="0D05FAA0" w14:textId="3D7E04DC" w:rsidR="003C31EB" w:rsidRPr="00192A44" w:rsidRDefault="003C31EB" w:rsidP="00AA128D">
            <w:pPr>
              <w:pStyle w:val="ListParagraph"/>
              <w:numPr>
                <w:ilvl w:val="0"/>
                <w:numId w:val="110"/>
              </w:numPr>
              <w:spacing w:after="160" w:line="276" w:lineRule="auto"/>
              <w:jc w:val="both"/>
              <w:rPr>
                <w:rFonts w:asciiTheme="minorHAnsi" w:hAnsiTheme="minorHAnsi" w:cstheme="minorHAnsi"/>
                <w:iCs/>
              </w:rPr>
            </w:pPr>
            <w:r>
              <w:rPr>
                <w:rFonts w:asciiTheme="minorHAnsi" w:hAnsiTheme="minorHAnsi" w:cstheme="minorHAnsi"/>
                <w:iCs/>
              </w:rPr>
              <w:t xml:space="preserve">Same definition has been retained in Rule 274(10)(b) of Draft IT Rules 2026, which defines ‘management fee’ as </w:t>
            </w:r>
            <w:r w:rsidRPr="00192A44">
              <w:rPr>
                <w:rFonts w:asciiTheme="minorHAnsi" w:hAnsiTheme="minorHAnsi" w:cstheme="minorHAnsi"/>
                <w:i/>
              </w:rPr>
              <w:t>“the amount as mentioned in the certificate obtained from an accountant as defined in rule 10(1)(a), for this purpose”</w:t>
            </w:r>
            <w:r>
              <w:rPr>
                <w:rFonts w:asciiTheme="minorHAnsi" w:hAnsiTheme="minorHAnsi" w:cstheme="minorHAnsi"/>
                <w:i/>
              </w:rPr>
              <w:t>.</w:t>
            </w:r>
          </w:p>
          <w:p w14:paraId="123FEAC4" w14:textId="77777777" w:rsidR="003C31EB" w:rsidRPr="004179E6" w:rsidRDefault="003C31EB" w:rsidP="00AA128D">
            <w:pPr>
              <w:spacing w:after="160" w:line="276" w:lineRule="auto"/>
              <w:jc w:val="both"/>
              <w:rPr>
                <w:rFonts w:asciiTheme="minorHAnsi" w:hAnsiTheme="minorHAnsi" w:cstheme="minorHAnsi"/>
                <w:b/>
              </w:rPr>
            </w:pPr>
            <w:r w:rsidRPr="004179E6">
              <w:rPr>
                <w:rFonts w:asciiTheme="minorHAnsi" w:hAnsiTheme="minorHAnsi" w:cstheme="minorHAnsi"/>
                <w:b/>
              </w:rPr>
              <w:lastRenderedPageBreak/>
              <w:t>Recommendation:</w:t>
            </w:r>
          </w:p>
          <w:p w14:paraId="5322FC56" w14:textId="77777777" w:rsidR="003C31EB" w:rsidRPr="004179E6" w:rsidRDefault="003C31EB" w:rsidP="00AA128D">
            <w:pPr>
              <w:pStyle w:val="ListParagraph"/>
              <w:numPr>
                <w:ilvl w:val="0"/>
                <w:numId w:val="110"/>
              </w:numPr>
              <w:spacing w:after="160" w:line="276" w:lineRule="auto"/>
              <w:ind w:left="389"/>
              <w:jc w:val="both"/>
              <w:rPr>
                <w:rFonts w:asciiTheme="minorHAnsi" w:hAnsiTheme="minorHAnsi" w:cstheme="minorHAnsi"/>
              </w:rPr>
            </w:pPr>
            <w:r w:rsidRPr="004179E6">
              <w:rPr>
                <w:rFonts w:asciiTheme="minorHAnsi" w:hAnsiTheme="minorHAnsi" w:cstheme="minorHAnsi"/>
              </w:rPr>
              <w:t xml:space="preserve">In order to avoid any ambiguity which may lead to litigation, we humbly request that the term ‘management fee’ should be specifically defined instead of giving reference to amount mentioned in the certificate obtained from an accountant. </w:t>
            </w:r>
          </w:p>
          <w:p w14:paraId="1BE6CD8D" w14:textId="6F932D6F" w:rsidR="003C31EB" w:rsidRPr="004179E6" w:rsidRDefault="003C31EB" w:rsidP="00AA128D">
            <w:pPr>
              <w:pStyle w:val="ListParagraph"/>
              <w:widowControl/>
              <w:numPr>
                <w:ilvl w:val="0"/>
                <w:numId w:val="55"/>
              </w:numPr>
              <w:autoSpaceDE/>
              <w:autoSpaceDN/>
              <w:spacing w:after="160" w:line="276" w:lineRule="auto"/>
              <w:ind w:left="673" w:hanging="180"/>
              <w:jc w:val="both"/>
              <w:rPr>
                <w:rFonts w:asciiTheme="minorHAnsi" w:hAnsiTheme="minorHAnsi" w:cstheme="minorHAnsi"/>
              </w:rPr>
            </w:pPr>
            <w:r w:rsidRPr="004179E6">
              <w:rPr>
                <w:rFonts w:asciiTheme="minorHAnsi" w:hAnsiTheme="minorHAnsi" w:cstheme="minorHAnsi"/>
                <w:b/>
              </w:rPr>
              <w:t xml:space="preserve">Issue: </w:t>
            </w:r>
          </w:p>
          <w:p w14:paraId="00684A68" w14:textId="53E72E15" w:rsidR="003C31EB" w:rsidRPr="004179E6" w:rsidRDefault="003C31EB" w:rsidP="00AA128D">
            <w:pPr>
              <w:pStyle w:val="ListParagraph"/>
              <w:numPr>
                <w:ilvl w:val="0"/>
                <w:numId w:val="110"/>
              </w:numPr>
              <w:spacing w:after="160" w:line="276" w:lineRule="auto"/>
              <w:ind w:left="389"/>
              <w:jc w:val="both"/>
              <w:rPr>
                <w:rFonts w:asciiTheme="minorHAnsi" w:hAnsiTheme="minorHAnsi" w:cstheme="minorHAnsi"/>
              </w:rPr>
            </w:pPr>
            <w:r w:rsidRPr="004179E6">
              <w:rPr>
                <w:rFonts w:asciiTheme="minorHAnsi" w:hAnsiTheme="minorHAnsi" w:cstheme="minorHAnsi"/>
              </w:rPr>
              <w:t>The term ‘specified hurdle rate’ is defined to “mean a pre-defined threshold beyond which the fund agrees to pay a share of the profits earned by the fund from the fund management activity undertaken by the fund manager.”</w:t>
            </w:r>
          </w:p>
          <w:p w14:paraId="7F7AF624" w14:textId="77777777" w:rsidR="003C31EB" w:rsidRPr="004179E6" w:rsidRDefault="003C31EB" w:rsidP="00AA128D">
            <w:pPr>
              <w:spacing w:after="160" w:line="276" w:lineRule="auto"/>
              <w:jc w:val="both"/>
              <w:rPr>
                <w:rFonts w:asciiTheme="minorHAnsi" w:hAnsiTheme="minorHAnsi" w:cstheme="minorHAnsi"/>
                <w:b/>
              </w:rPr>
            </w:pPr>
            <w:r w:rsidRPr="004179E6">
              <w:rPr>
                <w:rFonts w:asciiTheme="minorHAnsi" w:hAnsiTheme="minorHAnsi" w:cstheme="minorHAnsi"/>
                <w:b/>
              </w:rPr>
              <w:t>Recommendation:</w:t>
            </w:r>
          </w:p>
          <w:p w14:paraId="792A9E82" w14:textId="4EDBBCF6" w:rsidR="003C31EB" w:rsidRPr="004179E6" w:rsidRDefault="003C31EB" w:rsidP="00AA128D">
            <w:pPr>
              <w:pStyle w:val="ListParagraph"/>
              <w:numPr>
                <w:ilvl w:val="0"/>
                <w:numId w:val="110"/>
              </w:numPr>
              <w:spacing w:after="160" w:line="276" w:lineRule="auto"/>
              <w:ind w:left="389"/>
              <w:jc w:val="both"/>
              <w:rPr>
                <w:rFonts w:asciiTheme="minorHAnsi" w:hAnsiTheme="minorHAnsi" w:cstheme="minorHAnsi"/>
              </w:rPr>
            </w:pPr>
            <w:r w:rsidRPr="004179E6">
              <w:rPr>
                <w:rFonts w:asciiTheme="minorHAnsi" w:hAnsiTheme="minorHAnsi" w:cstheme="minorHAnsi"/>
              </w:rPr>
              <w:t>In some instances, the hurdle rate is practically linked to a market index – in order to address this situation, we humbly request that a clarification should be provided to state that such market index linked rates will also be considered as pre-defined.</w:t>
            </w:r>
          </w:p>
        </w:tc>
      </w:tr>
      <w:tr w:rsidR="003C31EB" w:rsidRPr="004179E6" w14:paraId="3CEB3EA6" w14:textId="77777777" w:rsidTr="00210D4C">
        <w:trPr>
          <w:trHeight w:val="20"/>
        </w:trPr>
        <w:tc>
          <w:tcPr>
            <w:tcW w:w="512" w:type="dxa"/>
          </w:tcPr>
          <w:p w14:paraId="4394BF66" w14:textId="77777777" w:rsidR="003C31EB" w:rsidRPr="004179E6" w:rsidRDefault="003C31EB"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6A4AF27F" w14:textId="130433FA" w:rsidR="003C31EB" w:rsidRPr="006A70DB" w:rsidDel="0043452A" w:rsidRDefault="003C31EB" w:rsidP="00AA128D">
            <w:pPr>
              <w:spacing w:after="160" w:line="276" w:lineRule="auto"/>
              <w:rPr>
                <w:rFonts w:asciiTheme="minorHAnsi" w:hAnsiTheme="minorHAnsi" w:cstheme="minorHAnsi"/>
                <w:b/>
              </w:rPr>
            </w:pPr>
            <w:r w:rsidRPr="006A70DB" w:rsidDel="0043452A">
              <w:rPr>
                <w:rFonts w:asciiTheme="minorHAnsi" w:hAnsiTheme="minorHAnsi" w:cstheme="minorHAnsi"/>
                <w:b/>
              </w:rPr>
              <w:t>Challenges emanating from electronic filing of Form 10F for non-resident</w:t>
            </w:r>
            <w:r w:rsidR="00E322EB" w:rsidRPr="006A70DB">
              <w:rPr>
                <w:rFonts w:asciiTheme="minorHAnsi" w:hAnsiTheme="minorHAnsi" w:cstheme="minorHAnsi"/>
                <w:b/>
              </w:rPr>
              <w:t xml:space="preserve"> (New Form 41) </w:t>
            </w:r>
          </w:p>
          <w:p w14:paraId="3C7F8E23" w14:textId="6A825AF7" w:rsidR="003C31EB" w:rsidRPr="006A70DB" w:rsidRDefault="003C31EB" w:rsidP="00AA128D">
            <w:pPr>
              <w:spacing w:after="160" w:line="276" w:lineRule="auto"/>
              <w:rPr>
                <w:rFonts w:asciiTheme="minorHAnsi" w:hAnsiTheme="minorHAnsi" w:cstheme="minorHAnsi"/>
                <w:b/>
              </w:rPr>
            </w:pPr>
          </w:p>
        </w:tc>
        <w:tc>
          <w:tcPr>
            <w:tcW w:w="10986" w:type="dxa"/>
          </w:tcPr>
          <w:p w14:paraId="7FCAEEBD" w14:textId="17C995FC" w:rsidR="003C31EB" w:rsidRPr="004179E6" w:rsidDel="0043452A" w:rsidRDefault="003C31EB" w:rsidP="00AA128D">
            <w:pPr>
              <w:spacing w:after="160" w:line="276" w:lineRule="auto"/>
              <w:rPr>
                <w:rFonts w:asciiTheme="minorHAnsi" w:hAnsiTheme="minorHAnsi" w:cstheme="minorHAnsi"/>
                <w:b/>
              </w:rPr>
            </w:pPr>
            <w:r w:rsidRPr="004179E6" w:rsidDel="0043452A">
              <w:rPr>
                <w:rFonts w:asciiTheme="minorHAnsi" w:hAnsiTheme="minorHAnsi" w:cstheme="minorHAnsi"/>
                <w:b/>
              </w:rPr>
              <w:t>Background and issue:</w:t>
            </w:r>
          </w:p>
          <w:p w14:paraId="450FD4C5" w14:textId="2598ECC0" w:rsidR="003C31EB" w:rsidRPr="004179E6" w:rsidDel="0043452A" w:rsidRDefault="003C31EB" w:rsidP="00AA128D">
            <w:pPr>
              <w:pStyle w:val="ListParagraph"/>
              <w:numPr>
                <w:ilvl w:val="0"/>
                <w:numId w:val="110"/>
              </w:numPr>
              <w:spacing w:after="160" w:line="276" w:lineRule="auto"/>
              <w:ind w:left="389"/>
              <w:jc w:val="both"/>
              <w:rPr>
                <w:rFonts w:asciiTheme="minorHAnsi" w:hAnsiTheme="minorHAnsi" w:cstheme="minorHAnsi"/>
              </w:rPr>
            </w:pPr>
            <w:r w:rsidRPr="004179E6" w:rsidDel="0043452A">
              <w:rPr>
                <w:rFonts w:asciiTheme="minorHAnsi" w:hAnsiTheme="minorHAnsi" w:cstheme="minorHAnsi"/>
              </w:rPr>
              <w:t>In December 2022, Central Board of Direct Taxes (CBDT) issued Notification No. 3 of 2022 dated 16.07.2022, enabling a new category for registering on the income-tax portal, i.e., ‘non-residents not having a PAN and not required to have a PAN to file Form 10F online. There are, however, certain practical challenges which the NRs are facing in e-filing Form 10F. In the absence of PAN, the portal requires tax identification number of home country to file Form 10F electronically.</w:t>
            </w:r>
          </w:p>
          <w:p w14:paraId="2735D5C1" w14:textId="22C56896" w:rsidR="003C31EB" w:rsidRPr="004179E6" w:rsidDel="0043452A" w:rsidRDefault="003C31EB" w:rsidP="00AA128D">
            <w:pPr>
              <w:pStyle w:val="ListParagraph"/>
              <w:numPr>
                <w:ilvl w:val="0"/>
                <w:numId w:val="110"/>
              </w:numPr>
              <w:spacing w:after="160" w:line="276" w:lineRule="auto"/>
              <w:ind w:left="389"/>
              <w:jc w:val="both"/>
              <w:rPr>
                <w:rFonts w:asciiTheme="minorHAnsi" w:hAnsiTheme="minorHAnsi" w:cstheme="minorHAnsi"/>
              </w:rPr>
            </w:pPr>
            <w:r w:rsidRPr="004179E6" w:rsidDel="0043452A">
              <w:rPr>
                <w:rFonts w:asciiTheme="minorHAnsi" w:hAnsiTheme="minorHAnsi" w:cstheme="minorHAnsi"/>
                <w:b/>
                <w:bCs/>
              </w:rPr>
              <w:t>Difficulties in receiving the 'Mobile OTP’</w:t>
            </w:r>
          </w:p>
          <w:p w14:paraId="575601C9" w14:textId="54E66050" w:rsidR="003C31EB" w:rsidRPr="004179E6" w:rsidDel="0043452A" w:rsidRDefault="003C31EB" w:rsidP="00AA128D">
            <w:pPr>
              <w:pStyle w:val="ListParagraph"/>
              <w:numPr>
                <w:ilvl w:val="0"/>
                <w:numId w:val="110"/>
              </w:numPr>
              <w:spacing w:after="160" w:line="276" w:lineRule="auto"/>
              <w:ind w:left="389"/>
              <w:jc w:val="both"/>
              <w:rPr>
                <w:rFonts w:asciiTheme="minorHAnsi" w:hAnsiTheme="minorHAnsi" w:cstheme="minorHAnsi"/>
              </w:rPr>
            </w:pPr>
            <w:r w:rsidRPr="004179E6" w:rsidDel="0043452A">
              <w:rPr>
                <w:rFonts w:asciiTheme="minorHAnsi" w:hAnsiTheme="minorHAnsi" w:cstheme="minorHAnsi"/>
              </w:rPr>
              <w:t>The process for NRs to file 'e-Form 10F' involves a two-step procedure:</w:t>
            </w:r>
          </w:p>
          <w:p w14:paraId="198F7076" w14:textId="02C5B60E" w:rsidR="003C31EB" w:rsidRPr="004179E6" w:rsidDel="0043452A" w:rsidRDefault="003C31EB" w:rsidP="00AA128D">
            <w:pPr>
              <w:pStyle w:val="NormalWeb"/>
              <w:numPr>
                <w:ilvl w:val="1"/>
                <w:numId w:val="120"/>
              </w:numPr>
              <w:shd w:val="clear" w:color="auto" w:fill="FFFFFF"/>
              <w:spacing w:before="0" w:beforeAutospacing="0" w:after="160" w:afterAutospacing="0" w:line="276" w:lineRule="auto"/>
              <w:jc w:val="both"/>
              <w:rPr>
                <w:rFonts w:asciiTheme="minorHAnsi" w:hAnsiTheme="minorHAnsi" w:cstheme="minorHAnsi"/>
                <w:sz w:val="22"/>
                <w:szCs w:val="22"/>
              </w:rPr>
            </w:pPr>
            <w:r w:rsidRPr="004179E6" w:rsidDel="0043452A">
              <w:rPr>
                <w:rFonts w:asciiTheme="minorHAnsi" w:hAnsiTheme="minorHAnsi" w:cstheme="minorHAnsi"/>
                <w:sz w:val="22"/>
                <w:szCs w:val="22"/>
              </w:rPr>
              <w:t>One-time registration on the income-tax portal, creating a login account with User ID and Password</w:t>
            </w:r>
          </w:p>
          <w:p w14:paraId="2EDA1CAF" w14:textId="12E84B05" w:rsidR="003C31EB" w:rsidRPr="004179E6" w:rsidDel="0043452A" w:rsidRDefault="003C31EB" w:rsidP="00AA128D">
            <w:pPr>
              <w:pStyle w:val="NormalWeb"/>
              <w:numPr>
                <w:ilvl w:val="1"/>
                <w:numId w:val="120"/>
              </w:numPr>
              <w:shd w:val="clear" w:color="auto" w:fill="FFFFFF"/>
              <w:spacing w:before="0" w:beforeAutospacing="0" w:after="160" w:afterAutospacing="0" w:line="276" w:lineRule="auto"/>
              <w:jc w:val="both"/>
              <w:rPr>
                <w:rFonts w:asciiTheme="minorHAnsi" w:hAnsiTheme="minorHAnsi" w:cstheme="minorHAnsi"/>
                <w:sz w:val="22"/>
                <w:szCs w:val="22"/>
              </w:rPr>
            </w:pPr>
            <w:r w:rsidRPr="004179E6" w:rsidDel="0043452A">
              <w:rPr>
                <w:rFonts w:asciiTheme="minorHAnsi" w:hAnsiTheme="minorHAnsi" w:cstheme="minorHAnsi"/>
                <w:sz w:val="22"/>
                <w:szCs w:val="22"/>
              </w:rPr>
              <w:lastRenderedPageBreak/>
              <w:t>Submitting 'e-Form 10F' on the income-tax portal after completing the one-time registration (i.e., by logging into the portal and filing the form)</w:t>
            </w:r>
          </w:p>
          <w:p w14:paraId="41734030" w14:textId="3DD6D600" w:rsidR="003C31EB" w:rsidRPr="004179E6" w:rsidDel="0043452A" w:rsidRDefault="003C31EB" w:rsidP="00AA128D">
            <w:pPr>
              <w:pStyle w:val="ListParagraph"/>
              <w:numPr>
                <w:ilvl w:val="0"/>
                <w:numId w:val="110"/>
              </w:numPr>
              <w:spacing w:after="160" w:line="276" w:lineRule="auto"/>
              <w:ind w:left="389"/>
              <w:jc w:val="both"/>
              <w:rPr>
                <w:rFonts w:asciiTheme="minorHAnsi" w:hAnsiTheme="minorHAnsi" w:cstheme="minorHAnsi"/>
              </w:rPr>
            </w:pPr>
            <w:r w:rsidRPr="004179E6" w:rsidDel="0043452A">
              <w:rPr>
                <w:rFonts w:asciiTheme="minorHAnsi" w:hAnsiTheme="minorHAnsi" w:cstheme="minorHAnsi"/>
              </w:rPr>
              <w:t>Both the above steps require validation using both 'Mobile OTP' and 'Email OTP.' NRs are however encountering difficulties in receiving the 'Mobile OTP' on international mobile numbers, thereby preventing successful registration on the income-tax portal and subsequent filing of e-Form 10F</w:t>
            </w:r>
          </w:p>
          <w:p w14:paraId="076C3699" w14:textId="2AA2E5D0" w:rsidR="003C31EB" w:rsidRPr="004179E6" w:rsidDel="0043452A" w:rsidRDefault="003C31EB" w:rsidP="00AA128D">
            <w:pPr>
              <w:pStyle w:val="ListParagraph"/>
              <w:numPr>
                <w:ilvl w:val="0"/>
                <w:numId w:val="110"/>
              </w:numPr>
              <w:spacing w:after="160" w:line="276" w:lineRule="auto"/>
              <w:ind w:left="389"/>
              <w:jc w:val="both"/>
              <w:rPr>
                <w:rFonts w:asciiTheme="minorHAnsi" w:hAnsiTheme="minorHAnsi" w:cstheme="minorHAnsi"/>
              </w:rPr>
            </w:pPr>
            <w:r w:rsidRPr="004179E6" w:rsidDel="0043452A">
              <w:rPr>
                <w:rFonts w:asciiTheme="minorHAnsi" w:hAnsiTheme="minorHAnsi" w:cstheme="minorHAnsi"/>
              </w:rPr>
              <w:t>Further, while a mechanism is provided for resolving queries and raising grievances at e-filing and Centralized Processing Center helpdesk (‘e-filing helpdesk’), time to resolve queries is being observed at 3-4 weeks and sometimes more.</w:t>
            </w:r>
          </w:p>
          <w:p w14:paraId="246F934E" w14:textId="19F468EC" w:rsidR="003C31EB" w:rsidRPr="004179E6" w:rsidDel="0043452A" w:rsidRDefault="003C31EB" w:rsidP="00AA128D">
            <w:pPr>
              <w:pStyle w:val="NormalWeb"/>
              <w:shd w:val="clear" w:color="auto" w:fill="FFFFFF"/>
              <w:spacing w:before="0" w:beforeAutospacing="0" w:after="160" w:afterAutospacing="0" w:line="276" w:lineRule="auto"/>
              <w:jc w:val="both"/>
              <w:rPr>
                <w:rFonts w:asciiTheme="minorHAnsi" w:hAnsiTheme="minorHAnsi" w:cstheme="minorHAnsi"/>
                <w:b/>
                <w:bCs/>
                <w:sz w:val="22"/>
                <w:szCs w:val="22"/>
              </w:rPr>
            </w:pPr>
            <w:r w:rsidRPr="004179E6" w:rsidDel="0043452A">
              <w:rPr>
                <w:rFonts w:asciiTheme="minorHAnsi" w:hAnsiTheme="minorHAnsi" w:cstheme="minorHAnsi"/>
                <w:b/>
                <w:bCs/>
                <w:sz w:val="22"/>
                <w:szCs w:val="22"/>
              </w:rPr>
              <w:t>Concerns around providing date of birth and Tax Identification Number ('TIN') of key person</w:t>
            </w:r>
          </w:p>
          <w:p w14:paraId="3B624DA6" w14:textId="089EF435" w:rsidR="003C31EB" w:rsidRPr="004179E6" w:rsidDel="0043452A" w:rsidRDefault="003C31EB" w:rsidP="00AA128D">
            <w:pPr>
              <w:pStyle w:val="ListParagraph"/>
              <w:numPr>
                <w:ilvl w:val="0"/>
                <w:numId w:val="110"/>
              </w:numPr>
              <w:spacing w:after="160" w:line="276" w:lineRule="auto"/>
              <w:ind w:left="389"/>
              <w:jc w:val="both"/>
              <w:rPr>
                <w:rFonts w:asciiTheme="minorHAnsi" w:hAnsiTheme="minorHAnsi" w:cstheme="minorHAnsi"/>
              </w:rPr>
            </w:pPr>
            <w:r w:rsidRPr="004179E6" w:rsidDel="0043452A">
              <w:rPr>
                <w:rFonts w:asciiTheme="minorHAnsi" w:hAnsiTheme="minorHAnsi" w:cstheme="minorHAnsi"/>
              </w:rPr>
              <w:t>While registering on the income-tax portal, date of birth and Tax Identification Number ('TIN') of key person of the NR is required to be provided. Considering personal information protection laws being in force in the respective countries, NRs have concerns around providing the date of birth and TIN of the individual.</w:t>
            </w:r>
          </w:p>
          <w:p w14:paraId="33D84D3D" w14:textId="2AB31979" w:rsidR="003C31EB" w:rsidRPr="004179E6" w:rsidDel="0043452A" w:rsidRDefault="003C31EB" w:rsidP="00AA128D">
            <w:pPr>
              <w:pStyle w:val="NormalWeb"/>
              <w:shd w:val="clear" w:color="auto" w:fill="FFFFFF"/>
              <w:spacing w:before="0" w:beforeAutospacing="0" w:after="160" w:afterAutospacing="0" w:line="276" w:lineRule="auto"/>
              <w:jc w:val="both"/>
              <w:rPr>
                <w:rFonts w:asciiTheme="minorHAnsi" w:hAnsiTheme="minorHAnsi" w:cstheme="minorHAnsi"/>
                <w:b/>
                <w:bCs/>
                <w:sz w:val="22"/>
                <w:szCs w:val="22"/>
              </w:rPr>
            </w:pPr>
            <w:r w:rsidRPr="004179E6" w:rsidDel="0043452A">
              <w:rPr>
                <w:rFonts w:asciiTheme="minorHAnsi" w:hAnsiTheme="minorHAnsi" w:cstheme="minorHAnsi"/>
                <w:b/>
                <w:bCs/>
                <w:sz w:val="22"/>
                <w:szCs w:val="22"/>
              </w:rPr>
              <w:t>Recommendation:</w:t>
            </w:r>
          </w:p>
          <w:p w14:paraId="6FC4C3CE" w14:textId="72BA16B2" w:rsidR="003C31EB" w:rsidRPr="004179E6" w:rsidDel="0043452A" w:rsidRDefault="003C31EB" w:rsidP="00AA128D">
            <w:pPr>
              <w:pStyle w:val="NormalWeb"/>
              <w:numPr>
                <w:ilvl w:val="2"/>
                <w:numId w:val="120"/>
              </w:numPr>
              <w:shd w:val="clear" w:color="auto" w:fill="FFFFFF"/>
              <w:spacing w:before="0" w:beforeAutospacing="0" w:after="160" w:afterAutospacing="0" w:line="276" w:lineRule="auto"/>
              <w:jc w:val="both"/>
              <w:rPr>
                <w:rFonts w:asciiTheme="minorHAnsi" w:hAnsiTheme="minorHAnsi" w:cstheme="minorHAnsi"/>
                <w:sz w:val="22"/>
                <w:szCs w:val="22"/>
              </w:rPr>
            </w:pPr>
            <w:r w:rsidRPr="004179E6" w:rsidDel="0043452A">
              <w:rPr>
                <w:rFonts w:asciiTheme="minorHAnsi" w:hAnsiTheme="minorHAnsi" w:cstheme="minorHAnsi"/>
                <w:sz w:val="22"/>
                <w:szCs w:val="22"/>
              </w:rPr>
              <w:t>The functionality of getting mobile OTP on international number should be smoothened. Alternatively, the two-factor authentication should be changed to email only authentication, so that the OTPs are received over email.</w:t>
            </w:r>
          </w:p>
          <w:p w14:paraId="485ABDB1" w14:textId="3C6D58EA" w:rsidR="003C31EB" w:rsidRPr="004179E6" w:rsidDel="0043452A" w:rsidRDefault="003C31EB" w:rsidP="00AA128D">
            <w:pPr>
              <w:pStyle w:val="NormalWeb"/>
              <w:numPr>
                <w:ilvl w:val="2"/>
                <w:numId w:val="120"/>
              </w:numPr>
              <w:shd w:val="clear" w:color="auto" w:fill="FFFFFF"/>
              <w:spacing w:before="0" w:beforeAutospacing="0" w:after="160" w:afterAutospacing="0" w:line="276" w:lineRule="auto"/>
              <w:jc w:val="both"/>
              <w:rPr>
                <w:rFonts w:asciiTheme="minorHAnsi" w:hAnsiTheme="minorHAnsi" w:cstheme="minorHAnsi"/>
                <w:sz w:val="22"/>
                <w:szCs w:val="22"/>
              </w:rPr>
            </w:pPr>
            <w:r w:rsidRPr="004179E6" w:rsidDel="0043452A">
              <w:rPr>
                <w:rFonts w:asciiTheme="minorHAnsi" w:hAnsiTheme="minorHAnsi" w:cstheme="minorHAnsi"/>
                <w:sz w:val="22"/>
                <w:szCs w:val="22"/>
              </w:rPr>
              <w:t>Mechanism provided for raising grievances at e-filing helpdesk should be scaled up to resolve queries in a shortened period of 3 working days. A dedicated toll - free number can also be set up for such NRs to call for resolving the OTP issues.</w:t>
            </w:r>
          </w:p>
          <w:p w14:paraId="2FFF4F15" w14:textId="69D62B03" w:rsidR="003C31EB" w:rsidRPr="004179E6" w:rsidDel="0043452A" w:rsidRDefault="003C31EB" w:rsidP="00AA128D">
            <w:pPr>
              <w:pStyle w:val="NormalWeb"/>
              <w:numPr>
                <w:ilvl w:val="2"/>
                <w:numId w:val="120"/>
              </w:numPr>
              <w:shd w:val="clear" w:color="auto" w:fill="FFFFFF"/>
              <w:spacing w:before="0" w:beforeAutospacing="0" w:after="160" w:afterAutospacing="0" w:line="276" w:lineRule="auto"/>
              <w:jc w:val="both"/>
              <w:rPr>
                <w:rFonts w:asciiTheme="minorHAnsi" w:hAnsiTheme="minorHAnsi" w:cstheme="minorHAnsi"/>
                <w:sz w:val="22"/>
                <w:szCs w:val="22"/>
              </w:rPr>
            </w:pPr>
            <w:r w:rsidRPr="004179E6" w:rsidDel="0043452A">
              <w:rPr>
                <w:rFonts w:asciiTheme="minorHAnsi" w:hAnsiTheme="minorHAnsi" w:cstheme="minorHAnsi"/>
                <w:sz w:val="22"/>
                <w:szCs w:val="22"/>
              </w:rPr>
              <w:t>The registration form should be amended so that the registration can be done without providing date of birth and TIN of key person. While the key person’s name, email ID and phone number can be provided as the same is appropriate, NRs are uncomfortable providing personal information such as date of birth and TIN.</w:t>
            </w:r>
          </w:p>
          <w:p w14:paraId="36F68279" w14:textId="77777777" w:rsidR="003C31EB" w:rsidRDefault="003C31EB" w:rsidP="00AA128D">
            <w:pPr>
              <w:pStyle w:val="NormalWeb"/>
              <w:numPr>
                <w:ilvl w:val="2"/>
                <w:numId w:val="120"/>
              </w:numPr>
              <w:shd w:val="clear" w:color="auto" w:fill="FFFFFF"/>
              <w:spacing w:before="0" w:beforeAutospacing="0" w:after="160" w:afterAutospacing="0" w:line="276" w:lineRule="auto"/>
              <w:jc w:val="both"/>
              <w:rPr>
                <w:rFonts w:asciiTheme="minorHAnsi" w:hAnsiTheme="minorHAnsi" w:cstheme="minorHAnsi"/>
                <w:sz w:val="22"/>
                <w:szCs w:val="22"/>
              </w:rPr>
            </w:pPr>
            <w:r w:rsidRPr="004179E6" w:rsidDel="0043452A">
              <w:rPr>
                <w:rFonts w:asciiTheme="minorHAnsi" w:hAnsiTheme="minorHAnsi" w:cstheme="minorHAnsi"/>
                <w:sz w:val="22"/>
                <w:szCs w:val="22"/>
              </w:rPr>
              <w:lastRenderedPageBreak/>
              <w:t>Alternatively, it is recommended to not mandate electronic filing of Form 10F for non-residents not having PAN in India, and the provision to obtain physical copy of Form 10F from such non-residents should be reinstated as it was prior to 2022.</w:t>
            </w:r>
          </w:p>
          <w:p w14:paraId="047CA5A4" w14:textId="45307717" w:rsidR="003C31EB" w:rsidRPr="00C12574" w:rsidRDefault="00716054" w:rsidP="00AA128D">
            <w:pPr>
              <w:pStyle w:val="NormalWeb"/>
              <w:numPr>
                <w:ilvl w:val="2"/>
                <w:numId w:val="120"/>
              </w:numPr>
              <w:shd w:val="clear" w:color="auto" w:fill="FFFFFF"/>
              <w:spacing w:before="0" w:beforeAutospacing="0" w:after="160" w:afterAutospacing="0" w:line="276" w:lineRule="auto"/>
              <w:jc w:val="both"/>
              <w:rPr>
                <w:rFonts w:asciiTheme="minorHAnsi" w:hAnsiTheme="minorHAnsi" w:cstheme="minorHAnsi"/>
                <w:sz w:val="22"/>
                <w:szCs w:val="22"/>
              </w:rPr>
            </w:pPr>
            <w:r>
              <w:rPr>
                <w:rFonts w:asciiTheme="minorHAnsi" w:hAnsiTheme="minorHAnsi" w:cstheme="minorHAnsi"/>
                <w:sz w:val="22"/>
                <w:szCs w:val="22"/>
              </w:rPr>
              <w:t>The Form 10-F is now replaced with New Form 41 as per the Draft Rules, 2026. Where the same system is followed, it is likely that similar issues may arise while filing Form 41</w:t>
            </w:r>
            <w:r w:rsidR="00C12574">
              <w:rPr>
                <w:rFonts w:asciiTheme="minorHAnsi" w:hAnsiTheme="minorHAnsi" w:cstheme="minorHAnsi"/>
                <w:sz w:val="22"/>
                <w:szCs w:val="22"/>
              </w:rPr>
              <w:t>.</w:t>
            </w:r>
          </w:p>
        </w:tc>
      </w:tr>
      <w:tr w:rsidR="003C31EB" w:rsidRPr="004179E6" w14:paraId="48CC6288" w14:textId="77777777" w:rsidTr="00210D4C">
        <w:trPr>
          <w:trHeight w:val="20"/>
        </w:trPr>
        <w:tc>
          <w:tcPr>
            <w:tcW w:w="512" w:type="dxa"/>
          </w:tcPr>
          <w:p w14:paraId="04BED5CA" w14:textId="223D4C01" w:rsidR="003C31EB" w:rsidRPr="004179E6" w:rsidRDefault="003C31EB"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0AC88CBD" w14:textId="77777777" w:rsidR="003C31EB" w:rsidRPr="006A70DB" w:rsidRDefault="003C31EB" w:rsidP="00AA128D">
            <w:pPr>
              <w:spacing w:after="160" w:line="276" w:lineRule="auto"/>
              <w:rPr>
                <w:rFonts w:asciiTheme="minorHAnsi" w:hAnsiTheme="minorHAnsi" w:cstheme="minorHAnsi"/>
                <w:b/>
              </w:rPr>
            </w:pPr>
            <w:r w:rsidRPr="006A70DB">
              <w:rPr>
                <w:rFonts w:asciiTheme="minorHAnsi" w:hAnsiTheme="minorHAnsi" w:cstheme="minorHAnsi"/>
                <w:b/>
              </w:rPr>
              <w:t>Relaxation of Basic Documentation Requirement (Form 10F, TRC, No PE) for Pure Supply of Material Transactions</w:t>
            </w:r>
          </w:p>
          <w:p w14:paraId="2C72FD98" w14:textId="57735EEC" w:rsidR="003C31EB" w:rsidRPr="006A70DB" w:rsidRDefault="003C31EB" w:rsidP="00AA128D">
            <w:pPr>
              <w:spacing w:after="160" w:line="276" w:lineRule="auto"/>
              <w:rPr>
                <w:rFonts w:asciiTheme="minorHAnsi" w:hAnsiTheme="minorHAnsi" w:cstheme="minorHAnsi"/>
                <w:b/>
              </w:rPr>
            </w:pPr>
            <w:r w:rsidRPr="006A70DB">
              <w:rPr>
                <w:rFonts w:asciiTheme="minorHAnsi" w:hAnsiTheme="minorHAnsi" w:cstheme="minorHAnsi"/>
                <w:b/>
              </w:rPr>
              <w:t>S. 90(4) and S. 90(5) of ITA 1961 (S. 159(8) of ITA 2025) r/w Rule 21AB of ITR 1962 (Rule 75 of Draft IT Rules 2026)</w:t>
            </w:r>
          </w:p>
          <w:p w14:paraId="281C5B49" w14:textId="7A775EFB" w:rsidR="003C31EB" w:rsidRPr="006A70DB" w:rsidRDefault="003C31EB" w:rsidP="00AA128D">
            <w:pPr>
              <w:spacing w:after="160" w:line="276" w:lineRule="auto"/>
              <w:rPr>
                <w:rFonts w:asciiTheme="minorHAnsi" w:hAnsiTheme="minorHAnsi" w:cstheme="minorHAnsi"/>
                <w:b/>
              </w:rPr>
            </w:pPr>
          </w:p>
        </w:tc>
        <w:tc>
          <w:tcPr>
            <w:tcW w:w="10986" w:type="dxa"/>
          </w:tcPr>
          <w:p w14:paraId="141DCA58" w14:textId="6D08A27E" w:rsidR="003C31EB" w:rsidRPr="004179E6" w:rsidRDefault="003C31EB" w:rsidP="00AA128D">
            <w:pPr>
              <w:spacing w:after="160" w:line="276" w:lineRule="auto"/>
              <w:rPr>
                <w:rFonts w:asciiTheme="minorHAnsi" w:hAnsiTheme="minorHAnsi" w:cstheme="minorHAnsi"/>
                <w:b/>
              </w:rPr>
            </w:pPr>
            <w:r w:rsidRPr="004179E6">
              <w:rPr>
                <w:rFonts w:asciiTheme="minorHAnsi" w:hAnsiTheme="minorHAnsi" w:cstheme="minorHAnsi"/>
                <w:b/>
              </w:rPr>
              <w:t>Background and Issue:</w:t>
            </w:r>
          </w:p>
          <w:p w14:paraId="204B0141" w14:textId="77777777" w:rsidR="003C31EB" w:rsidRPr="004179E6" w:rsidRDefault="003C31EB" w:rsidP="00AA128D">
            <w:pPr>
              <w:pStyle w:val="NormalWeb"/>
              <w:numPr>
                <w:ilvl w:val="2"/>
                <w:numId w:val="120"/>
              </w:numPr>
              <w:shd w:val="clear" w:color="auto" w:fill="FFFFFF"/>
              <w:spacing w:before="0" w:beforeAutospacing="0" w:after="160" w:afterAutospacing="0" w:line="276" w:lineRule="auto"/>
              <w:ind w:left="389"/>
              <w:jc w:val="both"/>
              <w:rPr>
                <w:rFonts w:asciiTheme="minorHAnsi" w:hAnsiTheme="minorHAnsi" w:cstheme="minorHAnsi"/>
                <w:sz w:val="22"/>
                <w:szCs w:val="22"/>
              </w:rPr>
            </w:pPr>
            <w:r w:rsidRPr="004179E6">
              <w:rPr>
                <w:rFonts w:asciiTheme="minorHAnsi" w:hAnsiTheme="minorHAnsi" w:cstheme="minorHAnsi"/>
                <w:bCs/>
                <w:sz w:val="22"/>
                <w:szCs w:val="22"/>
              </w:rPr>
              <w:t>Under the existing provisions, for cross-border supply transactions, even where the income is clearly not taxable in India (for example, offshore supply of goods on a principal-to-principal basis without any permanent establishment in India), tax authorities continue to insist on complete treaty documentation including:</w:t>
            </w:r>
          </w:p>
          <w:p w14:paraId="20BD6839" w14:textId="1467A86C" w:rsidR="003C31EB" w:rsidRPr="004179E6" w:rsidRDefault="003C31EB" w:rsidP="00AA128D">
            <w:pPr>
              <w:pStyle w:val="NormalWeb"/>
              <w:numPr>
                <w:ilvl w:val="0"/>
                <w:numId w:val="158"/>
              </w:numPr>
              <w:shd w:val="clear" w:color="auto" w:fill="FFFFFF"/>
              <w:spacing w:before="0" w:beforeAutospacing="0" w:after="160" w:afterAutospacing="0" w:line="276" w:lineRule="auto"/>
              <w:jc w:val="both"/>
              <w:rPr>
                <w:rFonts w:asciiTheme="minorHAnsi" w:hAnsiTheme="minorHAnsi" w:cstheme="minorHAnsi"/>
                <w:sz w:val="22"/>
                <w:szCs w:val="22"/>
              </w:rPr>
            </w:pPr>
            <w:r w:rsidRPr="004179E6">
              <w:rPr>
                <w:rFonts w:asciiTheme="minorHAnsi" w:hAnsiTheme="minorHAnsi" w:cstheme="minorHAnsi"/>
                <w:sz w:val="22"/>
                <w:szCs w:val="22"/>
              </w:rPr>
              <w:t>Tax Residency Certificate (TRC)</w:t>
            </w:r>
          </w:p>
          <w:p w14:paraId="1D5403A3" w14:textId="143969F7" w:rsidR="003C31EB" w:rsidRPr="004179E6" w:rsidRDefault="003C31EB" w:rsidP="00AA128D">
            <w:pPr>
              <w:pStyle w:val="NormalWeb"/>
              <w:numPr>
                <w:ilvl w:val="0"/>
                <w:numId w:val="158"/>
              </w:numPr>
              <w:shd w:val="clear" w:color="auto" w:fill="FFFFFF"/>
              <w:spacing w:before="0" w:beforeAutospacing="0" w:after="160" w:afterAutospacing="0" w:line="276" w:lineRule="auto"/>
              <w:jc w:val="both"/>
              <w:rPr>
                <w:rFonts w:asciiTheme="minorHAnsi" w:hAnsiTheme="minorHAnsi" w:cstheme="minorHAnsi"/>
                <w:sz w:val="22"/>
                <w:szCs w:val="22"/>
              </w:rPr>
            </w:pPr>
            <w:r w:rsidRPr="004179E6">
              <w:rPr>
                <w:rFonts w:asciiTheme="minorHAnsi" w:hAnsiTheme="minorHAnsi" w:cstheme="minorHAnsi"/>
                <w:sz w:val="22"/>
                <w:szCs w:val="22"/>
              </w:rPr>
              <w:t xml:space="preserve">Form 10F </w:t>
            </w:r>
            <w:r>
              <w:rPr>
                <w:rFonts w:asciiTheme="minorHAnsi" w:hAnsiTheme="minorHAnsi" w:cstheme="minorHAnsi"/>
                <w:sz w:val="22"/>
                <w:szCs w:val="22"/>
              </w:rPr>
              <w:t>(New Form 41)</w:t>
            </w:r>
          </w:p>
          <w:p w14:paraId="258118BA" w14:textId="69CED3E0" w:rsidR="003C31EB" w:rsidRPr="004179E6" w:rsidRDefault="003C31EB" w:rsidP="00AA128D">
            <w:pPr>
              <w:pStyle w:val="NormalWeb"/>
              <w:numPr>
                <w:ilvl w:val="0"/>
                <w:numId w:val="158"/>
              </w:numPr>
              <w:shd w:val="clear" w:color="auto" w:fill="FFFFFF"/>
              <w:spacing w:before="0" w:beforeAutospacing="0" w:after="160" w:afterAutospacing="0" w:line="276" w:lineRule="auto"/>
              <w:jc w:val="both"/>
              <w:rPr>
                <w:rFonts w:asciiTheme="minorHAnsi" w:hAnsiTheme="minorHAnsi" w:cstheme="minorHAnsi"/>
                <w:sz w:val="22"/>
                <w:szCs w:val="22"/>
              </w:rPr>
            </w:pPr>
            <w:r w:rsidRPr="004179E6">
              <w:rPr>
                <w:rFonts w:asciiTheme="minorHAnsi" w:hAnsiTheme="minorHAnsi" w:cstheme="minorHAnsi"/>
                <w:sz w:val="22"/>
                <w:szCs w:val="22"/>
              </w:rPr>
              <w:t>No Permanent Establishment (No-PE) declaration.</w:t>
            </w:r>
          </w:p>
          <w:p w14:paraId="6190555A" w14:textId="77777777" w:rsidR="003C31EB" w:rsidRPr="004179E6" w:rsidRDefault="003C31EB" w:rsidP="00AA128D">
            <w:pPr>
              <w:pStyle w:val="NormalWeb"/>
              <w:numPr>
                <w:ilvl w:val="2"/>
                <w:numId w:val="120"/>
              </w:numPr>
              <w:shd w:val="clear" w:color="auto" w:fill="FFFFFF"/>
              <w:spacing w:before="0" w:beforeAutospacing="0" w:after="160" w:afterAutospacing="0" w:line="276" w:lineRule="auto"/>
              <w:ind w:left="389"/>
              <w:jc w:val="both"/>
              <w:rPr>
                <w:rFonts w:asciiTheme="minorHAnsi" w:hAnsiTheme="minorHAnsi" w:cstheme="minorHAnsi"/>
                <w:sz w:val="22"/>
                <w:szCs w:val="22"/>
              </w:rPr>
            </w:pPr>
            <w:r w:rsidRPr="004179E6">
              <w:rPr>
                <w:rFonts w:asciiTheme="minorHAnsi" w:hAnsiTheme="minorHAnsi" w:cstheme="minorHAnsi"/>
                <w:bCs/>
                <w:sz w:val="22"/>
                <w:szCs w:val="22"/>
              </w:rPr>
              <w:t>In practice, these requirements are enforced even in cases of low-value or pure goods transactions, where no income accrues or arises in India under the charging provision creating unnecessary compliance and delays in remittances, especially for import transactions of raw materials and spare parts.</w:t>
            </w:r>
          </w:p>
          <w:p w14:paraId="6E31AF3D" w14:textId="31E7EE44" w:rsidR="003C31EB" w:rsidRPr="004179E6" w:rsidRDefault="003C31EB" w:rsidP="00AA128D">
            <w:pPr>
              <w:pStyle w:val="NormalWeb"/>
              <w:numPr>
                <w:ilvl w:val="2"/>
                <w:numId w:val="120"/>
              </w:numPr>
              <w:shd w:val="clear" w:color="auto" w:fill="FFFFFF"/>
              <w:spacing w:before="0" w:beforeAutospacing="0" w:after="160" w:afterAutospacing="0" w:line="276" w:lineRule="auto"/>
              <w:ind w:left="389"/>
              <w:jc w:val="both"/>
              <w:rPr>
                <w:rFonts w:asciiTheme="minorHAnsi" w:hAnsiTheme="minorHAnsi" w:cstheme="minorHAnsi"/>
                <w:sz w:val="22"/>
                <w:szCs w:val="22"/>
              </w:rPr>
            </w:pPr>
            <w:r w:rsidRPr="004179E6">
              <w:rPr>
                <w:rFonts w:asciiTheme="minorHAnsi" w:hAnsiTheme="minorHAnsi" w:cstheme="minorHAnsi"/>
                <w:sz w:val="22"/>
                <w:szCs w:val="22"/>
              </w:rPr>
              <w:t xml:space="preserve">The Income-tax Act 2025 also retains the broad obligation of withholding on “any sum chargeable,” without any exception for supply of goods. </w:t>
            </w:r>
          </w:p>
          <w:p w14:paraId="44D519DB" w14:textId="77777777" w:rsidR="003C31EB" w:rsidRPr="004179E6" w:rsidRDefault="003C31EB" w:rsidP="00AA128D">
            <w:pPr>
              <w:pStyle w:val="NormalWeb"/>
              <w:numPr>
                <w:ilvl w:val="2"/>
                <w:numId w:val="120"/>
              </w:numPr>
              <w:shd w:val="clear" w:color="auto" w:fill="FFFFFF"/>
              <w:spacing w:before="0" w:beforeAutospacing="0" w:after="160" w:afterAutospacing="0" w:line="276" w:lineRule="auto"/>
              <w:ind w:left="389"/>
              <w:jc w:val="both"/>
              <w:rPr>
                <w:rFonts w:asciiTheme="minorHAnsi" w:hAnsiTheme="minorHAnsi" w:cstheme="minorHAnsi"/>
                <w:sz w:val="22"/>
                <w:szCs w:val="22"/>
              </w:rPr>
            </w:pPr>
            <w:r w:rsidRPr="004179E6">
              <w:rPr>
                <w:rFonts w:asciiTheme="minorHAnsi" w:hAnsiTheme="minorHAnsi" w:cstheme="minorHAnsi"/>
                <w:sz w:val="22"/>
                <w:szCs w:val="22"/>
              </w:rPr>
              <w:t>Moreover, 90(5) of ITA 1961 and S. 159(8)(b) of ITA 2025 empowers CBDT is empowered to prescribe additional documents.</w:t>
            </w:r>
          </w:p>
          <w:p w14:paraId="532A5B08" w14:textId="7F77794D" w:rsidR="003C31EB" w:rsidRPr="004179E6" w:rsidRDefault="003C31EB" w:rsidP="00AA128D">
            <w:pPr>
              <w:pStyle w:val="NormalWeb"/>
              <w:numPr>
                <w:ilvl w:val="2"/>
                <w:numId w:val="120"/>
              </w:numPr>
              <w:shd w:val="clear" w:color="auto" w:fill="FFFFFF"/>
              <w:spacing w:before="0" w:beforeAutospacing="0" w:after="160" w:afterAutospacing="0" w:line="276" w:lineRule="auto"/>
              <w:ind w:left="389"/>
              <w:jc w:val="both"/>
              <w:rPr>
                <w:rFonts w:asciiTheme="minorHAnsi" w:hAnsiTheme="minorHAnsi" w:cstheme="minorHAnsi"/>
                <w:sz w:val="22"/>
                <w:szCs w:val="22"/>
              </w:rPr>
            </w:pPr>
            <w:r w:rsidRPr="004179E6">
              <w:rPr>
                <w:rFonts w:asciiTheme="minorHAnsi" w:hAnsiTheme="minorHAnsi" w:cstheme="minorHAnsi"/>
                <w:sz w:val="22"/>
                <w:szCs w:val="22"/>
              </w:rPr>
              <w:lastRenderedPageBreak/>
              <w:t xml:space="preserve">In a straightforward supply of goods from outside India without installation, services, or PE involvement, no income is taxable in India under the existing provisions as well as the Income-tax Act 2025 – more particularly because even if such sales trigger Significant Economic Presence (SEP) in India, income is not taxable under the treaty in absence of PE in India. In such a scenario, insistence on TRC and Form 10F </w:t>
            </w:r>
            <w:r>
              <w:rPr>
                <w:rFonts w:asciiTheme="minorHAnsi" w:hAnsiTheme="minorHAnsi" w:cstheme="minorHAnsi"/>
                <w:sz w:val="22"/>
                <w:szCs w:val="22"/>
              </w:rPr>
              <w:t xml:space="preserve">(New Form 41) </w:t>
            </w:r>
            <w:r w:rsidRPr="004179E6">
              <w:rPr>
                <w:rFonts w:asciiTheme="minorHAnsi" w:hAnsiTheme="minorHAnsi" w:cstheme="minorHAnsi"/>
                <w:sz w:val="22"/>
                <w:szCs w:val="22"/>
              </w:rPr>
              <w:t>appears excessive and disproportionate.</w:t>
            </w:r>
          </w:p>
          <w:p w14:paraId="697F4EE1" w14:textId="77777777" w:rsidR="003C31EB" w:rsidRPr="004179E6" w:rsidRDefault="003C31EB" w:rsidP="00AA128D">
            <w:pPr>
              <w:pStyle w:val="ListParagraph"/>
              <w:numPr>
                <w:ilvl w:val="2"/>
                <w:numId w:val="120"/>
              </w:numPr>
              <w:spacing w:after="160" w:line="276" w:lineRule="auto"/>
              <w:rPr>
                <w:rFonts w:asciiTheme="minorHAnsi" w:eastAsia="Times New Roman" w:hAnsiTheme="minorHAnsi" w:cstheme="minorHAnsi"/>
                <w:lang w:val="en-IN" w:eastAsia="en-IN" w:bidi="ar-SA"/>
              </w:rPr>
            </w:pPr>
            <w:r w:rsidRPr="004179E6">
              <w:rPr>
                <w:rFonts w:asciiTheme="minorHAnsi" w:eastAsia="Times New Roman" w:hAnsiTheme="minorHAnsi" w:cstheme="minorHAnsi"/>
                <w:lang w:val="en-IN" w:eastAsia="en-IN" w:bidi="ar-SA"/>
              </w:rPr>
              <w:t>Importers face delayed payments, blocked shipments, and higher transaction costs for processing of remittances.</w:t>
            </w:r>
          </w:p>
          <w:p w14:paraId="5048966B" w14:textId="77777777" w:rsidR="003C31EB" w:rsidRPr="004179E6" w:rsidRDefault="003C31EB" w:rsidP="00AA128D">
            <w:pPr>
              <w:pStyle w:val="ListParagraph"/>
              <w:numPr>
                <w:ilvl w:val="2"/>
                <w:numId w:val="120"/>
              </w:numPr>
              <w:spacing w:after="160" w:line="276" w:lineRule="auto"/>
              <w:rPr>
                <w:rFonts w:asciiTheme="minorHAnsi" w:eastAsia="Times New Roman" w:hAnsiTheme="minorHAnsi" w:cstheme="minorHAnsi"/>
                <w:lang w:val="en-IN" w:eastAsia="en-IN" w:bidi="ar-SA"/>
              </w:rPr>
            </w:pPr>
            <w:r w:rsidRPr="004179E6">
              <w:rPr>
                <w:rFonts w:asciiTheme="minorHAnsi" w:eastAsia="Times New Roman" w:hAnsiTheme="minorHAnsi" w:cstheme="minorHAnsi"/>
                <w:lang w:val="en-IN" w:eastAsia="en-IN" w:bidi="ar-SA"/>
              </w:rPr>
              <w:t>In most jurisdictions, treaty documentation is required only where treaty benefits are claimed. For simple import of goods, no such insistence is made.</w:t>
            </w:r>
          </w:p>
          <w:p w14:paraId="5B4642D4" w14:textId="77777777" w:rsidR="003C31EB" w:rsidRPr="004179E6" w:rsidRDefault="003C31EB" w:rsidP="00AA128D">
            <w:pPr>
              <w:pStyle w:val="ListParagraph"/>
              <w:numPr>
                <w:ilvl w:val="2"/>
                <w:numId w:val="120"/>
              </w:numPr>
              <w:spacing w:after="160" w:line="276" w:lineRule="auto"/>
              <w:rPr>
                <w:rFonts w:asciiTheme="minorHAnsi" w:eastAsia="Times New Roman" w:hAnsiTheme="minorHAnsi" w:cstheme="minorHAnsi"/>
                <w:lang w:val="en-IN" w:eastAsia="en-IN" w:bidi="ar-SA"/>
              </w:rPr>
            </w:pPr>
            <w:r w:rsidRPr="004179E6">
              <w:rPr>
                <w:rFonts w:asciiTheme="minorHAnsi" w:eastAsia="Times New Roman" w:hAnsiTheme="minorHAnsi" w:cstheme="minorHAnsi"/>
                <w:lang w:val="en-IN" w:eastAsia="en-IN" w:bidi="ar-SA"/>
              </w:rPr>
              <w:t>Removing such requirements will allow tax officers to focus on real cases of base erosion and profit shifting (BEPS) rather than routine import transactions.</w:t>
            </w:r>
          </w:p>
          <w:p w14:paraId="2C4D7280" w14:textId="24A13E4C" w:rsidR="003C31EB" w:rsidRPr="004179E6" w:rsidRDefault="003C31EB" w:rsidP="00AA128D">
            <w:pPr>
              <w:pStyle w:val="ListParagraph"/>
              <w:numPr>
                <w:ilvl w:val="2"/>
                <w:numId w:val="120"/>
              </w:numPr>
              <w:spacing w:after="160" w:line="276" w:lineRule="auto"/>
              <w:rPr>
                <w:rFonts w:asciiTheme="minorHAnsi" w:eastAsia="Times New Roman" w:hAnsiTheme="minorHAnsi" w:cstheme="minorHAnsi"/>
                <w:lang w:val="en-IN" w:eastAsia="en-IN" w:bidi="ar-SA"/>
              </w:rPr>
            </w:pPr>
            <w:r w:rsidRPr="004179E6">
              <w:rPr>
                <w:rFonts w:asciiTheme="minorHAnsi" w:hAnsiTheme="minorHAnsi" w:cstheme="minorHAnsi"/>
              </w:rPr>
              <w:t>Better alignment with the principle that withholding applies only where income is chargeable in India resulting in reduced litigation and administrative bottlenecks.</w:t>
            </w:r>
          </w:p>
          <w:p w14:paraId="0AE60483" w14:textId="77777777" w:rsidR="003C31EB" w:rsidRPr="004179E6" w:rsidRDefault="003C31EB" w:rsidP="00AA128D">
            <w:pPr>
              <w:spacing w:after="160" w:line="276" w:lineRule="auto"/>
              <w:rPr>
                <w:rFonts w:asciiTheme="minorHAnsi" w:eastAsia="Times New Roman" w:hAnsiTheme="minorHAnsi" w:cstheme="minorHAnsi"/>
                <w:b/>
                <w:bCs/>
                <w:lang w:val="en-IN" w:eastAsia="en-IN" w:bidi="ar-SA"/>
              </w:rPr>
            </w:pPr>
            <w:r w:rsidRPr="004179E6">
              <w:rPr>
                <w:rFonts w:asciiTheme="minorHAnsi" w:eastAsia="Times New Roman" w:hAnsiTheme="minorHAnsi" w:cstheme="minorHAnsi"/>
                <w:b/>
                <w:bCs/>
                <w:lang w:val="en-IN" w:eastAsia="en-IN" w:bidi="ar-SA"/>
              </w:rPr>
              <w:t>Recommendation:</w:t>
            </w:r>
          </w:p>
          <w:p w14:paraId="651F68FC" w14:textId="31DA5033" w:rsidR="003C31EB" w:rsidRPr="004179E6" w:rsidRDefault="003C31EB" w:rsidP="00AA128D">
            <w:pPr>
              <w:pStyle w:val="ListParagraph"/>
              <w:numPr>
                <w:ilvl w:val="0"/>
                <w:numId w:val="159"/>
              </w:numPr>
              <w:spacing w:after="160" w:line="276" w:lineRule="auto"/>
              <w:rPr>
                <w:rFonts w:asciiTheme="minorHAnsi" w:eastAsia="Times New Roman" w:hAnsiTheme="minorHAnsi" w:cstheme="minorHAnsi"/>
                <w:lang w:val="en-IN" w:eastAsia="en-IN" w:bidi="ar-SA"/>
              </w:rPr>
            </w:pPr>
            <w:r w:rsidRPr="004179E6">
              <w:rPr>
                <w:rFonts w:asciiTheme="minorHAnsi" w:eastAsia="Times New Roman" w:hAnsiTheme="minorHAnsi" w:cstheme="minorHAnsi"/>
                <w:lang w:val="en-IN" w:eastAsia="en-IN" w:bidi="ar-SA"/>
              </w:rPr>
              <w:t>Banks/authorised dealers should be able to rely on a simple declaration from the remitter confirming that the transaction is for import of goods, without insisting on TRC/Form 10F.</w:t>
            </w:r>
          </w:p>
          <w:p w14:paraId="62E6BC22" w14:textId="30A6B287" w:rsidR="003C31EB" w:rsidRPr="004179E6" w:rsidRDefault="003C31EB" w:rsidP="00AA128D">
            <w:pPr>
              <w:pStyle w:val="ListParagraph"/>
              <w:numPr>
                <w:ilvl w:val="0"/>
                <w:numId w:val="159"/>
              </w:numPr>
              <w:spacing w:after="160" w:line="276" w:lineRule="auto"/>
              <w:rPr>
                <w:rFonts w:asciiTheme="minorHAnsi" w:eastAsia="Times New Roman" w:hAnsiTheme="minorHAnsi" w:cstheme="minorHAnsi"/>
                <w:b/>
                <w:u w:val="single"/>
                <w:lang w:val="en-IN" w:eastAsia="en-IN" w:bidi="ar-SA"/>
              </w:rPr>
            </w:pPr>
            <w:r w:rsidRPr="004179E6">
              <w:rPr>
                <w:rFonts w:asciiTheme="minorHAnsi" w:eastAsia="Times New Roman" w:hAnsiTheme="minorHAnsi" w:cstheme="minorHAnsi"/>
                <w:lang w:val="en-IN" w:eastAsia="en-IN" w:bidi="ar-SA"/>
              </w:rPr>
              <w:t xml:space="preserve">Accordingly, S. 159(8) of ITA 2025 and Rule 21AB of ITR 1962 </w:t>
            </w:r>
            <w:r>
              <w:rPr>
                <w:rFonts w:asciiTheme="minorHAnsi" w:eastAsia="Times New Roman" w:hAnsiTheme="minorHAnsi" w:cstheme="minorHAnsi"/>
                <w:lang w:val="en-IN" w:eastAsia="en-IN" w:bidi="ar-SA"/>
              </w:rPr>
              <w:t xml:space="preserve">(Rule 75 of Draft IT Rules 2026) </w:t>
            </w:r>
            <w:r w:rsidRPr="004179E6">
              <w:rPr>
                <w:rFonts w:asciiTheme="minorHAnsi" w:eastAsia="Times New Roman" w:hAnsiTheme="minorHAnsi" w:cstheme="minorHAnsi"/>
                <w:lang w:val="en-IN" w:eastAsia="en-IN" w:bidi="ar-SA"/>
              </w:rPr>
              <w:t>may be amended.</w:t>
            </w:r>
          </w:p>
        </w:tc>
      </w:tr>
      <w:tr w:rsidR="003C31EB" w:rsidRPr="004179E6" w14:paraId="7842CFBF" w14:textId="77777777" w:rsidTr="00210D4C">
        <w:trPr>
          <w:trHeight w:val="20"/>
        </w:trPr>
        <w:tc>
          <w:tcPr>
            <w:tcW w:w="14454" w:type="dxa"/>
            <w:gridSpan w:val="3"/>
            <w:shd w:val="clear" w:color="auto" w:fill="BFBFBF" w:themeFill="background1" w:themeFillShade="BF"/>
          </w:tcPr>
          <w:p w14:paraId="44186E0D" w14:textId="77777777" w:rsidR="003C31EB" w:rsidRPr="006A70DB" w:rsidRDefault="003C31EB" w:rsidP="00AA128D">
            <w:pPr>
              <w:tabs>
                <w:tab w:val="center" w:pos="4320"/>
                <w:tab w:val="right" w:pos="8640"/>
              </w:tabs>
              <w:spacing w:after="160" w:line="276" w:lineRule="auto"/>
              <w:jc w:val="center"/>
              <w:rPr>
                <w:rFonts w:asciiTheme="minorHAnsi" w:hAnsiTheme="minorHAnsi" w:cstheme="minorHAnsi"/>
                <w:b/>
              </w:rPr>
            </w:pPr>
            <w:r w:rsidRPr="006A70DB">
              <w:rPr>
                <w:rFonts w:asciiTheme="minorHAnsi" w:hAnsiTheme="minorHAnsi" w:cstheme="minorHAnsi"/>
                <w:b/>
              </w:rPr>
              <w:lastRenderedPageBreak/>
              <w:t>Personal Taxation</w:t>
            </w:r>
          </w:p>
        </w:tc>
      </w:tr>
      <w:tr w:rsidR="003C31EB" w:rsidRPr="004179E6" w14:paraId="30C5F6BC" w14:textId="77777777" w:rsidTr="00210D4C">
        <w:trPr>
          <w:trHeight w:val="20"/>
        </w:trPr>
        <w:tc>
          <w:tcPr>
            <w:tcW w:w="512" w:type="dxa"/>
          </w:tcPr>
          <w:p w14:paraId="3628C939" w14:textId="77777777" w:rsidR="003C31EB" w:rsidRPr="004179E6" w:rsidRDefault="003C31EB"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5DB1C457" w14:textId="6CE8AA4C" w:rsidR="003C31EB" w:rsidRPr="006A70DB" w:rsidRDefault="003C31EB" w:rsidP="00AA128D">
            <w:pPr>
              <w:spacing w:after="160" w:line="276" w:lineRule="auto"/>
              <w:rPr>
                <w:rFonts w:asciiTheme="minorHAnsi" w:hAnsiTheme="minorHAnsi" w:cstheme="minorHAnsi"/>
                <w:b/>
              </w:rPr>
            </w:pPr>
            <w:r w:rsidRPr="006A70DB">
              <w:rPr>
                <w:rFonts w:asciiTheme="minorHAnsi" w:hAnsiTheme="minorHAnsi" w:cstheme="minorHAnsi"/>
                <w:b/>
              </w:rPr>
              <w:t xml:space="preserve">Seeking a proper valuation base for housing accommodation perquisite valuation [S.17(2)(i)/(ii) of ITA </w:t>
            </w:r>
            <w:r w:rsidRPr="006A70DB">
              <w:rPr>
                <w:rFonts w:asciiTheme="minorHAnsi" w:hAnsiTheme="minorHAnsi" w:cstheme="minorHAnsi"/>
                <w:b/>
              </w:rPr>
              <w:lastRenderedPageBreak/>
              <w:t>1961]</w:t>
            </w:r>
          </w:p>
          <w:p w14:paraId="55BC6CD8" w14:textId="2687F5A1" w:rsidR="003C31EB" w:rsidRPr="006A70DB" w:rsidRDefault="003C31EB" w:rsidP="00AA128D">
            <w:pPr>
              <w:spacing w:after="160" w:line="276" w:lineRule="auto"/>
              <w:rPr>
                <w:rFonts w:asciiTheme="minorHAnsi" w:hAnsiTheme="minorHAnsi" w:cstheme="minorHAnsi"/>
                <w:b/>
                <w:kern w:val="12"/>
                <w:lang w:val="en-IN"/>
              </w:rPr>
            </w:pPr>
            <w:r w:rsidRPr="006A70DB">
              <w:rPr>
                <w:rFonts w:asciiTheme="minorHAnsi" w:hAnsiTheme="minorHAnsi" w:cstheme="minorHAnsi"/>
                <w:b/>
                <w:kern w:val="12"/>
              </w:rPr>
              <w:t xml:space="preserve">[Corresponding S.17(1)(a) and S.17(1)(b) of ITA 2025] </w:t>
            </w:r>
          </w:p>
        </w:tc>
        <w:tc>
          <w:tcPr>
            <w:tcW w:w="10986" w:type="dxa"/>
          </w:tcPr>
          <w:p w14:paraId="38A86BD7" w14:textId="77777777" w:rsidR="003C31EB" w:rsidRPr="004179E6" w:rsidRDefault="003C31EB" w:rsidP="00AA128D">
            <w:pPr>
              <w:spacing w:after="160" w:line="276" w:lineRule="auto"/>
              <w:jc w:val="both"/>
              <w:rPr>
                <w:rFonts w:asciiTheme="minorHAnsi" w:hAnsiTheme="minorHAnsi" w:cstheme="minorHAnsi"/>
                <w:b/>
                <w:bCs/>
                <w:lang w:val="en-GB"/>
              </w:rPr>
            </w:pPr>
            <w:r w:rsidRPr="004179E6">
              <w:rPr>
                <w:rFonts w:asciiTheme="minorHAnsi" w:hAnsiTheme="minorHAnsi" w:cstheme="minorHAnsi"/>
                <w:b/>
                <w:bCs/>
                <w:lang w:val="en-GB"/>
              </w:rPr>
              <w:lastRenderedPageBreak/>
              <w:t>Background:</w:t>
            </w:r>
          </w:p>
          <w:p w14:paraId="303DFAFC" w14:textId="34E23614" w:rsidR="003C31EB" w:rsidRPr="004179E6" w:rsidRDefault="003C31EB" w:rsidP="00AA128D">
            <w:pPr>
              <w:pStyle w:val="ListParagraph"/>
              <w:widowControl/>
              <w:numPr>
                <w:ilvl w:val="0"/>
                <w:numId w:val="26"/>
              </w:numPr>
              <w:autoSpaceDE/>
              <w:autoSpaceDN/>
              <w:spacing w:after="160" w:line="276" w:lineRule="auto"/>
              <w:ind w:left="286" w:hanging="283"/>
              <w:jc w:val="both"/>
              <w:rPr>
                <w:rFonts w:asciiTheme="minorHAnsi" w:eastAsiaTheme="minorHAnsi" w:hAnsiTheme="minorHAnsi" w:cstheme="minorHAnsi"/>
                <w:lang w:val="en-IN" w:bidi="ar-SA"/>
              </w:rPr>
            </w:pPr>
            <w:r w:rsidRPr="004179E6">
              <w:rPr>
                <w:rFonts w:asciiTheme="minorHAnsi" w:hAnsiTheme="minorHAnsi" w:cstheme="minorHAnsi"/>
              </w:rPr>
              <w:lastRenderedPageBreak/>
              <w:t xml:space="preserve">S.17(2)(i) </w:t>
            </w:r>
            <w:r>
              <w:rPr>
                <w:rFonts w:asciiTheme="minorHAnsi" w:hAnsiTheme="minorHAnsi" w:cstheme="minorHAnsi"/>
              </w:rPr>
              <w:t xml:space="preserve">of ITA 1961 </w:t>
            </w:r>
            <w:r w:rsidRPr="004179E6">
              <w:rPr>
                <w:rFonts w:asciiTheme="minorHAnsi" w:hAnsiTheme="minorHAnsi" w:cstheme="minorHAnsi"/>
              </w:rPr>
              <w:t>provides for taxation of rent-free accommodation (RFA) provided by employer as “perquisite” in the hands of the employees. Valuation of RFA is governed by Rule 3(1) of the Income-tax Rules</w:t>
            </w:r>
            <w:r>
              <w:rPr>
                <w:rFonts w:asciiTheme="minorHAnsi" w:hAnsiTheme="minorHAnsi" w:cstheme="minorHAnsi"/>
              </w:rPr>
              <w:t xml:space="preserve"> 1962 (Rule 15(2) of Draft IT Rules 2026)</w:t>
            </w:r>
            <w:r w:rsidRPr="004179E6">
              <w:rPr>
                <w:rFonts w:asciiTheme="minorHAnsi" w:hAnsiTheme="minorHAnsi" w:cstheme="minorHAnsi"/>
              </w:rPr>
              <w:t>.</w:t>
            </w:r>
          </w:p>
          <w:p w14:paraId="54D27441" w14:textId="124EF920" w:rsidR="003C31EB" w:rsidRPr="004179E6" w:rsidRDefault="003C31EB" w:rsidP="00AA128D">
            <w:pPr>
              <w:pStyle w:val="ListParagraph"/>
              <w:widowControl/>
              <w:numPr>
                <w:ilvl w:val="0"/>
                <w:numId w:val="26"/>
              </w:numPr>
              <w:autoSpaceDE/>
              <w:autoSpaceDN/>
              <w:spacing w:after="160" w:line="276" w:lineRule="auto"/>
              <w:ind w:left="286" w:hanging="283"/>
              <w:jc w:val="both"/>
              <w:rPr>
                <w:rFonts w:asciiTheme="minorHAnsi" w:hAnsiTheme="minorHAnsi" w:cstheme="minorHAnsi"/>
              </w:rPr>
            </w:pPr>
            <w:r w:rsidRPr="004179E6">
              <w:rPr>
                <w:rFonts w:asciiTheme="minorHAnsi" w:hAnsiTheme="minorHAnsi" w:cstheme="minorHAnsi"/>
              </w:rPr>
              <w:t xml:space="preserve">S.17(2)(ii) </w:t>
            </w:r>
            <w:r>
              <w:rPr>
                <w:rFonts w:asciiTheme="minorHAnsi" w:hAnsiTheme="minorHAnsi" w:cstheme="minorHAnsi"/>
              </w:rPr>
              <w:t xml:space="preserve">of ITA 1961 </w:t>
            </w:r>
            <w:r w:rsidRPr="004179E6">
              <w:rPr>
                <w:rFonts w:asciiTheme="minorHAnsi" w:hAnsiTheme="minorHAnsi" w:cstheme="minorHAnsi"/>
              </w:rPr>
              <w:t>provides for taxation of accommodation provided at a concessional rate by the employer as perquisite in the hands of the employees. Erstwhile Explanation 1 to 4 to S.17(2)(ii) created a deeming fiction in respect of concessional rent to arise where rent recovery is less than specified rate. Where there is a concession due to the deeming fiction, valuation rules prescribed under Rule 3 become applicable.</w:t>
            </w:r>
          </w:p>
          <w:p w14:paraId="28C2D23B" w14:textId="77777777" w:rsidR="003C31EB" w:rsidRPr="004179E6" w:rsidRDefault="003C31EB" w:rsidP="00AA128D">
            <w:pPr>
              <w:pStyle w:val="ListParagraph"/>
              <w:widowControl/>
              <w:numPr>
                <w:ilvl w:val="0"/>
                <w:numId w:val="26"/>
              </w:numPr>
              <w:autoSpaceDE/>
              <w:autoSpaceDN/>
              <w:spacing w:after="160" w:line="276" w:lineRule="auto"/>
              <w:ind w:left="286" w:hanging="283"/>
              <w:jc w:val="both"/>
              <w:rPr>
                <w:rFonts w:asciiTheme="minorHAnsi" w:hAnsiTheme="minorHAnsi" w:cstheme="minorHAnsi"/>
              </w:rPr>
            </w:pPr>
            <w:r w:rsidRPr="004179E6">
              <w:rPr>
                <w:rFonts w:asciiTheme="minorHAnsi" w:hAnsiTheme="minorHAnsi" w:cstheme="minorHAnsi"/>
              </w:rPr>
              <w:t>Erstwhile valuation rule for employer owned accommodation was based strictly on percentage of salary. On the other hand, in cases like leased or hotel accommodation, the actual rent payable by employer is considered if lower than specified percentage of salary.</w:t>
            </w:r>
          </w:p>
          <w:p w14:paraId="5507FB7F" w14:textId="77777777" w:rsidR="003C31EB" w:rsidRPr="004179E6" w:rsidRDefault="003C31EB" w:rsidP="00AA128D">
            <w:pPr>
              <w:spacing w:after="160" w:line="276" w:lineRule="auto"/>
              <w:jc w:val="both"/>
              <w:rPr>
                <w:rFonts w:asciiTheme="minorHAnsi" w:hAnsiTheme="minorHAnsi" w:cstheme="minorHAnsi"/>
                <w:b/>
                <w:bCs/>
                <w:lang w:val="en-GB"/>
              </w:rPr>
            </w:pPr>
            <w:r w:rsidRPr="004179E6">
              <w:rPr>
                <w:rFonts w:asciiTheme="minorHAnsi" w:hAnsiTheme="minorHAnsi" w:cstheme="minorHAnsi"/>
                <w:b/>
                <w:bCs/>
                <w:lang w:val="en-GB"/>
              </w:rPr>
              <w:t>Rationale and Issue:</w:t>
            </w:r>
          </w:p>
          <w:p w14:paraId="2E481DB7" w14:textId="77777777" w:rsidR="003C31EB" w:rsidRPr="004179E6" w:rsidRDefault="003C31EB" w:rsidP="00AA128D">
            <w:pPr>
              <w:pStyle w:val="ListParagraph"/>
              <w:widowControl/>
              <w:numPr>
                <w:ilvl w:val="0"/>
                <w:numId w:val="26"/>
              </w:numPr>
              <w:autoSpaceDE/>
              <w:autoSpaceDN/>
              <w:spacing w:after="160" w:line="276" w:lineRule="auto"/>
              <w:ind w:left="286" w:hanging="283"/>
              <w:jc w:val="both"/>
              <w:rPr>
                <w:rFonts w:asciiTheme="minorHAnsi" w:eastAsiaTheme="minorHAnsi" w:hAnsiTheme="minorHAnsi" w:cstheme="minorHAnsi"/>
                <w:lang w:val="en-IN" w:bidi="ar-SA"/>
              </w:rPr>
            </w:pPr>
            <w:r w:rsidRPr="004179E6">
              <w:rPr>
                <w:rFonts w:asciiTheme="minorHAnsi" w:hAnsiTheme="minorHAnsi" w:cstheme="minorHAnsi"/>
              </w:rPr>
              <w:t>Finance Act 2023 amended s.17(2)(i)/(ii) to provide a uniform methodology for valuing the RFA perquisite and concessional accommodation perquisite. With an intent to rationalize the provisions, S. 17(2)(i) and (ii) were amended to empower the Government for prescribing rules of valuation of RFA and Concessional Accommodation Perquisite.</w:t>
            </w:r>
          </w:p>
          <w:p w14:paraId="1FA8C282" w14:textId="77777777" w:rsidR="003C31EB" w:rsidRPr="004179E6" w:rsidRDefault="003C31EB" w:rsidP="00AA128D">
            <w:pPr>
              <w:pStyle w:val="ListParagraph"/>
              <w:widowControl/>
              <w:numPr>
                <w:ilvl w:val="0"/>
                <w:numId w:val="26"/>
              </w:numPr>
              <w:autoSpaceDE/>
              <w:autoSpaceDN/>
              <w:spacing w:after="160" w:line="276" w:lineRule="auto"/>
              <w:ind w:left="286" w:hanging="283"/>
              <w:jc w:val="both"/>
              <w:rPr>
                <w:rFonts w:asciiTheme="minorHAnsi" w:hAnsiTheme="minorHAnsi" w:cstheme="minorHAnsi"/>
              </w:rPr>
            </w:pPr>
            <w:r w:rsidRPr="004179E6">
              <w:rPr>
                <w:rFonts w:asciiTheme="minorHAnsi" w:hAnsiTheme="minorHAnsi" w:cstheme="minorHAnsi"/>
              </w:rPr>
              <w:t xml:space="preserve">The erstwhile rule 3(1) provided for a valuation mechanism linked to percentage of salary which created a challenge for the taxpayers. Under the erstwhile Rule, two employees, though provided with similar type of accommodation faced different perquisite taxation if their salary was different. Furthermore, if the employee’s salary was increased, there resulted in automatic increase in accommodation perquisite value even though employee continued in the same accommodation. Also, employees provided with employer-owned accommodation faced higher perquisite valuation as compared to employer-leased or rented accommodation. This was because the perquisite value in respect of employer-leased/rented accommodation was capped to the rent paid or payable by the employer. </w:t>
            </w:r>
          </w:p>
          <w:p w14:paraId="283AC494" w14:textId="77777777" w:rsidR="003C31EB" w:rsidRPr="004179E6" w:rsidRDefault="003C31EB" w:rsidP="00AA128D">
            <w:pPr>
              <w:pStyle w:val="ListParagraph"/>
              <w:widowControl/>
              <w:numPr>
                <w:ilvl w:val="0"/>
                <w:numId w:val="26"/>
              </w:numPr>
              <w:autoSpaceDE/>
              <w:autoSpaceDN/>
              <w:spacing w:after="160" w:line="276" w:lineRule="auto"/>
              <w:ind w:left="286" w:hanging="283"/>
              <w:jc w:val="both"/>
              <w:rPr>
                <w:rFonts w:asciiTheme="minorHAnsi" w:hAnsiTheme="minorHAnsi" w:cstheme="minorHAnsi"/>
              </w:rPr>
            </w:pPr>
            <w:r w:rsidRPr="004179E6">
              <w:rPr>
                <w:rFonts w:asciiTheme="minorHAnsi" w:hAnsiTheme="minorHAnsi" w:cstheme="minorHAnsi"/>
              </w:rPr>
              <w:lastRenderedPageBreak/>
              <w:t xml:space="preserve">The above challenges posed by the existing rule resulted in employer-owned housing becoming extremely tax disadvantageous as compared to employer-leased/rented accommodation or employee making his/her own arrangement for accommodation by availing HRA from the employer. </w:t>
            </w:r>
          </w:p>
          <w:p w14:paraId="719422F3" w14:textId="2D9A37DD" w:rsidR="003C31EB" w:rsidRPr="004179E6" w:rsidRDefault="003C31EB" w:rsidP="00AA128D">
            <w:pPr>
              <w:pStyle w:val="ListParagraph"/>
              <w:widowControl/>
              <w:numPr>
                <w:ilvl w:val="0"/>
                <w:numId w:val="26"/>
              </w:numPr>
              <w:autoSpaceDE/>
              <w:autoSpaceDN/>
              <w:spacing w:after="160" w:line="276" w:lineRule="auto"/>
              <w:ind w:left="286" w:hanging="283"/>
              <w:jc w:val="both"/>
              <w:rPr>
                <w:rFonts w:asciiTheme="minorHAnsi" w:hAnsiTheme="minorHAnsi" w:cstheme="minorHAnsi"/>
              </w:rPr>
            </w:pPr>
            <w:r w:rsidRPr="004179E6">
              <w:rPr>
                <w:rFonts w:asciiTheme="minorHAnsi" w:hAnsiTheme="minorHAnsi" w:cstheme="minorHAnsi"/>
              </w:rPr>
              <w:t>Having taken cognizance of the above challenges, New Rule 3(1) has been introduced with effect from 1 September 2023. New Rule 3(1)</w:t>
            </w:r>
            <w:r>
              <w:rPr>
                <w:rFonts w:asciiTheme="minorHAnsi" w:hAnsiTheme="minorHAnsi" w:cstheme="minorHAnsi"/>
              </w:rPr>
              <w:t xml:space="preserve"> of IT Rules 1962</w:t>
            </w:r>
            <w:r w:rsidRPr="004179E6">
              <w:rPr>
                <w:rFonts w:asciiTheme="minorHAnsi" w:hAnsiTheme="minorHAnsi" w:cstheme="minorHAnsi"/>
              </w:rPr>
              <w:t xml:space="preserve"> </w:t>
            </w:r>
            <w:r>
              <w:rPr>
                <w:rFonts w:asciiTheme="minorHAnsi" w:hAnsiTheme="minorHAnsi" w:cstheme="minorHAnsi"/>
              </w:rPr>
              <w:t xml:space="preserve">(Rule 15 of Draft IT rules 2026) </w:t>
            </w:r>
            <w:r w:rsidRPr="004179E6">
              <w:rPr>
                <w:rFonts w:asciiTheme="minorHAnsi" w:hAnsiTheme="minorHAnsi" w:cstheme="minorHAnsi"/>
              </w:rPr>
              <w:t>continues to be largely based on percentage of salary of the employee, however, it has rationalized the valuation in respect of employer-owned accommodation and also ensures that the increase in salary of the employee does not result in an artificial rise in value of the perquisite beyond the inflation level in the country. The relief provided to the employees vide the New Rule is by way of (a) reduction in perquisite value as percentage of salary and (b) introduction of a new inflation linked capping rule.</w:t>
            </w:r>
          </w:p>
          <w:p w14:paraId="5B0DC587" w14:textId="5DBA3FDA" w:rsidR="003C31EB" w:rsidRPr="004179E6" w:rsidRDefault="003C31EB" w:rsidP="00AA128D">
            <w:pPr>
              <w:pStyle w:val="ListParagraph"/>
              <w:widowControl/>
              <w:numPr>
                <w:ilvl w:val="0"/>
                <w:numId w:val="26"/>
              </w:numPr>
              <w:autoSpaceDE/>
              <w:autoSpaceDN/>
              <w:spacing w:after="160" w:line="276" w:lineRule="auto"/>
              <w:ind w:left="286" w:hanging="283"/>
              <w:jc w:val="both"/>
              <w:rPr>
                <w:rFonts w:asciiTheme="minorHAnsi" w:hAnsiTheme="minorHAnsi" w:cstheme="minorHAnsi"/>
              </w:rPr>
            </w:pPr>
            <w:r w:rsidRPr="004179E6">
              <w:rPr>
                <w:rFonts w:asciiTheme="minorHAnsi" w:hAnsiTheme="minorHAnsi" w:cstheme="minorHAnsi"/>
              </w:rPr>
              <w:t xml:space="preserve">While the New Rule </w:t>
            </w:r>
            <w:r w:rsidR="00E848DF" w:rsidRPr="004179E6">
              <w:rPr>
                <w:rFonts w:asciiTheme="minorHAnsi" w:hAnsiTheme="minorHAnsi" w:cstheme="minorHAnsi"/>
              </w:rPr>
              <w:t>has</w:t>
            </w:r>
            <w:r w:rsidRPr="004179E6">
              <w:rPr>
                <w:rFonts w:asciiTheme="minorHAnsi" w:hAnsiTheme="minorHAnsi" w:cstheme="minorHAnsi"/>
              </w:rPr>
              <w:t xml:space="preserve"> partially addressed the difficulty posed by the existing rules and are welcome, since the valuation mechanism is still linked with percentage of salary, same type of accommodation provided to employees with two different scales of salary will have different perquisite value. The one with higher salary may be exposed to higher perquisite, when compared to the other during the first year of provision of accommodation and determination of value of such perquisite.</w:t>
            </w:r>
          </w:p>
          <w:p w14:paraId="3A5FB29F" w14:textId="77777777" w:rsidR="003C31EB" w:rsidRPr="004179E6" w:rsidRDefault="003C31EB" w:rsidP="00AA128D">
            <w:pPr>
              <w:spacing w:after="160" w:line="276" w:lineRule="auto"/>
              <w:jc w:val="both"/>
              <w:rPr>
                <w:rFonts w:asciiTheme="minorHAnsi" w:hAnsiTheme="minorHAnsi" w:cstheme="minorHAnsi"/>
                <w:b/>
                <w:bCs/>
                <w:lang w:val="en-GB"/>
              </w:rPr>
            </w:pPr>
            <w:r w:rsidRPr="004179E6">
              <w:rPr>
                <w:rFonts w:asciiTheme="minorHAnsi" w:hAnsiTheme="minorHAnsi" w:cstheme="minorHAnsi"/>
                <w:b/>
                <w:bCs/>
                <w:lang w:val="en-GB"/>
              </w:rPr>
              <w:t>Recommendation:</w:t>
            </w:r>
          </w:p>
          <w:p w14:paraId="04544ACB" w14:textId="522BD5D2" w:rsidR="003C31EB" w:rsidRPr="004179E6" w:rsidRDefault="003C31EB" w:rsidP="00AA128D">
            <w:pPr>
              <w:pStyle w:val="ListParagraph"/>
              <w:widowControl/>
              <w:numPr>
                <w:ilvl w:val="0"/>
                <w:numId w:val="26"/>
              </w:numPr>
              <w:autoSpaceDE/>
              <w:autoSpaceDN/>
              <w:spacing w:after="160" w:line="276" w:lineRule="auto"/>
              <w:ind w:left="286" w:hanging="283"/>
              <w:jc w:val="both"/>
              <w:rPr>
                <w:rFonts w:asciiTheme="minorHAnsi" w:hAnsiTheme="minorHAnsi" w:cstheme="minorHAnsi"/>
                <w:b/>
              </w:rPr>
            </w:pPr>
            <w:r w:rsidRPr="004179E6">
              <w:rPr>
                <w:rFonts w:asciiTheme="minorHAnsi" w:hAnsiTheme="minorHAnsi" w:cstheme="minorHAnsi"/>
              </w:rPr>
              <w:t>It is prayed that the Rule</w:t>
            </w:r>
            <w:r>
              <w:rPr>
                <w:rFonts w:asciiTheme="minorHAnsi" w:hAnsiTheme="minorHAnsi" w:cstheme="minorHAnsi"/>
              </w:rPr>
              <w:t xml:space="preserve"> 3 of IT Rules 1962 (Rule 15 of IT Rules 2026)</w:t>
            </w:r>
            <w:r w:rsidRPr="004179E6">
              <w:rPr>
                <w:rFonts w:asciiTheme="minorHAnsi" w:hAnsiTheme="minorHAnsi" w:cstheme="minorHAnsi"/>
              </w:rPr>
              <w:t xml:space="preserve"> be modified to provide uniform methodology for perquisite valuation in the year in which employer provides accommodation owned by him for use to the employee. The same may address the above-mentioned anomaly by considering a different base for perquisite valuation. For instance, the annual fair rental value can be taken at 1% or 2% of stamp duty ready reckoner value instead of valuing it as a percentage of salary or basis fair rental valuation.</w:t>
            </w:r>
          </w:p>
        </w:tc>
      </w:tr>
      <w:tr w:rsidR="003C31EB" w:rsidRPr="004179E6" w14:paraId="27721422" w14:textId="77777777" w:rsidTr="00210D4C">
        <w:trPr>
          <w:trHeight w:val="20"/>
        </w:trPr>
        <w:tc>
          <w:tcPr>
            <w:tcW w:w="512" w:type="dxa"/>
          </w:tcPr>
          <w:p w14:paraId="667D74D8" w14:textId="77777777" w:rsidR="003C31EB" w:rsidRPr="004179E6" w:rsidRDefault="003C31EB" w:rsidP="00AA128D">
            <w:pPr>
              <w:pStyle w:val="ListParagraph"/>
              <w:numPr>
                <w:ilvl w:val="0"/>
                <w:numId w:val="35"/>
              </w:numPr>
              <w:spacing w:after="160" w:line="276" w:lineRule="auto"/>
              <w:ind w:left="360"/>
              <w:rPr>
                <w:rFonts w:asciiTheme="minorHAnsi" w:hAnsiTheme="minorHAnsi" w:cstheme="minorHAnsi"/>
              </w:rPr>
            </w:pPr>
          </w:p>
        </w:tc>
        <w:tc>
          <w:tcPr>
            <w:tcW w:w="2956" w:type="dxa"/>
          </w:tcPr>
          <w:p w14:paraId="7919BD93" w14:textId="0BB106FD" w:rsidR="003C31EB" w:rsidRPr="006A70DB" w:rsidRDefault="003C31EB" w:rsidP="00AA128D">
            <w:pPr>
              <w:shd w:val="clear" w:color="auto" w:fill="FFFFFF" w:themeFill="background1"/>
              <w:spacing w:after="160" w:line="276" w:lineRule="auto"/>
              <w:jc w:val="both"/>
              <w:rPr>
                <w:rFonts w:asciiTheme="minorHAnsi" w:hAnsiTheme="minorHAnsi" w:cstheme="minorHAnsi"/>
                <w:b/>
              </w:rPr>
            </w:pPr>
            <w:r w:rsidRPr="006A70DB">
              <w:rPr>
                <w:rFonts w:asciiTheme="minorHAnsi" w:hAnsiTheme="minorHAnsi" w:cstheme="minorHAnsi"/>
                <w:b/>
              </w:rPr>
              <w:t xml:space="preserve">Perquisite valuation for use of employer-owned electric </w:t>
            </w:r>
            <w:r w:rsidRPr="006A70DB">
              <w:rPr>
                <w:rFonts w:asciiTheme="minorHAnsi" w:hAnsiTheme="minorHAnsi" w:cstheme="minorHAnsi"/>
                <w:b/>
              </w:rPr>
              <w:lastRenderedPageBreak/>
              <w:t>motor cars by employees</w:t>
            </w:r>
          </w:p>
          <w:p w14:paraId="6B8AB326" w14:textId="77777777" w:rsidR="003C31EB" w:rsidRPr="006A70DB" w:rsidRDefault="003C31EB" w:rsidP="00AA128D">
            <w:pPr>
              <w:shd w:val="clear" w:color="auto" w:fill="FFFFFF" w:themeFill="background1"/>
              <w:spacing w:after="160" w:line="276" w:lineRule="auto"/>
              <w:jc w:val="both"/>
              <w:rPr>
                <w:rFonts w:asciiTheme="minorHAnsi" w:hAnsiTheme="minorHAnsi" w:cstheme="minorHAnsi"/>
                <w:b/>
              </w:rPr>
            </w:pPr>
            <w:r w:rsidRPr="006A70DB">
              <w:rPr>
                <w:rFonts w:asciiTheme="minorHAnsi" w:hAnsiTheme="minorHAnsi" w:cstheme="minorHAnsi"/>
                <w:b/>
              </w:rPr>
              <w:t>Section in Income Tax Act, 1961 – 17(1)</w:t>
            </w:r>
          </w:p>
          <w:p w14:paraId="75F87BC6" w14:textId="037A7A1C" w:rsidR="003C31EB" w:rsidRPr="006A70DB" w:rsidRDefault="003C31EB" w:rsidP="00AA128D">
            <w:pPr>
              <w:shd w:val="clear" w:color="auto" w:fill="FFFFFF" w:themeFill="background1"/>
              <w:spacing w:after="160" w:line="276" w:lineRule="auto"/>
              <w:jc w:val="both"/>
              <w:rPr>
                <w:rFonts w:asciiTheme="minorHAnsi" w:hAnsiTheme="minorHAnsi" w:cstheme="minorHAnsi"/>
                <w:b/>
              </w:rPr>
            </w:pPr>
            <w:r w:rsidRPr="006A70DB">
              <w:rPr>
                <w:rFonts w:asciiTheme="minorHAnsi" w:hAnsiTheme="minorHAnsi" w:cstheme="minorHAnsi"/>
                <w:b/>
              </w:rPr>
              <w:t>Corresponding section in Income Tax Act, 2025 – 16</w:t>
            </w:r>
          </w:p>
        </w:tc>
        <w:tc>
          <w:tcPr>
            <w:tcW w:w="10986" w:type="dxa"/>
          </w:tcPr>
          <w:p w14:paraId="756C2EE1" w14:textId="77777777" w:rsidR="003C31EB" w:rsidRPr="004179E6" w:rsidRDefault="003C31EB" w:rsidP="00AA128D">
            <w:pPr>
              <w:widowControl/>
              <w:shd w:val="clear" w:color="auto" w:fill="FFFFFF" w:themeFill="background1"/>
              <w:autoSpaceDE/>
              <w:autoSpaceDN/>
              <w:spacing w:after="160" w:line="276" w:lineRule="auto"/>
              <w:jc w:val="both"/>
              <w:rPr>
                <w:rFonts w:asciiTheme="minorHAnsi" w:eastAsiaTheme="minorEastAsia" w:hAnsiTheme="minorHAnsi" w:cstheme="minorHAnsi"/>
                <w:b/>
                <w:bCs/>
                <w:lang w:val="en-GB"/>
              </w:rPr>
            </w:pPr>
            <w:r w:rsidRPr="004179E6">
              <w:rPr>
                <w:rFonts w:asciiTheme="minorHAnsi" w:eastAsiaTheme="minorEastAsia" w:hAnsiTheme="minorHAnsi" w:cstheme="minorHAnsi"/>
                <w:b/>
                <w:bCs/>
              </w:rPr>
              <w:lastRenderedPageBreak/>
              <w:t>Rationale</w:t>
            </w:r>
          </w:p>
          <w:p w14:paraId="524F52F7" w14:textId="1D87832D" w:rsidR="003C31EB" w:rsidRPr="004179E6" w:rsidRDefault="003C31EB" w:rsidP="00AA128D">
            <w:pPr>
              <w:pStyle w:val="ListParagraph"/>
              <w:widowControl/>
              <w:numPr>
                <w:ilvl w:val="0"/>
                <w:numId w:val="27"/>
              </w:numPr>
              <w:shd w:val="clear" w:color="auto" w:fill="FFFFFF" w:themeFill="background1"/>
              <w:autoSpaceDE/>
              <w:autoSpaceDN/>
              <w:spacing w:after="160" w:line="276" w:lineRule="auto"/>
              <w:ind w:left="360"/>
              <w:jc w:val="both"/>
              <w:rPr>
                <w:rFonts w:asciiTheme="minorHAnsi" w:eastAsiaTheme="minorEastAsia" w:hAnsiTheme="minorHAnsi" w:cstheme="minorHAnsi"/>
              </w:rPr>
            </w:pPr>
            <w:r w:rsidRPr="004179E6">
              <w:rPr>
                <w:rFonts w:asciiTheme="minorHAnsi" w:eastAsiaTheme="minorEastAsia" w:hAnsiTheme="minorHAnsi" w:cstheme="minorHAnsi"/>
              </w:rPr>
              <w:lastRenderedPageBreak/>
              <w:t xml:space="preserve">The existing law provides for computation of perquisite value in the hands of the employee for motor car </w:t>
            </w:r>
            <w:r w:rsidRPr="004179E6">
              <w:rPr>
                <w:rFonts w:asciiTheme="minorHAnsi" w:hAnsiTheme="minorHAnsi" w:cstheme="minorHAnsi"/>
                <w:bCs/>
              </w:rPr>
              <w:t>provided</w:t>
            </w:r>
            <w:r w:rsidRPr="004179E6">
              <w:rPr>
                <w:rFonts w:asciiTheme="minorHAnsi" w:eastAsiaTheme="minorEastAsia" w:hAnsiTheme="minorHAnsi" w:cstheme="minorHAnsi"/>
              </w:rPr>
              <w:t xml:space="preserve"> by employer partly for official and partly for personal purposes. The perquisite valuation differs basis the car engine capacity (marginally higher in case the car engine capacity is more than 1,600cc). The battery capacity of electric vehicles is measured in Kilowatts (kW) instead of cubic capacity of the engine which results in challenges in computing the perquisite value. In the absence of any clarification in the Income Tax Rule, 1962, corporates are continuing to offer only petrol/diesel cars to its employees. </w:t>
            </w:r>
          </w:p>
          <w:p w14:paraId="6DF0B2A6" w14:textId="77777777" w:rsidR="00955B88" w:rsidRDefault="003C31EB" w:rsidP="00AA128D">
            <w:pPr>
              <w:pStyle w:val="ListParagraph"/>
              <w:widowControl/>
              <w:numPr>
                <w:ilvl w:val="0"/>
                <w:numId w:val="27"/>
              </w:numPr>
              <w:shd w:val="clear" w:color="auto" w:fill="FFFFFF" w:themeFill="background1"/>
              <w:autoSpaceDE/>
              <w:autoSpaceDN/>
              <w:spacing w:after="160" w:line="276" w:lineRule="auto"/>
              <w:ind w:left="360"/>
              <w:jc w:val="both"/>
              <w:rPr>
                <w:rFonts w:asciiTheme="minorHAnsi" w:eastAsiaTheme="minorEastAsia" w:hAnsiTheme="minorHAnsi" w:cstheme="minorHAnsi"/>
              </w:rPr>
            </w:pPr>
            <w:r w:rsidRPr="004179E6">
              <w:rPr>
                <w:rFonts w:asciiTheme="minorHAnsi" w:eastAsiaTheme="minorEastAsia" w:hAnsiTheme="minorHAnsi" w:cstheme="minorHAnsi"/>
              </w:rPr>
              <w:t xml:space="preserve">Given the fact that the Government of India is actively pursuing the penetration of electric vehicles into the market as well as the added focus of all corporates into energy sustainability and carbon neutrality, electric </w:t>
            </w:r>
            <w:r w:rsidRPr="004179E6">
              <w:rPr>
                <w:rFonts w:asciiTheme="minorHAnsi" w:hAnsiTheme="minorHAnsi" w:cstheme="minorHAnsi"/>
                <w:bCs/>
              </w:rPr>
              <w:t>motor</w:t>
            </w:r>
            <w:r w:rsidRPr="004179E6">
              <w:rPr>
                <w:rFonts w:asciiTheme="minorHAnsi" w:eastAsiaTheme="minorEastAsia" w:hAnsiTheme="minorHAnsi" w:cstheme="minorHAnsi"/>
              </w:rPr>
              <w:t xml:space="preserve"> cars are becoming increasingly popular with many individuals opting for electric variants of popular vehicle brands. It would be only natural that tax laws also keep pace with the changing environment and encourage people to switch over to cleaner energy options. This would enable employers to buy and allocate such electric vehicles for use by their employees, without having any concerns on either depriving their employees of the concessional perquisite value or facing any litigation for applying incorrect perquisite value for withholding tax purpose.</w:t>
            </w:r>
          </w:p>
          <w:p w14:paraId="01C5EA5F" w14:textId="77777777" w:rsidR="00955B88" w:rsidRDefault="00C20E17" w:rsidP="00AA128D">
            <w:pPr>
              <w:pStyle w:val="ListParagraph"/>
              <w:widowControl/>
              <w:numPr>
                <w:ilvl w:val="0"/>
                <w:numId w:val="27"/>
              </w:numPr>
              <w:shd w:val="clear" w:color="auto" w:fill="FFFFFF" w:themeFill="background1"/>
              <w:autoSpaceDE/>
              <w:autoSpaceDN/>
              <w:spacing w:after="160" w:line="276" w:lineRule="auto"/>
              <w:ind w:left="360"/>
              <w:jc w:val="both"/>
              <w:rPr>
                <w:rFonts w:asciiTheme="minorHAnsi" w:eastAsiaTheme="minorEastAsia" w:hAnsiTheme="minorHAnsi" w:cstheme="minorHAnsi"/>
              </w:rPr>
            </w:pPr>
            <w:r w:rsidRPr="00955B88">
              <w:rPr>
                <w:rFonts w:asciiTheme="minorHAnsi" w:eastAsiaTheme="minorEastAsia" w:hAnsiTheme="minorHAnsi" w:cstheme="minorHAnsi"/>
              </w:rPr>
              <w:t xml:space="preserve">It is noted that </w:t>
            </w:r>
            <w:r w:rsidR="00553C29" w:rsidRPr="00955B88">
              <w:rPr>
                <w:rFonts w:asciiTheme="minorHAnsi" w:eastAsiaTheme="minorEastAsia" w:hAnsiTheme="minorHAnsi" w:cstheme="minorHAnsi"/>
              </w:rPr>
              <w:t>Rule 15(3)(a) of Draft ITR Rule 2026 also does not prescribe any specific value for electric cars.</w:t>
            </w:r>
          </w:p>
          <w:p w14:paraId="4329C354" w14:textId="67B40F90" w:rsidR="003C31EB" w:rsidRPr="00955B88" w:rsidRDefault="003C31EB" w:rsidP="00AA128D">
            <w:pPr>
              <w:widowControl/>
              <w:shd w:val="clear" w:color="auto" w:fill="FFFFFF" w:themeFill="background1"/>
              <w:autoSpaceDE/>
              <w:autoSpaceDN/>
              <w:spacing w:after="160" w:line="276" w:lineRule="auto"/>
              <w:jc w:val="both"/>
              <w:rPr>
                <w:rFonts w:asciiTheme="minorHAnsi" w:eastAsiaTheme="minorEastAsia" w:hAnsiTheme="minorHAnsi" w:cstheme="minorHAnsi"/>
              </w:rPr>
            </w:pPr>
            <w:r w:rsidRPr="00955B88">
              <w:rPr>
                <w:rFonts w:asciiTheme="minorHAnsi" w:hAnsiTheme="minorHAnsi" w:cstheme="minorHAnsi"/>
                <w:b/>
              </w:rPr>
              <w:t>Recommendation</w:t>
            </w:r>
          </w:p>
          <w:p w14:paraId="4B0553BD" w14:textId="4B4B1178" w:rsidR="00B34610" w:rsidRPr="00192A44" w:rsidRDefault="00B34610" w:rsidP="00AA128D">
            <w:pPr>
              <w:pStyle w:val="ListParagraph"/>
              <w:widowControl/>
              <w:numPr>
                <w:ilvl w:val="0"/>
                <w:numId w:val="27"/>
              </w:numPr>
              <w:shd w:val="clear" w:color="auto" w:fill="FFFFFF" w:themeFill="background1"/>
              <w:autoSpaceDE/>
              <w:autoSpaceDN/>
              <w:spacing w:after="160" w:line="276" w:lineRule="auto"/>
              <w:ind w:left="360"/>
              <w:jc w:val="both"/>
              <w:rPr>
                <w:rFonts w:asciiTheme="minorHAnsi" w:hAnsiTheme="minorHAnsi" w:cstheme="minorHAnsi"/>
                <w:b/>
                <w:bCs/>
                <w:lang w:val="en-GB"/>
              </w:rPr>
            </w:pPr>
            <w:r w:rsidRPr="00B34610">
              <w:rPr>
                <w:rFonts w:asciiTheme="minorHAnsi" w:eastAsiaTheme="minorEastAsia" w:hAnsiTheme="minorHAnsi" w:cstheme="minorHAnsi"/>
              </w:rPr>
              <w:t xml:space="preserve">As a policy incentive to encourage more use of electric cars as an environment friendly measure and provided incentive to employers/employees to substitute petrol/diesel cars with electric cars, the provision of electric car by employer to employee and/or reimbursement of running expenses incurred by employee on electric cars should be made tax-free for a period of 5 years from tax year 2026-27 to 2030-31. </w:t>
            </w:r>
          </w:p>
          <w:p w14:paraId="58B15E0E" w14:textId="03694F5E" w:rsidR="003C31EB" w:rsidRPr="004179E6" w:rsidRDefault="003C31EB" w:rsidP="00AA128D">
            <w:pPr>
              <w:pStyle w:val="ListParagraph"/>
              <w:widowControl/>
              <w:numPr>
                <w:ilvl w:val="0"/>
                <w:numId w:val="27"/>
              </w:numPr>
              <w:shd w:val="clear" w:color="auto" w:fill="FFFFFF" w:themeFill="background1"/>
              <w:autoSpaceDE/>
              <w:autoSpaceDN/>
              <w:spacing w:after="160" w:line="276" w:lineRule="auto"/>
              <w:ind w:left="360"/>
              <w:jc w:val="both"/>
              <w:rPr>
                <w:rFonts w:asciiTheme="minorHAnsi" w:hAnsiTheme="minorHAnsi" w:cstheme="minorHAnsi"/>
                <w:b/>
                <w:bCs/>
                <w:lang w:val="en-GB"/>
              </w:rPr>
            </w:pPr>
            <w:r w:rsidRPr="004179E6">
              <w:rPr>
                <w:rFonts w:asciiTheme="minorHAnsi" w:eastAsiaTheme="minorEastAsia" w:hAnsiTheme="minorHAnsi" w:cstheme="minorHAnsi"/>
              </w:rPr>
              <w:t>It is recommended that a specific valuation rule for provision of electric vehicles be introduced</w:t>
            </w:r>
            <w:r w:rsidR="00BC25C6">
              <w:rPr>
                <w:rFonts w:asciiTheme="minorHAnsi" w:eastAsiaTheme="minorEastAsia" w:hAnsiTheme="minorHAnsi" w:cstheme="minorHAnsi"/>
              </w:rPr>
              <w:t xml:space="preserve"> for subsequent period</w:t>
            </w:r>
            <w:r w:rsidRPr="004179E6">
              <w:rPr>
                <w:rFonts w:asciiTheme="minorHAnsi" w:eastAsiaTheme="minorEastAsia" w:hAnsiTheme="minorHAnsi" w:cstheme="minorHAnsi"/>
              </w:rPr>
              <w:t xml:space="preserve"> to enable the employer to determine the perquisite value for electric vehicles.</w:t>
            </w:r>
          </w:p>
        </w:tc>
      </w:tr>
    </w:tbl>
    <w:p w14:paraId="35974B7C" w14:textId="77777777" w:rsidR="00153985" w:rsidRPr="004179E6" w:rsidRDefault="00153985" w:rsidP="00AA128D">
      <w:pPr>
        <w:spacing w:after="160" w:line="276" w:lineRule="auto"/>
        <w:rPr>
          <w:rFonts w:asciiTheme="minorHAnsi" w:hAnsiTheme="minorHAnsi" w:cstheme="minorHAnsi"/>
        </w:rPr>
      </w:pPr>
    </w:p>
    <w:sectPr w:rsidR="00153985" w:rsidRPr="004179E6" w:rsidSect="00114AFA">
      <w:headerReference w:type="default" r:id="rId11"/>
      <w:footerReference w:type="default" r:id="rId12"/>
      <w:pgSz w:w="16838" w:h="11906" w:orient="landscape"/>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B67B3" w14:textId="77777777" w:rsidR="00C0254A" w:rsidRDefault="00C0254A" w:rsidP="00B67348">
      <w:r>
        <w:separator/>
      </w:r>
    </w:p>
  </w:endnote>
  <w:endnote w:type="continuationSeparator" w:id="0">
    <w:p w14:paraId="6F76BBCF" w14:textId="77777777" w:rsidR="00C0254A" w:rsidRDefault="00C0254A" w:rsidP="00B67348">
      <w:r>
        <w:continuationSeparator/>
      </w:r>
    </w:p>
  </w:endnote>
  <w:endnote w:type="continuationNotice" w:id="1">
    <w:p w14:paraId="3356AE38" w14:textId="77777777" w:rsidR="00C0254A" w:rsidRDefault="00C025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EYInterstate Light">
    <w:panose1 w:val="02000506000000020004"/>
    <w:charset w:val="00"/>
    <w:family w:val="auto"/>
    <w:pitch w:val="variable"/>
    <w:sig w:usb0="A00002AF" w:usb1="5000206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EYInterstate">
    <w:panose1 w:val="02000503020000020004"/>
    <w:charset w:val="00"/>
    <w:family w:val="auto"/>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863909"/>
      <w:docPartObj>
        <w:docPartGallery w:val="Page Numbers (Bottom of Page)"/>
        <w:docPartUnique/>
      </w:docPartObj>
    </w:sdtPr>
    <w:sdtContent>
      <w:sdt>
        <w:sdtPr>
          <w:id w:val="-1769616900"/>
          <w:docPartObj>
            <w:docPartGallery w:val="Page Numbers (Top of Page)"/>
            <w:docPartUnique/>
          </w:docPartObj>
        </w:sdtPr>
        <w:sdtContent>
          <w:p w14:paraId="6A6EBE49" w14:textId="77777777" w:rsidR="005A207D" w:rsidRDefault="005A207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83CB5">
              <w:rPr>
                <w:b/>
                <w:bCs/>
                <w:noProof/>
              </w:rPr>
              <w:t>159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83CB5">
              <w:rPr>
                <w:b/>
                <w:bCs/>
                <w:noProof/>
              </w:rPr>
              <w:t>161</w:t>
            </w:r>
            <w:r>
              <w:rPr>
                <w:b/>
                <w:bCs/>
                <w:sz w:val="24"/>
                <w:szCs w:val="24"/>
              </w:rPr>
              <w:fldChar w:fldCharType="end"/>
            </w:r>
          </w:p>
        </w:sdtContent>
      </w:sdt>
    </w:sdtContent>
  </w:sdt>
  <w:p w14:paraId="3586E364" w14:textId="77777777" w:rsidR="005A207D" w:rsidRDefault="005A2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0D55" w14:textId="77777777" w:rsidR="00C0254A" w:rsidRDefault="00C0254A" w:rsidP="00B67348">
      <w:r>
        <w:separator/>
      </w:r>
    </w:p>
  </w:footnote>
  <w:footnote w:type="continuationSeparator" w:id="0">
    <w:p w14:paraId="60FEC07E" w14:textId="77777777" w:rsidR="00C0254A" w:rsidRDefault="00C0254A" w:rsidP="00B67348">
      <w:r>
        <w:continuationSeparator/>
      </w:r>
    </w:p>
  </w:footnote>
  <w:footnote w:type="continuationNotice" w:id="1">
    <w:p w14:paraId="2C2E4E4A" w14:textId="77777777" w:rsidR="00C0254A" w:rsidRDefault="00C0254A"/>
  </w:footnote>
  <w:footnote w:id="2">
    <w:p w14:paraId="25B1925B" w14:textId="77777777" w:rsidR="005A207D" w:rsidRPr="00C15087" w:rsidRDefault="005A207D">
      <w:pPr>
        <w:pStyle w:val="FootnoteText"/>
        <w:rPr>
          <w:rFonts w:cstheme="minorHAnsi"/>
          <w:sz w:val="22"/>
          <w:szCs w:val="22"/>
          <w:lang w:val="en-IN"/>
        </w:rPr>
      </w:pPr>
      <w:r w:rsidRPr="00C15087">
        <w:rPr>
          <w:rStyle w:val="FootnoteReference"/>
          <w:rFonts w:cstheme="minorHAnsi"/>
          <w:sz w:val="22"/>
          <w:szCs w:val="22"/>
        </w:rPr>
        <w:footnoteRef/>
      </w:r>
      <w:r w:rsidRPr="00C15087">
        <w:rPr>
          <w:rFonts w:cstheme="minorHAnsi"/>
          <w:sz w:val="22"/>
          <w:szCs w:val="22"/>
        </w:rPr>
        <w:t xml:space="preserve"> </w:t>
      </w:r>
      <w:r w:rsidRPr="00C15087">
        <w:rPr>
          <w:rFonts w:cstheme="minorHAnsi"/>
          <w:sz w:val="22"/>
          <w:szCs w:val="22"/>
          <w:lang w:val="en-IN"/>
        </w:rPr>
        <w:t>Certain assets like jewellery, bullion, etc are to be valued at fair market value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ADAF0" w14:textId="0C2ED5A2" w:rsidR="005A207D" w:rsidRPr="008C5D6B" w:rsidRDefault="005A207D" w:rsidP="00F74EA7">
    <w:pPr>
      <w:pStyle w:val="Header"/>
      <w:rPr>
        <w:lang w:val="en-IN"/>
      </w:rPr>
    </w:pPr>
    <w:r w:rsidRPr="00995D61">
      <w:rPr>
        <w:noProof/>
        <w:color w:val="FF0000"/>
        <w:sz w:val="28"/>
        <w:szCs w:val="28"/>
        <w:lang w:val="en-IN" w:eastAsia="en-IN" w:bidi="ar-SA"/>
      </w:rPr>
      <w:drawing>
        <wp:inline distT="0" distB="0" distL="0" distR="0" wp14:anchorId="3BD93B6C" wp14:editId="17C96EEF">
          <wp:extent cx="581025" cy="390525"/>
          <wp:effectExtent l="0" t="0" r="9525" b="9525"/>
          <wp:docPr id="1206503017" name="Picture 120650301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rcRect/>
                  <a:stretch>
                    <a:fillRect/>
                  </a:stretch>
                </pic:blipFill>
                <pic:spPr bwMode="auto">
                  <a:xfrm>
                    <a:off x="0" y="0"/>
                    <a:ext cx="581025" cy="390525"/>
                  </a:xfrm>
                  <a:prstGeom prst="rect">
                    <a:avLst/>
                  </a:prstGeom>
                  <a:solidFill>
                    <a:srgbClr val="FFFFFF"/>
                  </a:solidFill>
                  <a:ln w="9525">
                    <a:noFill/>
                    <a:miter lim="800000"/>
                    <a:headEnd/>
                    <a:tailEnd/>
                  </a:ln>
                </pic:spPr>
              </pic:pic>
            </a:graphicData>
          </a:graphic>
        </wp:inline>
      </w:drawing>
    </w:r>
    <w:r w:rsidRPr="00995D61">
      <w:rPr>
        <w:rFonts w:asciiTheme="minorHAnsi" w:hAnsiTheme="minorHAnsi" w:cstheme="minorHAnsi"/>
        <w:b/>
        <w:bCs/>
        <w:color w:val="FF0000"/>
      </w:rPr>
      <w:t xml:space="preserve"> </w:t>
    </w:r>
    <w:r w:rsidRPr="00995D61">
      <w:rPr>
        <w:rFonts w:asciiTheme="minorHAnsi" w:hAnsiTheme="minorHAnsi" w:cstheme="minorHAnsi"/>
        <w:b/>
        <w:bCs/>
        <w:color w:val="FF0000"/>
      </w:rPr>
      <w:tab/>
    </w:r>
    <w:r w:rsidRPr="00995D61">
      <w:rPr>
        <w:rFonts w:asciiTheme="minorHAnsi" w:hAnsiTheme="minorHAnsi" w:cstheme="minorHAnsi"/>
        <w:b/>
        <w:bCs/>
        <w:color w:val="FF0000"/>
      </w:rPr>
      <w:tab/>
    </w:r>
    <w:r w:rsidRPr="00995D61">
      <w:rPr>
        <w:rFonts w:asciiTheme="minorHAnsi" w:hAnsiTheme="minorHAnsi" w:cstheme="minorHAnsi"/>
        <w:b/>
        <w:bCs/>
        <w:color w:val="FF0000"/>
      </w:rPr>
      <w:tab/>
      <w:t xml:space="preserve">   </w:t>
    </w:r>
    <w:r w:rsidRPr="008C5D6B">
      <w:rPr>
        <w:rFonts w:asciiTheme="minorHAnsi" w:hAnsiTheme="minorHAnsi" w:cstheme="minorHAnsi"/>
        <w:sz w:val="18"/>
        <w:szCs w:val="18"/>
      </w:rPr>
      <w:t>Bombay Chamber of Commerce and Industry</w:t>
    </w:r>
  </w:p>
  <w:p w14:paraId="017E1C82" w14:textId="77777777" w:rsidR="005A207D" w:rsidRPr="003B12AD" w:rsidRDefault="005A207D" w:rsidP="003B12AD">
    <w:pPr>
      <w:pStyle w:val="Header"/>
      <w:jc w:val="right"/>
      <w:rPr>
        <w:lang w:val="en-IN"/>
      </w:rPr>
    </w:pPr>
    <w:r>
      <w:rPr>
        <w:lang w:val="en-I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18A"/>
    <w:multiLevelType w:val="hybridMultilevel"/>
    <w:tmpl w:val="F0A21D4E"/>
    <w:lvl w:ilvl="0" w:tplc="04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0F3076B"/>
    <w:multiLevelType w:val="hybridMultilevel"/>
    <w:tmpl w:val="75584D5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1490174"/>
    <w:multiLevelType w:val="hybridMultilevel"/>
    <w:tmpl w:val="C5FE1A9E"/>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1B362A7"/>
    <w:multiLevelType w:val="hybridMultilevel"/>
    <w:tmpl w:val="B7B66366"/>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230140D"/>
    <w:multiLevelType w:val="hybridMultilevel"/>
    <w:tmpl w:val="C9A2C32E"/>
    <w:lvl w:ilvl="0" w:tplc="60065350">
      <w:start w:val="1"/>
      <w:numFmt w:val="lowerRoman"/>
      <w:lvlText w:val="(%1)"/>
      <w:lvlJc w:val="right"/>
      <w:pPr>
        <w:ind w:left="-39" w:hanging="360"/>
      </w:pPr>
      <w:rPr>
        <w:rFonts w:hint="default"/>
      </w:rPr>
    </w:lvl>
    <w:lvl w:ilvl="1" w:tplc="40090019" w:tentative="1">
      <w:start w:val="1"/>
      <w:numFmt w:val="lowerLetter"/>
      <w:lvlText w:val="%2."/>
      <w:lvlJc w:val="left"/>
      <w:pPr>
        <w:ind w:left="681" w:hanging="360"/>
      </w:pPr>
    </w:lvl>
    <w:lvl w:ilvl="2" w:tplc="4009001B" w:tentative="1">
      <w:start w:val="1"/>
      <w:numFmt w:val="lowerRoman"/>
      <w:lvlText w:val="%3."/>
      <w:lvlJc w:val="right"/>
      <w:pPr>
        <w:ind w:left="1401" w:hanging="180"/>
      </w:pPr>
    </w:lvl>
    <w:lvl w:ilvl="3" w:tplc="4009000F" w:tentative="1">
      <w:start w:val="1"/>
      <w:numFmt w:val="decimal"/>
      <w:lvlText w:val="%4."/>
      <w:lvlJc w:val="left"/>
      <w:pPr>
        <w:ind w:left="2121" w:hanging="360"/>
      </w:pPr>
    </w:lvl>
    <w:lvl w:ilvl="4" w:tplc="40090019" w:tentative="1">
      <w:start w:val="1"/>
      <w:numFmt w:val="lowerLetter"/>
      <w:lvlText w:val="%5."/>
      <w:lvlJc w:val="left"/>
      <w:pPr>
        <w:ind w:left="2841" w:hanging="360"/>
      </w:pPr>
    </w:lvl>
    <w:lvl w:ilvl="5" w:tplc="4009001B" w:tentative="1">
      <w:start w:val="1"/>
      <w:numFmt w:val="lowerRoman"/>
      <w:lvlText w:val="%6."/>
      <w:lvlJc w:val="right"/>
      <w:pPr>
        <w:ind w:left="3561" w:hanging="180"/>
      </w:pPr>
    </w:lvl>
    <w:lvl w:ilvl="6" w:tplc="4009000F" w:tentative="1">
      <w:start w:val="1"/>
      <w:numFmt w:val="decimal"/>
      <w:lvlText w:val="%7."/>
      <w:lvlJc w:val="left"/>
      <w:pPr>
        <w:ind w:left="4281" w:hanging="360"/>
      </w:pPr>
    </w:lvl>
    <w:lvl w:ilvl="7" w:tplc="40090019" w:tentative="1">
      <w:start w:val="1"/>
      <w:numFmt w:val="lowerLetter"/>
      <w:lvlText w:val="%8."/>
      <w:lvlJc w:val="left"/>
      <w:pPr>
        <w:ind w:left="5001" w:hanging="360"/>
      </w:pPr>
    </w:lvl>
    <w:lvl w:ilvl="8" w:tplc="4009001B" w:tentative="1">
      <w:start w:val="1"/>
      <w:numFmt w:val="lowerRoman"/>
      <w:lvlText w:val="%9."/>
      <w:lvlJc w:val="right"/>
      <w:pPr>
        <w:ind w:left="5721" w:hanging="180"/>
      </w:pPr>
    </w:lvl>
  </w:abstractNum>
  <w:abstractNum w:abstractNumId="5" w15:restartNumberingAfterBreak="0">
    <w:nsid w:val="02F779BE"/>
    <w:multiLevelType w:val="hybridMultilevel"/>
    <w:tmpl w:val="A822BB9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3C41AD5"/>
    <w:multiLevelType w:val="hybridMultilevel"/>
    <w:tmpl w:val="2A3241CE"/>
    <w:lvl w:ilvl="0" w:tplc="DD50DB28">
      <w:start w:val="1"/>
      <w:numFmt w:val="bullet"/>
      <w:lvlText w:val=""/>
      <w:lvlJc w:val="left"/>
      <w:pPr>
        <w:ind w:left="36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4EE60BD"/>
    <w:multiLevelType w:val="hybridMultilevel"/>
    <w:tmpl w:val="C4BACB50"/>
    <w:lvl w:ilvl="0" w:tplc="60065350">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4F56947"/>
    <w:multiLevelType w:val="hybridMultilevel"/>
    <w:tmpl w:val="26B8ABE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9" w15:restartNumberingAfterBreak="0">
    <w:nsid w:val="0507173F"/>
    <w:multiLevelType w:val="hybridMultilevel"/>
    <w:tmpl w:val="7638B25A"/>
    <w:lvl w:ilvl="0" w:tplc="A4F60E8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0C7B09"/>
    <w:multiLevelType w:val="hybridMultilevel"/>
    <w:tmpl w:val="FA6CC84C"/>
    <w:lvl w:ilvl="0" w:tplc="40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Courier New" w:hAnsi="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71D0ECA"/>
    <w:multiLevelType w:val="hybridMultilevel"/>
    <w:tmpl w:val="6D0016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078D4ED7"/>
    <w:multiLevelType w:val="hybridMultilevel"/>
    <w:tmpl w:val="9B5A5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9D30D3"/>
    <w:multiLevelType w:val="multilevel"/>
    <w:tmpl w:val="84EA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9966888"/>
    <w:multiLevelType w:val="hybridMultilevel"/>
    <w:tmpl w:val="CB667DAC"/>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9FC4A18"/>
    <w:multiLevelType w:val="hybridMultilevel"/>
    <w:tmpl w:val="7FCC27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0A77369C"/>
    <w:multiLevelType w:val="hybridMultilevel"/>
    <w:tmpl w:val="91D62D14"/>
    <w:lvl w:ilvl="0" w:tplc="40090001">
      <w:start w:val="1"/>
      <w:numFmt w:val="bullet"/>
      <w:lvlText w:val=""/>
      <w:lvlJc w:val="left"/>
      <w:pPr>
        <w:ind w:left="1260" w:hanging="360"/>
      </w:pPr>
      <w:rPr>
        <w:rFonts w:ascii="Symbol" w:hAnsi="Symbol" w:hint="default"/>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17" w15:restartNumberingAfterBreak="0">
    <w:nsid w:val="0AF05BE8"/>
    <w:multiLevelType w:val="hybridMultilevel"/>
    <w:tmpl w:val="F28C65A6"/>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40090001">
      <w:start w:val="1"/>
      <w:numFmt w:val="bullet"/>
      <w:lvlText w:val=""/>
      <w:lvlJc w:val="left"/>
      <w:pPr>
        <w:ind w:left="3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B961DEF"/>
    <w:multiLevelType w:val="hybridMultilevel"/>
    <w:tmpl w:val="AF9A1570"/>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4009000B">
      <w:start w:val="1"/>
      <w:numFmt w:val="bullet"/>
      <w:lvlText w:val=""/>
      <w:lvlJc w:val="left"/>
      <w:pPr>
        <w:ind w:left="3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BBE195E"/>
    <w:multiLevelType w:val="hybridMultilevel"/>
    <w:tmpl w:val="61A22312"/>
    <w:lvl w:ilvl="0" w:tplc="4009000B">
      <w:start w:val="1"/>
      <w:numFmt w:val="bullet"/>
      <w:lvlText w:val=""/>
      <w:lvlJc w:val="left"/>
      <w:pPr>
        <w:ind w:left="360" w:hanging="360"/>
      </w:pPr>
      <w:rPr>
        <w:rFonts w:ascii="Wingdings" w:hAnsi="Wingdings" w:hint="default"/>
        <w:b w:val="0"/>
        <w:bCs w:val="0"/>
        <w:i w:val="0"/>
        <w:iCs w:val="0"/>
        <w:w w:val="100"/>
        <w:sz w:val="18"/>
        <w:szCs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0BC70D1F"/>
    <w:multiLevelType w:val="multilevel"/>
    <w:tmpl w:val="E200B480"/>
    <w:lvl w:ilvl="0">
      <w:start w:val="1"/>
      <w:numFmt w:val="decimal"/>
      <w:lvlText w:val="%1."/>
      <w:lvlJc w:val="left"/>
      <w:pPr>
        <w:ind w:left="720" w:hanging="720"/>
      </w:pPr>
      <w:rPr>
        <w:rFonts w:hint="default"/>
        <w:b/>
        <w:bCs/>
        <w:i w:val="0"/>
        <w:iCs w:val="0"/>
      </w:rPr>
    </w:lvl>
    <w:lvl w:ilvl="1">
      <w:start w:val="1"/>
      <w:numFmt w:val="decimal"/>
      <w:lvlText w:val="%1.%2."/>
      <w:lvlJc w:val="left"/>
      <w:pPr>
        <w:ind w:left="720" w:hanging="720"/>
      </w:pPr>
      <w:rPr>
        <w:rFonts w:hint="default"/>
        <w:b w:val="0"/>
        <w:bCs w:val="0"/>
        <w:i w:val="0"/>
        <w:iCs w:val="0"/>
      </w:rPr>
    </w:lvl>
    <w:lvl w:ilvl="2">
      <w:start w:val="1"/>
      <w:numFmt w:val="lowerLetter"/>
      <w:lvlText w:val="(%3)"/>
      <w:lvlJc w:val="left"/>
      <w:pPr>
        <w:tabs>
          <w:tab w:val="num" w:pos="7200"/>
        </w:tabs>
        <w:ind w:left="1152" w:hanging="432"/>
      </w:pPr>
      <w:rPr>
        <w:rFonts w:hint="default"/>
      </w:rPr>
    </w:lvl>
    <w:lvl w:ilvl="3">
      <w:start w:val="1"/>
      <w:numFmt w:val="lowerRoman"/>
      <w:lvlText w:val="(%4)"/>
      <w:lvlJc w:val="left"/>
      <w:pPr>
        <w:ind w:left="1728" w:hanging="57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BD776A8"/>
    <w:multiLevelType w:val="hybridMultilevel"/>
    <w:tmpl w:val="681EB978"/>
    <w:lvl w:ilvl="0" w:tplc="AF4451E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0C3468FD"/>
    <w:multiLevelType w:val="hybridMultilevel"/>
    <w:tmpl w:val="E6B43730"/>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0C966D78"/>
    <w:multiLevelType w:val="hybridMultilevel"/>
    <w:tmpl w:val="FFFFFFFF"/>
    <w:lvl w:ilvl="0" w:tplc="B0B82D52">
      <w:start w:val="1"/>
      <w:numFmt w:val="bullet"/>
      <w:lvlText w:val=""/>
      <w:lvlJc w:val="left"/>
      <w:pPr>
        <w:ind w:left="720" w:hanging="360"/>
      </w:pPr>
      <w:rPr>
        <w:rFonts w:ascii="Symbol" w:hAnsi="Symbol" w:hint="default"/>
      </w:rPr>
    </w:lvl>
    <w:lvl w:ilvl="1" w:tplc="0EB6D37C">
      <w:start w:val="1"/>
      <w:numFmt w:val="bullet"/>
      <w:lvlText w:val="o"/>
      <w:lvlJc w:val="left"/>
      <w:pPr>
        <w:ind w:left="1440" w:hanging="360"/>
      </w:pPr>
      <w:rPr>
        <w:rFonts w:ascii="Courier New" w:hAnsi="Courier New" w:hint="default"/>
      </w:rPr>
    </w:lvl>
    <w:lvl w:ilvl="2" w:tplc="F962B91E">
      <w:start w:val="1"/>
      <w:numFmt w:val="bullet"/>
      <w:lvlText w:val=""/>
      <w:lvlJc w:val="left"/>
      <w:pPr>
        <w:ind w:left="2160" w:hanging="360"/>
      </w:pPr>
      <w:rPr>
        <w:rFonts w:ascii="Wingdings" w:hAnsi="Wingdings" w:hint="default"/>
      </w:rPr>
    </w:lvl>
    <w:lvl w:ilvl="3" w:tplc="4AA89E20">
      <w:start w:val="1"/>
      <w:numFmt w:val="bullet"/>
      <w:lvlText w:val=""/>
      <w:lvlJc w:val="left"/>
      <w:pPr>
        <w:ind w:left="2880" w:hanging="360"/>
      </w:pPr>
      <w:rPr>
        <w:rFonts w:ascii="Symbol" w:hAnsi="Symbol" w:hint="default"/>
      </w:rPr>
    </w:lvl>
    <w:lvl w:ilvl="4" w:tplc="BBDEB8F2">
      <w:start w:val="1"/>
      <w:numFmt w:val="bullet"/>
      <w:lvlText w:val="o"/>
      <w:lvlJc w:val="left"/>
      <w:pPr>
        <w:ind w:left="3600" w:hanging="360"/>
      </w:pPr>
      <w:rPr>
        <w:rFonts w:ascii="Courier New" w:hAnsi="Courier New" w:hint="default"/>
      </w:rPr>
    </w:lvl>
    <w:lvl w:ilvl="5" w:tplc="A74C9D4E">
      <w:start w:val="1"/>
      <w:numFmt w:val="bullet"/>
      <w:lvlText w:val=""/>
      <w:lvlJc w:val="left"/>
      <w:pPr>
        <w:ind w:left="4320" w:hanging="360"/>
      </w:pPr>
      <w:rPr>
        <w:rFonts w:ascii="Wingdings" w:hAnsi="Wingdings" w:hint="default"/>
      </w:rPr>
    </w:lvl>
    <w:lvl w:ilvl="6" w:tplc="21B0ABA0">
      <w:start w:val="1"/>
      <w:numFmt w:val="bullet"/>
      <w:lvlText w:val=""/>
      <w:lvlJc w:val="left"/>
      <w:pPr>
        <w:ind w:left="5040" w:hanging="360"/>
      </w:pPr>
      <w:rPr>
        <w:rFonts w:ascii="Symbol" w:hAnsi="Symbol" w:hint="default"/>
      </w:rPr>
    </w:lvl>
    <w:lvl w:ilvl="7" w:tplc="ABE28EF8">
      <w:start w:val="1"/>
      <w:numFmt w:val="bullet"/>
      <w:lvlText w:val="o"/>
      <w:lvlJc w:val="left"/>
      <w:pPr>
        <w:ind w:left="5760" w:hanging="360"/>
      </w:pPr>
      <w:rPr>
        <w:rFonts w:ascii="Courier New" w:hAnsi="Courier New" w:hint="default"/>
      </w:rPr>
    </w:lvl>
    <w:lvl w:ilvl="8" w:tplc="2F460C90">
      <w:start w:val="1"/>
      <w:numFmt w:val="bullet"/>
      <w:lvlText w:val=""/>
      <w:lvlJc w:val="left"/>
      <w:pPr>
        <w:ind w:left="6480" w:hanging="360"/>
      </w:pPr>
      <w:rPr>
        <w:rFonts w:ascii="Wingdings" w:hAnsi="Wingdings" w:hint="default"/>
      </w:rPr>
    </w:lvl>
  </w:abstractNum>
  <w:abstractNum w:abstractNumId="24" w15:restartNumberingAfterBreak="0">
    <w:nsid w:val="0CC649D4"/>
    <w:multiLevelType w:val="hybridMultilevel"/>
    <w:tmpl w:val="DEB42F5C"/>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40090001">
      <w:start w:val="1"/>
      <w:numFmt w:val="bullet"/>
      <w:lvlText w:val=""/>
      <w:lvlJc w:val="left"/>
      <w:pPr>
        <w:ind w:left="3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0E922391"/>
    <w:multiLevelType w:val="hybridMultilevel"/>
    <w:tmpl w:val="475289E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0FA27500"/>
    <w:multiLevelType w:val="hybridMultilevel"/>
    <w:tmpl w:val="D9C85132"/>
    <w:lvl w:ilvl="0" w:tplc="40090005">
      <w:start w:val="1"/>
      <w:numFmt w:val="bullet"/>
      <w:lvlText w:val=""/>
      <w:lvlJc w:val="left"/>
      <w:pPr>
        <w:ind w:left="362"/>
      </w:pPr>
      <w:rPr>
        <w:rFonts w:ascii="Wingdings" w:hAnsi="Wingdings"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0FF7365F"/>
    <w:multiLevelType w:val="hybridMultilevel"/>
    <w:tmpl w:val="26D658B2"/>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10D85531"/>
    <w:multiLevelType w:val="hybridMultilevel"/>
    <w:tmpl w:val="E04C823C"/>
    <w:lvl w:ilvl="0" w:tplc="FFFFFFFF">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090005">
      <w:start w:val="1"/>
      <w:numFmt w:val="bullet"/>
      <w:lvlText w:val=""/>
      <w:lvlJc w:val="left"/>
      <w:pPr>
        <w:ind w:left="360" w:hanging="360"/>
      </w:pPr>
      <w:rPr>
        <w:rFonts w:ascii="Wingdings" w:hAnsi="Wingdings" w:hint="default"/>
      </w:rPr>
    </w:lvl>
    <w:lvl w:ilvl="2" w:tplc="FFFFFFFF">
      <w:start w:val="1"/>
      <w:numFmt w:val="bullet"/>
      <w:lvlText w:val="▪"/>
      <w:lvlJc w:val="left"/>
      <w:pPr>
        <w:ind w:left="1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3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10DB4785"/>
    <w:multiLevelType w:val="hybridMultilevel"/>
    <w:tmpl w:val="F6C69D24"/>
    <w:lvl w:ilvl="0" w:tplc="40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2"/>
      <w:numFmt w:val="bullet"/>
      <w:lvlText w:val="•"/>
      <w:lvlJc w:val="left"/>
      <w:pPr>
        <w:ind w:left="2520" w:hanging="72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1970742"/>
    <w:multiLevelType w:val="hybridMultilevel"/>
    <w:tmpl w:val="375ADAB0"/>
    <w:lvl w:ilvl="0" w:tplc="4009000B">
      <w:start w:val="1"/>
      <w:numFmt w:val="bullet"/>
      <w:lvlText w:val=""/>
      <w:lvlJc w:val="left"/>
      <w:pPr>
        <w:ind w:left="721"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1" w:hanging="360"/>
      </w:pPr>
      <w:rPr>
        <w:rFonts w:ascii="Courier New" w:hAnsi="Courier New" w:cs="Courier New" w:hint="default"/>
      </w:rPr>
    </w:lvl>
    <w:lvl w:ilvl="2" w:tplc="40090005" w:tentative="1">
      <w:start w:val="1"/>
      <w:numFmt w:val="bullet"/>
      <w:lvlText w:val=""/>
      <w:lvlJc w:val="left"/>
      <w:pPr>
        <w:ind w:left="2161" w:hanging="360"/>
      </w:pPr>
      <w:rPr>
        <w:rFonts w:ascii="Wingdings" w:hAnsi="Wingdings" w:hint="default"/>
      </w:rPr>
    </w:lvl>
    <w:lvl w:ilvl="3" w:tplc="40090001" w:tentative="1">
      <w:start w:val="1"/>
      <w:numFmt w:val="bullet"/>
      <w:lvlText w:val=""/>
      <w:lvlJc w:val="left"/>
      <w:pPr>
        <w:ind w:left="2881" w:hanging="360"/>
      </w:pPr>
      <w:rPr>
        <w:rFonts w:ascii="Symbol" w:hAnsi="Symbol" w:hint="default"/>
      </w:rPr>
    </w:lvl>
    <w:lvl w:ilvl="4" w:tplc="40090003" w:tentative="1">
      <w:start w:val="1"/>
      <w:numFmt w:val="bullet"/>
      <w:lvlText w:val="o"/>
      <w:lvlJc w:val="left"/>
      <w:pPr>
        <w:ind w:left="3601" w:hanging="360"/>
      </w:pPr>
      <w:rPr>
        <w:rFonts w:ascii="Courier New" w:hAnsi="Courier New" w:cs="Courier New" w:hint="default"/>
      </w:rPr>
    </w:lvl>
    <w:lvl w:ilvl="5" w:tplc="40090005" w:tentative="1">
      <w:start w:val="1"/>
      <w:numFmt w:val="bullet"/>
      <w:lvlText w:val=""/>
      <w:lvlJc w:val="left"/>
      <w:pPr>
        <w:ind w:left="4321" w:hanging="360"/>
      </w:pPr>
      <w:rPr>
        <w:rFonts w:ascii="Wingdings" w:hAnsi="Wingdings" w:hint="default"/>
      </w:rPr>
    </w:lvl>
    <w:lvl w:ilvl="6" w:tplc="40090001" w:tentative="1">
      <w:start w:val="1"/>
      <w:numFmt w:val="bullet"/>
      <w:lvlText w:val=""/>
      <w:lvlJc w:val="left"/>
      <w:pPr>
        <w:ind w:left="5041" w:hanging="360"/>
      </w:pPr>
      <w:rPr>
        <w:rFonts w:ascii="Symbol" w:hAnsi="Symbol" w:hint="default"/>
      </w:rPr>
    </w:lvl>
    <w:lvl w:ilvl="7" w:tplc="40090003" w:tentative="1">
      <w:start w:val="1"/>
      <w:numFmt w:val="bullet"/>
      <w:lvlText w:val="o"/>
      <w:lvlJc w:val="left"/>
      <w:pPr>
        <w:ind w:left="5761" w:hanging="360"/>
      </w:pPr>
      <w:rPr>
        <w:rFonts w:ascii="Courier New" w:hAnsi="Courier New" w:cs="Courier New" w:hint="default"/>
      </w:rPr>
    </w:lvl>
    <w:lvl w:ilvl="8" w:tplc="40090005" w:tentative="1">
      <w:start w:val="1"/>
      <w:numFmt w:val="bullet"/>
      <w:lvlText w:val=""/>
      <w:lvlJc w:val="left"/>
      <w:pPr>
        <w:ind w:left="6481" w:hanging="360"/>
      </w:pPr>
      <w:rPr>
        <w:rFonts w:ascii="Wingdings" w:hAnsi="Wingdings" w:hint="default"/>
      </w:rPr>
    </w:lvl>
  </w:abstractNum>
  <w:abstractNum w:abstractNumId="31" w15:restartNumberingAfterBreak="0">
    <w:nsid w:val="11B630B5"/>
    <w:multiLevelType w:val="hybridMultilevel"/>
    <w:tmpl w:val="02FA7A28"/>
    <w:lvl w:ilvl="0" w:tplc="C02CE7AE">
      <w:start w:val="1"/>
      <w:numFmt w:val="lowerLetter"/>
      <w:lvlText w:val="%1)"/>
      <w:lvlJc w:val="left"/>
      <w:pPr>
        <w:ind w:left="360" w:hanging="360"/>
      </w:pPr>
      <w:rPr>
        <w:rFonts w:ascii="EYInterstate Light" w:eastAsiaTheme="minorHAnsi" w:hAnsi="EYInterstate Light" w:cs="Times New Roman"/>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15:restartNumberingAfterBreak="0">
    <w:nsid w:val="12C12852"/>
    <w:multiLevelType w:val="hybridMultilevel"/>
    <w:tmpl w:val="59D4A15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431528D"/>
    <w:multiLevelType w:val="hybridMultilevel"/>
    <w:tmpl w:val="5808A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43266AB"/>
    <w:multiLevelType w:val="hybridMultilevel"/>
    <w:tmpl w:val="AAAE7AA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144B4885"/>
    <w:multiLevelType w:val="hybridMultilevel"/>
    <w:tmpl w:val="A4468918"/>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40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44C6886"/>
    <w:multiLevelType w:val="hybridMultilevel"/>
    <w:tmpl w:val="4386DA7A"/>
    <w:lvl w:ilvl="0" w:tplc="CCE2AFD4">
      <w:start w:val="1"/>
      <w:numFmt w:val="decimal"/>
      <w:lvlText w:val="%1."/>
      <w:lvlJc w:val="left"/>
      <w:pPr>
        <w:ind w:left="720" w:hanging="360"/>
      </w:pPr>
      <w:rPr>
        <w:b/>
      </w:rPr>
    </w:lvl>
    <w:lvl w:ilvl="1" w:tplc="40090001">
      <w:start w:val="1"/>
      <w:numFmt w:val="bullet"/>
      <w:lvlText w:val=""/>
      <w:lvlJc w:val="left"/>
      <w:pPr>
        <w:ind w:left="1440" w:hanging="360"/>
      </w:pPr>
      <w:rPr>
        <w:rFonts w:ascii="Symbol" w:hAnsi="Symbol" w:hint="default"/>
        <w:b/>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157447F0"/>
    <w:multiLevelType w:val="hybridMultilevel"/>
    <w:tmpl w:val="083C4DE4"/>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169344EF"/>
    <w:multiLevelType w:val="hybridMultilevel"/>
    <w:tmpl w:val="995E3998"/>
    <w:lvl w:ilvl="0" w:tplc="04090017">
      <w:start w:val="1"/>
      <w:numFmt w:val="lowerLetter"/>
      <w:lvlText w:val="%1)"/>
      <w:lvlJc w:val="left"/>
      <w:pPr>
        <w:ind w:left="1006" w:hanging="360"/>
      </w:p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39" w15:restartNumberingAfterBreak="0">
    <w:nsid w:val="16A15B8E"/>
    <w:multiLevelType w:val="hybridMultilevel"/>
    <w:tmpl w:val="CF9C2C4A"/>
    <w:lvl w:ilvl="0" w:tplc="4009000B">
      <w:start w:val="1"/>
      <w:numFmt w:val="bullet"/>
      <w:lvlText w:val=""/>
      <w:lvlJc w:val="left"/>
      <w:pPr>
        <w:ind w:left="360" w:hanging="360"/>
      </w:pPr>
      <w:rPr>
        <w:rFonts w:ascii="Wingdings" w:hAnsi="Wingdings" w:hint="default"/>
        <w:b w:val="0"/>
        <w:bCs w:val="0"/>
        <w:i w:val="0"/>
        <w:iCs w:val="0"/>
        <w:w w:val="100"/>
        <w:sz w:val="18"/>
        <w:szCs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199C3A35"/>
    <w:multiLevelType w:val="hybridMultilevel"/>
    <w:tmpl w:val="991AFA56"/>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1C115E25"/>
    <w:multiLevelType w:val="hybridMultilevel"/>
    <w:tmpl w:val="E5521982"/>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1C285747"/>
    <w:multiLevelType w:val="hybridMultilevel"/>
    <w:tmpl w:val="88105068"/>
    <w:lvl w:ilvl="0" w:tplc="40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1C96614E"/>
    <w:multiLevelType w:val="hybridMultilevel"/>
    <w:tmpl w:val="6BB434C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1D916D24"/>
    <w:multiLevelType w:val="hybridMultilevel"/>
    <w:tmpl w:val="CAEAF9E8"/>
    <w:lvl w:ilvl="0" w:tplc="A2CE556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EBC48B7"/>
    <w:multiLevelType w:val="hybridMultilevel"/>
    <w:tmpl w:val="9828A69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1F165481"/>
    <w:multiLevelType w:val="hybridMultilevel"/>
    <w:tmpl w:val="440C13F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20DA71B7"/>
    <w:multiLevelType w:val="hybridMultilevel"/>
    <w:tmpl w:val="83B2A41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22567086"/>
    <w:multiLevelType w:val="hybridMultilevel"/>
    <w:tmpl w:val="B21C782C"/>
    <w:lvl w:ilvl="0" w:tplc="F87E88F8">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226C346A"/>
    <w:multiLevelType w:val="hybridMultilevel"/>
    <w:tmpl w:val="673601FA"/>
    <w:lvl w:ilvl="0" w:tplc="2D1CFF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2D50B8C"/>
    <w:multiLevelType w:val="multilevel"/>
    <w:tmpl w:val="AC28EB52"/>
    <w:lvl w:ilvl="0">
      <w:start w:val="1"/>
      <w:numFmt w:val="decimal"/>
      <w:lvlText w:val="%1."/>
      <w:lvlJc w:val="left"/>
      <w:pPr>
        <w:ind w:left="360" w:hanging="360"/>
      </w:pPr>
      <w:rPr>
        <w:rFonts w:hint="default"/>
        <w:b/>
      </w:rPr>
    </w:lvl>
    <w:lvl w:ilvl="1">
      <w:start w:val="1"/>
      <w:numFmt w:val="decimal"/>
      <w:isLgl/>
      <w:lvlText w:val="%1.%2."/>
      <w:lvlJc w:val="left"/>
      <w:pPr>
        <w:ind w:left="444" w:hanging="444"/>
      </w:pPr>
      <w:rPr>
        <w:rFonts w:hint="default"/>
        <w:u w:val="none"/>
      </w:rPr>
    </w:lvl>
    <w:lvl w:ilvl="2">
      <w:start w:val="1"/>
      <w:numFmt w:val="decimal"/>
      <w:isLgl/>
      <w:lvlText w:val="%1.%2.%3."/>
      <w:lvlJc w:val="left"/>
      <w:pPr>
        <w:ind w:left="720" w:hanging="720"/>
      </w:pPr>
      <w:rPr>
        <w:rFonts w:hint="default"/>
        <w:u w:val="none"/>
      </w:rPr>
    </w:lvl>
    <w:lvl w:ilvl="3">
      <w:start w:val="1"/>
      <w:numFmt w:val="decimal"/>
      <w:isLgl/>
      <w:lvlText w:val="%1.%2.%3.%4."/>
      <w:lvlJc w:val="left"/>
      <w:pPr>
        <w:ind w:left="720" w:hanging="720"/>
      </w:pPr>
      <w:rPr>
        <w:rFonts w:hint="default"/>
        <w:u w:val="none"/>
      </w:rPr>
    </w:lvl>
    <w:lvl w:ilvl="4">
      <w:start w:val="1"/>
      <w:numFmt w:val="decimal"/>
      <w:isLgl/>
      <w:lvlText w:val="%1.%2.%3.%4.%5."/>
      <w:lvlJc w:val="left"/>
      <w:pPr>
        <w:ind w:left="1080" w:hanging="1080"/>
      </w:pPr>
      <w:rPr>
        <w:rFonts w:hint="default"/>
        <w:u w:val="none"/>
      </w:rPr>
    </w:lvl>
    <w:lvl w:ilvl="5">
      <w:start w:val="1"/>
      <w:numFmt w:val="decimal"/>
      <w:isLgl/>
      <w:lvlText w:val="%1.%2.%3.%4.%5.%6."/>
      <w:lvlJc w:val="left"/>
      <w:pPr>
        <w:ind w:left="1080" w:hanging="1080"/>
      </w:pPr>
      <w:rPr>
        <w:rFonts w:hint="default"/>
        <w:u w:val="none"/>
      </w:rPr>
    </w:lvl>
    <w:lvl w:ilvl="6">
      <w:start w:val="1"/>
      <w:numFmt w:val="decimal"/>
      <w:isLgl/>
      <w:lvlText w:val="%1.%2.%3.%4.%5.%6.%7."/>
      <w:lvlJc w:val="left"/>
      <w:pPr>
        <w:ind w:left="1440" w:hanging="1440"/>
      </w:pPr>
      <w:rPr>
        <w:rFonts w:hint="default"/>
        <w:u w:val="none"/>
      </w:rPr>
    </w:lvl>
    <w:lvl w:ilvl="7">
      <w:start w:val="1"/>
      <w:numFmt w:val="decimal"/>
      <w:isLgl/>
      <w:lvlText w:val="%1.%2.%3.%4.%5.%6.%7.%8."/>
      <w:lvlJc w:val="left"/>
      <w:pPr>
        <w:ind w:left="1440" w:hanging="1440"/>
      </w:pPr>
      <w:rPr>
        <w:rFonts w:hint="default"/>
        <w:u w:val="none"/>
      </w:rPr>
    </w:lvl>
    <w:lvl w:ilvl="8">
      <w:start w:val="1"/>
      <w:numFmt w:val="decimal"/>
      <w:isLgl/>
      <w:lvlText w:val="%1.%2.%3.%4.%5.%6.%7.%8.%9."/>
      <w:lvlJc w:val="left"/>
      <w:pPr>
        <w:ind w:left="1800" w:hanging="1800"/>
      </w:pPr>
      <w:rPr>
        <w:rFonts w:hint="default"/>
        <w:u w:val="none"/>
      </w:rPr>
    </w:lvl>
  </w:abstractNum>
  <w:abstractNum w:abstractNumId="51" w15:restartNumberingAfterBreak="0">
    <w:nsid w:val="22F26767"/>
    <w:multiLevelType w:val="hybridMultilevel"/>
    <w:tmpl w:val="425AE4B6"/>
    <w:lvl w:ilvl="0" w:tplc="C888AF58">
      <w:start w:val="1"/>
      <w:numFmt w:val="bullet"/>
      <w:lvlText w:val="•"/>
      <w:lvlJc w:val="left"/>
      <w:pPr>
        <w:ind w:left="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DB6C76A">
      <w:start w:val="1"/>
      <w:numFmt w:val="bullet"/>
      <w:lvlText w:val="o"/>
      <w:lvlJc w:val="left"/>
      <w:pPr>
        <w:ind w:left="13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6A224FC">
      <w:start w:val="1"/>
      <w:numFmt w:val="bullet"/>
      <w:lvlText w:val="▪"/>
      <w:lvlJc w:val="left"/>
      <w:pPr>
        <w:ind w:left="20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6A2B6C">
      <w:start w:val="1"/>
      <w:numFmt w:val="bullet"/>
      <w:lvlText w:val="•"/>
      <w:lvlJc w:val="left"/>
      <w:pPr>
        <w:ind w:left="28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94E88C">
      <w:start w:val="1"/>
      <w:numFmt w:val="bullet"/>
      <w:lvlText w:val="o"/>
      <w:lvlJc w:val="left"/>
      <w:pPr>
        <w:ind w:left="35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026A4E0">
      <w:start w:val="1"/>
      <w:numFmt w:val="bullet"/>
      <w:lvlText w:val="▪"/>
      <w:lvlJc w:val="left"/>
      <w:pPr>
        <w:ind w:left="42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98FA78">
      <w:start w:val="1"/>
      <w:numFmt w:val="bullet"/>
      <w:lvlText w:val="•"/>
      <w:lvlJc w:val="left"/>
      <w:pPr>
        <w:ind w:left="49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CA061C">
      <w:start w:val="1"/>
      <w:numFmt w:val="bullet"/>
      <w:lvlText w:val="o"/>
      <w:lvlJc w:val="left"/>
      <w:pPr>
        <w:ind w:left="56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2E3A5E">
      <w:start w:val="1"/>
      <w:numFmt w:val="bullet"/>
      <w:lvlText w:val="▪"/>
      <w:lvlJc w:val="left"/>
      <w:pPr>
        <w:ind w:left="64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24726351"/>
    <w:multiLevelType w:val="hybridMultilevel"/>
    <w:tmpl w:val="D128708E"/>
    <w:lvl w:ilvl="0" w:tplc="0409000F">
      <w:start w:val="1"/>
      <w:numFmt w:val="decimal"/>
      <w:lvlText w:val="%1."/>
      <w:lvlJc w:val="left"/>
      <w:pPr>
        <w:ind w:left="284"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620" w:hanging="180"/>
      </w:pPr>
    </w:lvl>
    <w:lvl w:ilvl="3" w:tplc="0409000F" w:tentative="1">
      <w:start w:val="1"/>
      <w:numFmt w:val="decimal"/>
      <w:lvlText w:val="%4."/>
      <w:lvlJc w:val="left"/>
      <w:pPr>
        <w:ind w:left="100" w:hanging="360"/>
      </w:pPr>
    </w:lvl>
    <w:lvl w:ilvl="4" w:tplc="04090019" w:tentative="1">
      <w:start w:val="1"/>
      <w:numFmt w:val="lowerLetter"/>
      <w:lvlText w:val="%5."/>
      <w:lvlJc w:val="left"/>
      <w:pPr>
        <w:ind w:left="820" w:hanging="360"/>
      </w:pPr>
    </w:lvl>
    <w:lvl w:ilvl="5" w:tplc="0409001B" w:tentative="1">
      <w:start w:val="1"/>
      <w:numFmt w:val="lowerRoman"/>
      <w:lvlText w:val="%6."/>
      <w:lvlJc w:val="right"/>
      <w:pPr>
        <w:ind w:left="1540" w:hanging="180"/>
      </w:pPr>
    </w:lvl>
    <w:lvl w:ilvl="6" w:tplc="0409000F" w:tentative="1">
      <w:start w:val="1"/>
      <w:numFmt w:val="decimal"/>
      <w:lvlText w:val="%7."/>
      <w:lvlJc w:val="left"/>
      <w:pPr>
        <w:ind w:left="2260" w:hanging="360"/>
      </w:pPr>
    </w:lvl>
    <w:lvl w:ilvl="7" w:tplc="04090019" w:tentative="1">
      <w:start w:val="1"/>
      <w:numFmt w:val="lowerLetter"/>
      <w:lvlText w:val="%8."/>
      <w:lvlJc w:val="left"/>
      <w:pPr>
        <w:ind w:left="2980" w:hanging="360"/>
      </w:pPr>
    </w:lvl>
    <w:lvl w:ilvl="8" w:tplc="0409001B" w:tentative="1">
      <w:start w:val="1"/>
      <w:numFmt w:val="lowerRoman"/>
      <w:lvlText w:val="%9."/>
      <w:lvlJc w:val="right"/>
      <w:pPr>
        <w:ind w:left="3700" w:hanging="180"/>
      </w:pPr>
    </w:lvl>
  </w:abstractNum>
  <w:abstractNum w:abstractNumId="53" w15:restartNumberingAfterBreak="0">
    <w:nsid w:val="25427D40"/>
    <w:multiLevelType w:val="hybridMultilevel"/>
    <w:tmpl w:val="B20602C8"/>
    <w:lvl w:ilvl="0" w:tplc="4009000B">
      <w:start w:val="1"/>
      <w:numFmt w:val="bullet"/>
      <w:lvlText w:val=""/>
      <w:lvlJc w:val="left"/>
      <w:pPr>
        <w:ind w:left="360" w:hanging="360"/>
      </w:pPr>
      <w:rPr>
        <w:rFonts w:ascii="Wingdings" w:hAnsi="Wingdings"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4" w15:restartNumberingAfterBreak="0">
    <w:nsid w:val="26292C6F"/>
    <w:multiLevelType w:val="hybridMultilevel"/>
    <w:tmpl w:val="B2747E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5" w15:restartNumberingAfterBreak="0">
    <w:nsid w:val="276039A7"/>
    <w:multiLevelType w:val="hybridMultilevel"/>
    <w:tmpl w:val="881C1412"/>
    <w:lvl w:ilvl="0" w:tplc="DB201B6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27B45D80"/>
    <w:multiLevelType w:val="hybridMultilevel"/>
    <w:tmpl w:val="9B2A31A2"/>
    <w:lvl w:ilvl="0" w:tplc="40090005">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Courier New" w:hAnsi="Courier New"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27C91246"/>
    <w:multiLevelType w:val="hybridMultilevel"/>
    <w:tmpl w:val="622E009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8" w15:restartNumberingAfterBreak="0">
    <w:nsid w:val="28C67F9B"/>
    <w:multiLevelType w:val="hybridMultilevel"/>
    <w:tmpl w:val="4AA0394A"/>
    <w:lvl w:ilvl="0" w:tplc="0809000B">
      <w:start w:val="1"/>
      <w:numFmt w:val="bullet"/>
      <w:lvlText w:val=""/>
      <w:lvlJc w:val="left"/>
      <w:pPr>
        <w:ind w:left="720" w:hanging="360"/>
      </w:pPr>
      <w:rPr>
        <w:rFonts w:ascii="Wingdings" w:hAnsi="Wingdings" w:hint="default"/>
      </w:rPr>
    </w:lvl>
    <w:lvl w:ilvl="1" w:tplc="40090005">
      <w:start w:val="1"/>
      <w:numFmt w:val="bullet"/>
      <w:lvlText w:val=""/>
      <w:lvlJc w:val="left"/>
      <w:pPr>
        <w:ind w:left="36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8C834E0"/>
    <w:multiLevelType w:val="hybridMultilevel"/>
    <w:tmpl w:val="997A839A"/>
    <w:lvl w:ilvl="0" w:tplc="40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2"/>
      <w:numFmt w:val="bullet"/>
      <w:lvlText w:val="•"/>
      <w:lvlJc w:val="left"/>
      <w:pPr>
        <w:ind w:left="2520" w:hanging="720"/>
      </w:pPr>
      <w:rPr>
        <w:rFonts w:ascii="Calibri" w:eastAsia="Times New Roman"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2BA920B5"/>
    <w:multiLevelType w:val="hybridMultilevel"/>
    <w:tmpl w:val="EE7EE05C"/>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2CD473C2"/>
    <w:multiLevelType w:val="hybridMultilevel"/>
    <w:tmpl w:val="99DAE4A2"/>
    <w:lvl w:ilvl="0" w:tplc="DADEEEE0">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A0B3CA">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7C9F58">
      <w:start w:val="1"/>
      <w:numFmt w:val="bullet"/>
      <w:lvlText w:val="▪"/>
      <w:lvlJc w:val="left"/>
      <w:pPr>
        <w:ind w:left="1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F4A5E4">
      <w:start w:val="1"/>
      <w:numFmt w:val="bullet"/>
      <w:lvlText w:val="•"/>
      <w:lvlJc w:val="left"/>
      <w:pPr>
        <w:ind w:left="24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20AD6FE">
      <w:start w:val="1"/>
      <w:numFmt w:val="bullet"/>
      <w:lvlText w:val="o"/>
      <w:lvlJc w:val="left"/>
      <w:pPr>
        <w:ind w:left="31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CD66FC6">
      <w:start w:val="1"/>
      <w:numFmt w:val="bullet"/>
      <w:lvlText w:val="▪"/>
      <w:lvlJc w:val="left"/>
      <w:pPr>
        <w:ind w:left="38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E6D48E">
      <w:start w:val="1"/>
      <w:numFmt w:val="bullet"/>
      <w:lvlText w:val="•"/>
      <w:lvlJc w:val="left"/>
      <w:pPr>
        <w:ind w:left="4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1C8EE8">
      <w:start w:val="1"/>
      <w:numFmt w:val="bullet"/>
      <w:lvlText w:val="o"/>
      <w:lvlJc w:val="left"/>
      <w:pPr>
        <w:ind w:left="53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284E210">
      <w:start w:val="1"/>
      <w:numFmt w:val="bullet"/>
      <w:lvlText w:val="▪"/>
      <w:lvlJc w:val="left"/>
      <w:pPr>
        <w:ind w:left="60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2CE32D6F"/>
    <w:multiLevelType w:val="hybridMultilevel"/>
    <w:tmpl w:val="712AE92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2D46032A"/>
    <w:multiLevelType w:val="multilevel"/>
    <w:tmpl w:val="8DA8F442"/>
    <w:lvl w:ilvl="0">
      <w:start w:val="1"/>
      <w:numFmt w:val="upperLetter"/>
      <w:lvlText w:val="%1."/>
      <w:lvlJc w:val="left"/>
      <w:pPr>
        <w:ind w:left="502" w:hanging="360"/>
      </w:pPr>
      <w:rPr>
        <w:rFonts w:hint="default"/>
        <w:i/>
      </w:rPr>
    </w:lvl>
    <w:lvl w:ilvl="1">
      <w:start w:val="1"/>
      <w:numFmt w:val="bullet"/>
      <w:lvlText w:val=""/>
      <w:lvlJc w:val="left"/>
      <w:pPr>
        <w:ind w:left="360" w:hanging="360"/>
      </w:pPr>
      <w:rPr>
        <w:rFonts w:ascii="Wingdings" w:hAnsi="Wingding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5127" w:hanging="144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905" w:hanging="1800"/>
      </w:pPr>
      <w:rPr>
        <w:rFonts w:hint="default"/>
      </w:rPr>
    </w:lvl>
    <w:lvl w:ilvl="8">
      <w:start w:val="1"/>
      <w:numFmt w:val="decimal"/>
      <w:isLgl/>
      <w:lvlText w:val="%1.%2.%3.%4.%5.%6.%7.%8.%9"/>
      <w:lvlJc w:val="left"/>
      <w:pPr>
        <w:ind w:left="7614" w:hanging="1800"/>
      </w:pPr>
      <w:rPr>
        <w:rFonts w:hint="default"/>
      </w:rPr>
    </w:lvl>
  </w:abstractNum>
  <w:abstractNum w:abstractNumId="64" w15:restartNumberingAfterBreak="0">
    <w:nsid w:val="2F730E74"/>
    <w:multiLevelType w:val="hybridMultilevel"/>
    <w:tmpl w:val="C71E4D28"/>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40090003">
      <w:start w:val="1"/>
      <w:numFmt w:val="bullet"/>
      <w:lvlText w:val="o"/>
      <w:lvlJc w:val="left"/>
      <w:pPr>
        <w:ind w:left="3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310A79FE"/>
    <w:multiLevelType w:val="hybridMultilevel"/>
    <w:tmpl w:val="A6B4D01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6" w15:restartNumberingAfterBreak="0">
    <w:nsid w:val="31485DE6"/>
    <w:multiLevelType w:val="hybridMultilevel"/>
    <w:tmpl w:val="73C0FBD0"/>
    <w:lvl w:ilvl="0" w:tplc="27566A0C">
      <w:start w:val="1"/>
      <w:numFmt w:val="bullet"/>
      <w:lvlText w:val=""/>
      <w:lvlJc w:val="left"/>
      <w:pPr>
        <w:ind w:left="720" w:hanging="360"/>
      </w:pPr>
      <w:rPr>
        <w:rFonts w:ascii="Symbol" w:hAnsi="Symbol" w:hint="default"/>
        <w:color w:val="auto"/>
        <w:sz w:val="18"/>
        <w:szCs w:val="24"/>
        <w:u w:color="FFFFFF" w:themeColor="background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1FF4475"/>
    <w:multiLevelType w:val="hybridMultilevel"/>
    <w:tmpl w:val="EEE09F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325A616E"/>
    <w:multiLevelType w:val="hybridMultilevel"/>
    <w:tmpl w:val="F84292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9" w15:restartNumberingAfterBreak="0">
    <w:nsid w:val="32B21D2D"/>
    <w:multiLevelType w:val="hybridMultilevel"/>
    <w:tmpl w:val="135AC3BE"/>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15:restartNumberingAfterBreak="0">
    <w:nsid w:val="32EE0341"/>
    <w:multiLevelType w:val="hybridMultilevel"/>
    <w:tmpl w:val="870AEE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4009001B">
      <w:start w:val="1"/>
      <w:numFmt w:val="lowerRoman"/>
      <w:lvlText w:val="%4."/>
      <w:lvlJc w:val="right"/>
      <w:pPr>
        <w:ind w:left="10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7742E93"/>
    <w:multiLevelType w:val="hybridMultilevel"/>
    <w:tmpl w:val="0DD4F7C8"/>
    <w:lvl w:ilvl="0" w:tplc="4009000B">
      <w:start w:val="1"/>
      <w:numFmt w:val="bullet"/>
      <w:lvlText w:val=""/>
      <w:lvlJc w:val="left"/>
      <w:pPr>
        <w:ind w:left="1260" w:hanging="360"/>
      </w:pPr>
      <w:rPr>
        <w:rFonts w:ascii="Wingdings" w:hAnsi="Wingdings" w:hint="default"/>
        <w:b w:val="0"/>
        <w:bCs w:val="0"/>
        <w:i w:val="0"/>
        <w:iCs w:val="0"/>
        <w:w w:val="100"/>
        <w:sz w:val="18"/>
        <w:szCs w:val="18"/>
      </w:rPr>
    </w:lvl>
    <w:lvl w:ilvl="1" w:tplc="FFFFFFFF" w:tentative="1">
      <w:start w:val="1"/>
      <w:numFmt w:val="bullet"/>
      <w:lvlText w:val="o"/>
      <w:lvlJc w:val="left"/>
      <w:pPr>
        <w:ind w:left="1980" w:hanging="360"/>
      </w:pPr>
      <w:rPr>
        <w:rFonts w:ascii="Courier New" w:hAnsi="Courier New" w:cs="Courier New" w:hint="default"/>
      </w:rPr>
    </w:lvl>
    <w:lvl w:ilvl="2" w:tplc="FFFFFFFF" w:tentative="1">
      <w:start w:val="1"/>
      <w:numFmt w:val="bullet"/>
      <w:lvlText w:val=""/>
      <w:lvlJc w:val="left"/>
      <w:pPr>
        <w:ind w:left="2700" w:hanging="360"/>
      </w:pPr>
      <w:rPr>
        <w:rFonts w:ascii="Wingdings" w:hAnsi="Wingdings" w:hint="default"/>
      </w:rPr>
    </w:lvl>
    <w:lvl w:ilvl="3" w:tplc="FFFFFFFF" w:tentative="1">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72" w15:restartNumberingAfterBreak="0">
    <w:nsid w:val="380B3871"/>
    <w:multiLevelType w:val="hybridMultilevel"/>
    <w:tmpl w:val="20E43A64"/>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40090001">
      <w:start w:val="1"/>
      <w:numFmt w:val="bullet"/>
      <w:lvlText w:val=""/>
      <w:lvlJc w:val="left"/>
      <w:pPr>
        <w:ind w:left="2243"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DA64A73"/>
    <w:multiLevelType w:val="hybridMultilevel"/>
    <w:tmpl w:val="E04A3A5A"/>
    <w:lvl w:ilvl="0" w:tplc="E0A49AEC">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9A4CA6">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DCCFF0">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96206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386572">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74A1AE">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AE227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58562E">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A64AE8">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3EE93E57"/>
    <w:multiLevelType w:val="hybridMultilevel"/>
    <w:tmpl w:val="CBB8E9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3FFD2078"/>
    <w:multiLevelType w:val="hybridMultilevel"/>
    <w:tmpl w:val="C9F677F4"/>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6" w15:restartNumberingAfterBreak="0">
    <w:nsid w:val="40263C2E"/>
    <w:multiLevelType w:val="hybridMultilevel"/>
    <w:tmpl w:val="E864E2C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410C1F2E"/>
    <w:multiLevelType w:val="hybridMultilevel"/>
    <w:tmpl w:val="B94289D2"/>
    <w:lvl w:ilvl="0" w:tplc="C9B83A44">
      <w:start w:val="1"/>
      <w:numFmt w:val="lowerLetter"/>
      <w:lvlText w:val="%1."/>
      <w:lvlJc w:val="left"/>
      <w:pPr>
        <w:ind w:left="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927220">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8DAE662">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DE225C">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1A6648">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A2AA2C">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6CC79A">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CAB36E">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C68556">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413558AF"/>
    <w:multiLevelType w:val="hybridMultilevel"/>
    <w:tmpl w:val="FFA29FBA"/>
    <w:lvl w:ilvl="0" w:tplc="6CEE69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415C270C"/>
    <w:multiLevelType w:val="hybridMultilevel"/>
    <w:tmpl w:val="5432810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0" w15:restartNumberingAfterBreak="0">
    <w:nsid w:val="41CE2D14"/>
    <w:multiLevelType w:val="hybridMultilevel"/>
    <w:tmpl w:val="5F221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41D95979"/>
    <w:multiLevelType w:val="hybridMultilevel"/>
    <w:tmpl w:val="9364CD08"/>
    <w:lvl w:ilvl="0" w:tplc="4009000B">
      <w:start w:val="1"/>
      <w:numFmt w:val="bullet"/>
      <w:lvlText w:val=""/>
      <w:lvlJc w:val="left"/>
      <w:pPr>
        <w:ind w:left="1287" w:hanging="360"/>
      </w:pPr>
      <w:rPr>
        <w:rFonts w:ascii="Wingdings" w:hAnsi="Wingdings" w:hint="default"/>
        <w:b w:val="0"/>
        <w:bCs w:val="0"/>
        <w:i w:val="0"/>
        <w:iCs w:val="0"/>
        <w:w w:val="100"/>
        <w:sz w:val="18"/>
        <w:szCs w:val="18"/>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82" w15:restartNumberingAfterBreak="0">
    <w:nsid w:val="41EE163E"/>
    <w:multiLevelType w:val="hybridMultilevel"/>
    <w:tmpl w:val="F5BE1670"/>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41FD53A4"/>
    <w:multiLevelType w:val="hybridMultilevel"/>
    <w:tmpl w:val="15FA9154"/>
    <w:lvl w:ilvl="0" w:tplc="40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214288C"/>
    <w:multiLevelType w:val="hybridMultilevel"/>
    <w:tmpl w:val="953E1844"/>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5" w15:restartNumberingAfterBreak="0">
    <w:nsid w:val="43F84A90"/>
    <w:multiLevelType w:val="hybridMultilevel"/>
    <w:tmpl w:val="D7821264"/>
    <w:lvl w:ilvl="0" w:tplc="40090017">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44455B5E"/>
    <w:multiLevelType w:val="hybridMultilevel"/>
    <w:tmpl w:val="83909D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44984C84"/>
    <w:multiLevelType w:val="hybridMultilevel"/>
    <w:tmpl w:val="463CFF2E"/>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8" w15:restartNumberingAfterBreak="0">
    <w:nsid w:val="44BD4CA7"/>
    <w:multiLevelType w:val="multilevel"/>
    <w:tmpl w:val="877C00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46711FC1"/>
    <w:multiLevelType w:val="hybridMultilevel"/>
    <w:tmpl w:val="5F28ED92"/>
    <w:lvl w:ilvl="0" w:tplc="40090005">
      <w:start w:val="1"/>
      <w:numFmt w:val="bullet"/>
      <w:lvlText w:val=""/>
      <w:lvlJc w:val="left"/>
      <w:pPr>
        <w:ind w:left="1145" w:hanging="360"/>
      </w:pPr>
      <w:rPr>
        <w:rFonts w:ascii="Wingdings" w:hAnsi="Wingdings" w:hint="default"/>
      </w:rPr>
    </w:lvl>
    <w:lvl w:ilvl="1" w:tplc="40090003" w:tentative="1">
      <w:start w:val="1"/>
      <w:numFmt w:val="bullet"/>
      <w:lvlText w:val="o"/>
      <w:lvlJc w:val="left"/>
      <w:pPr>
        <w:ind w:left="1865" w:hanging="360"/>
      </w:pPr>
      <w:rPr>
        <w:rFonts w:ascii="Courier New" w:hAnsi="Courier New" w:cs="Courier New" w:hint="default"/>
      </w:rPr>
    </w:lvl>
    <w:lvl w:ilvl="2" w:tplc="40090005" w:tentative="1">
      <w:start w:val="1"/>
      <w:numFmt w:val="bullet"/>
      <w:lvlText w:val=""/>
      <w:lvlJc w:val="left"/>
      <w:pPr>
        <w:ind w:left="2585" w:hanging="360"/>
      </w:pPr>
      <w:rPr>
        <w:rFonts w:ascii="Wingdings" w:hAnsi="Wingdings" w:hint="default"/>
      </w:rPr>
    </w:lvl>
    <w:lvl w:ilvl="3" w:tplc="40090001" w:tentative="1">
      <w:start w:val="1"/>
      <w:numFmt w:val="bullet"/>
      <w:lvlText w:val=""/>
      <w:lvlJc w:val="left"/>
      <w:pPr>
        <w:ind w:left="3305" w:hanging="360"/>
      </w:pPr>
      <w:rPr>
        <w:rFonts w:ascii="Symbol" w:hAnsi="Symbol" w:hint="default"/>
      </w:rPr>
    </w:lvl>
    <w:lvl w:ilvl="4" w:tplc="40090003" w:tentative="1">
      <w:start w:val="1"/>
      <w:numFmt w:val="bullet"/>
      <w:lvlText w:val="o"/>
      <w:lvlJc w:val="left"/>
      <w:pPr>
        <w:ind w:left="4025" w:hanging="360"/>
      </w:pPr>
      <w:rPr>
        <w:rFonts w:ascii="Courier New" w:hAnsi="Courier New" w:cs="Courier New" w:hint="default"/>
      </w:rPr>
    </w:lvl>
    <w:lvl w:ilvl="5" w:tplc="40090005" w:tentative="1">
      <w:start w:val="1"/>
      <w:numFmt w:val="bullet"/>
      <w:lvlText w:val=""/>
      <w:lvlJc w:val="left"/>
      <w:pPr>
        <w:ind w:left="4745" w:hanging="360"/>
      </w:pPr>
      <w:rPr>
        <w:rFonts w:ascii="Wingdings" w:hAnsi="Wingdings" w:hint="default"/>
      </w:rPr>
    </w:lvl>
    <w:lvl w:ilvl="6" w:tplc="40090001" w:tentative="1">
      <w:start w:val="1"/>
      <w:numFmt w:val="bullet"/>
      <w:lvlText w:val=""/>
      <w:lvlJc w:val="left"/>
      <w:pPr>
        <w:ind w:left="5465" w:hanging="360"/>
      </w:pPr>
      <w:rPr>
        <w:rFonts w:ascii="Symbol" w:hAnsi="Symbol" w:hint="default"/>
      </w:rPr>
    </w:lvl>
    <w:lvl w:ilvl="7" w:tplc="40090003" w:tentative="1">
      <w:start w:val="1"/>
      <w:numFmt w:val="bullet"/>
      <w:lvlText w:val="o"/>
      <w:lvlJc w:val="left"/>
      <w:pPr>
        <w:ind w:left="6185" w:hanging="360"/>
      </w:pPr>
      <w:rPr>
        <w:rFonts w:ascii="Courier New" w:hAnsi="Courier New" w:cs="Courier New" w:hint="default"/>
      </w:rPr>
    </w:lvl>
    <w:lvl w:ilvl="8" w:tplc="40090005" w:tentative="1">
      <w:start w:val="1"/>
      <w:numFmt w:val="bullet"/>
      <w:lvlText w:val=""/>
      <w:lvlJc w:val="left"/>
      <w:pPr>
        <w:ind w:left="6905" w:hanging="360"/>
      </w:pPr>
      <w:rPr>
        <w:rFonts w:ascii="Wingdings" w:hAnsi="Wingdings" w:hint="default"/>
      </w:rPr>
    </w:lvl>
  </w:abstractNum>
  <w:abstractNum w:abstractNumId="90" w15:restartNumberingAfterBreak="0">
    <w:nsid w:val="485B12F5"/>
    <w:multiLevelType w:val="hybridMultilevel"/>
    <w:tmpl w:val="C936CB9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93249A9"/>
    <w:multiLevelType w:val="hybridMultilevel"/>
    <w:tmpl w:val="1A9E899C"/>
    <w:lvl w:ilvl="0" w:tplc="40090005">
      <w:start w:val="1"/>
      <w:numFmt w:val="bullet"/>
      <w:lvlText w:val=""/>
      <w:lvlJc w:val="left"/>
      <w:pPr>
        <w:ind w:left="1145" w:hanging="360"/>
      </w:pPr>
      <w:rPr>
        <w:rFonts w:ascii="Wingdings" w:hAnsi="Wingdings" w:hint="default"/>
      </w:rPr>
    </w:lvl>
    <w:lvl w:ilvl="1" w:tplc="40090003">
      <w:start w:val="1"/>
      <w:numFmt w:val="bullet"/>
      <w:lvlText w:val="o"/>
      <w:lvlJc w:val="left"/>
      <w:pPr>
        <w:ind w:left="1865" w:hanging="360"/>
      </w:pPr>
      <w:rPr>
        <w:rFonts w:ascii="Courier New" w:hAnsi="Courier New" w:cs="Courier New" w:hint="default"/>
      </w:rPr>
    </w:lvl>
    <w:lvl w:ilvl="2" w:tplc="40090005" w:tentative="1">
      <w:start w:val="1"/>
      <w:numFmt w:val="bullet"/>
      <w:lvlText w:val=""/>
      <w:lvlJc w:val="left"/>
      <w:pPr>
        <w:ind w:left="2585" w:hanging="360"/>
      </w:pPr>
      <w:rPr>
        <w:rFonts w:ascii="Wingdings" w:hAnsi="Wingdings" w:hint="default"/>
      </w:rPr>
    </w:lvl>
    <w:lvl w:ilvl="3" w:tplc="40090001" w:tentative="1">
      <w:start w:val="1"/>
      <w:numFmt w:val="bullet"/>
      <w:lvlText w:val=""/>
      <w:lvlJc w:val="left"/>
      <w:pPr>
        <w:ind w:left="3305" w:hanging="360"/>
      </w:pPr>
      <w:rPr>
        <w:rFonts w:ascii="Symbol" w:hAnsi="Symbol" w:hint="default"/>
      </w:rPr>
    </w:lvl>
    <w:lvl w:ilvl="4" w:tplc="40090003" w:tentative="1">
      <w:start w:val="1"/>
      <w:numFmt w:val="bullet"/>
      <w:lvlText w:val="o"/>
      <w:lvlJc w:val="left"/>
      <w:pPr>
        <w:ind w:left="4025" w:hanging="360"/>
      </w:pPr>
      <w:rPr>
        <w:rFonts w:ascii="Courier New" w:hAnsi="Courier New" w:cs="Courier New" w:hint="default"/>
      </w:rPr>
    </w:lvl>
    <w:lvl w:ilvl="5" w:tplc="40090005" w:tentative="1">
      <w:start w:val="1"/>
      <w:numFmt w:val="bullet"/>
      <w:lvlText w:val=""/>
      <w:lvlJc w:val="left"/>
      <w:pPr>
        <w:ind w:left="4745" w:hanging="360"/>
      </w:pPr>
      <w:rPr>
        <w:rFonts w:ascii="Wingdings" w:hAnsi="Wingdings" w:hint="default"/>
      </w:rPr>
    </w:lvl>
    <w:lvl w:ilvl="6" w:tplc="40090001" w:tentative="1">
      <w:start w:val="1"/>
      <w:numFmt w:val="bullet"/>
      <w:lvlText w:val=""/>
      <w:lvlJc w:val="left"/>
      <w:pPr>
        <w:ind w:left="5465" w:hanging="360"/>
      </w:pPr>
      <w:rPr>
        <w:rFonts w:ascii="Symbol" w:hAnsi="Symbol" w:hint="default"/>
      </w:rPr>
    </w:lvl>
    <w:lvl w:ilvl="7" w:tplc="40090003" w:tentative="1">
      <w:start w:val="1"/>
      <w:numFmt w:val="bullet"/>
      <w:lvlText w:val="o"/>
      <w:lvlJc w:val="left"/>
      <w:pPr>
        <w:ind w:left="6185" w:hanging="360"/>
      </w:pPr>
      <w:rPr>
        <w:rFonts w:ascii="Courier New" w:hAnsi="Courier New" w:cs="Courier New" w:hint="default"/>
      </w:rPr>
    </w:lvl>
    <w:lvl w:ilvl="8" w:tplc="40090005" w:tentative="1">
      <w:start w:val="1"/>
      <w:numFmt w:val="bullet"/>
      <w:lvlText w:val=""/>
      <w:lvlJc w:val="left"/>
      <w:pPr>
        <w:ind w:left="6905" w:hanging="360"/>
      </w:pPr>
      <w:rPr>
        <w:rFonts w:ascii="Wingdings" w:hAnsi="Wingdings" w:hint="default"/>
      </w:rPr>
    </w:lvl>
  </w:abstractNum>
  <w:abstractNum w:abstractNumId="92" w15:restartNumberingAfterBreak="0">
    <w:nsid w:val="4A2D6340"/>
    <w:multiLevelType w:val="hybridMultilevel"/>
    <w:tmpl w:val="B2F4E33C"/>
    <w:lvl w:ilvl="0" w:tplc="4009000B">
      <w:start w:val="1"/>
      <w:numFmt w:val="bullet"/>
      <w:lvlText w:val=""/>
      <w:lvlJc w:val="left"/>
      <w:pPr>
        <w:ind w:left="360" w:hanging="360"/>
      </w:pPr>
      <w:rPr>
        <w:rFonts w:ascii="Wingdings" w:hAnsi="Wingdings" w:hint="default"/>
        <w:b w:val="0"/>
        <w:bCs w:val="0"/>
        <w:i w:val="0"/>
        <w:iCs w:val="0"/>
        <w:w w:val="100"/>
        <w:sz w:val="18"/>
        <w:szCs w:val="18"/>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3" w15:restartNumberingAfterBreak="0">
    <w:nsid w:val="4AE74E37"/>
    <w:multiLevelType w:val="hybridMultilevel"/>
    <w:tmpl w:val="9C305742"/>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4B62389B"/>
    <w:multiLevelType w:val="hybridMultilevel"/>
    <w:tmpl w:val="86F61C60"/>
    <w:lvl w:ilvl="0" w:tplc="4009000B">
      <w:start w:val="1"/>
      <w:numFmt w:val="bullet"/>
      <w:lvlText w:val=""/>
      <w:lvlJc w:val="left"/>
      <w:pPr>
        <w:ind w:left="360" w:hanging="360"/>
      </w:pPr>
      <w:rPr>
        <w:rFonts w:ascii="Wingdings" w:hAnsi="Wingdings" w:hint="default"/>
        <w:b w:val="0"/>
        <w:bCs w:val="0"/>
        <w:i w:val="0"/>
        <w:iCs w:val="0"/>
        <w:w w:val="100"/>
        <w:sz w:val="18"/>
        <w:szCs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5" w15:restartNumberingAfterBreak="0">
    <w:nsid w:val="4DA74D70"/>
    <w:multiLevelType w:val="hybridMultilevel"/>
    <w:tmpl w:val="E92A9930"/>
    <w:lvl w:ilvl="0" w:tplc="40090005">
      <w:start w:val="1"/>
      <w:numFmt w:val="bullet"/>
      <w:lvlText w:val=""/>
      <w:lvlJc w:val="left"/>
      <w:pPr>
        <w:ind w:left="360" w:hanging="360"/>
      </w:pPr>
      <w:rPr>
        <w:rFonts w:ascii="Wingdings" w:hAnsi="Wingdings"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6" w15:restartNumberingAfterBreak="0">
    <w:nsid w:val="4DD1091E"/>
    <w:multiLevelType w:val="hybridMultilevel"/>
    <w:tmpl w:val="C4185346"/>
    <w:lvl w:ilvl="0" w:tplc="40090001">
      <w:start w:val="1"/>
      <w:numFmt w:val="bullet"/>
      <w:lvlText w:val=""/>
      <w:lvlJc w:val="left"/>
      <w:pPr>
        <w:ind w:left="720" w:hanging="360"/>
      </w:pPr>
      <w:rPr>
        <w:rFonts w:ascii="Symbol" w:hAnsi="Symbol" w:hint="default"/>
        <w:b w:val="0"/>
        <w:bCs w:val="0"/>
        <w:i w:val="0"/>
        <w:iCs w:val="0"/>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4F024C86"/>
    <w:multiLevelType w:val="hybridMultilevel"/>
    <w:tmpl w:val="7938BA9C"/>
    <w:lvl w:ilvl="0" w:tplc="F754F02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8" w15:restartNumberingAfterBreak="0">
    <w:nsid w:val="4F7C15A1"/>
    <w:multiLevelType w:val="hybridMultilevel"/>
    <w:tmpl w:val="E272D544"/>
    <w:lvl w:ilvl="0" w:tplc="08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9" w15:restartNumberingAfterBreak="0">
    <w:nsid w:val="4FAA0154"/>
    <w:multiLevelType w:val="hybridMultilevel"/>
    <w:tmpl w:val="15D02BB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0" w15:restartNumberingAfterBreak="0">
    <w:nsid w:val="50DC521D"/>
    <w:multiLevelType w:val="hybridMultilevel"/>
    <w:tmpl w:val="E834C3A0"/>
    <w:lvl w:ilvl="0" w:tplc="FFFFFFFF">
      <w:start w:val="1"/>
      <w:numFmt w:val="lowerRoman"/>
      <w:lvlText w:val="(%1)"/>
      <w:lvlJc w:val="right"/>
      <w:pPr>
        <w:ind w:left="1175" w:hanging="360"/>
      </w:pPr>
      <w:rPr>
        <w:rFonts w:hint="default"/>
        <w:b w:val="0"/>
        <w:bCs/>
      </w:rPr>
    </w:lvl>
    <w:lvl w:ilvl="1" w:tplc="40090019" w:tentative="1">
      <w:start w:val="1"/>
      <w:numFmt w:val="lowerLetter"/>
      <w:lvlText w:val="%2."/>
      <w:lvlJc w:val="left"/>
      <w:pPr>
        <w:ind w:left="1895" w:hanging="360"/>
      </w:pPr>
    </w:lvl>
    <w:lvl w:ilvl="2" w:tplc="4009001B" w:tentative="1">
      <w:start w:val="1"/>
      <w:numFmt w:val="lowerRoman"/>
      <w:lvlText w:val="%3."/>
      <w:lvlJc w:val="right"/>
      <w:pPr>
        <w:ind w:left="2615" w:hanging="180"/>
      </w:pPr>
    </w:lvl>
    <w:lvl w:ilvl="3" w:tplc="4009000F" w:tentative="1">
      <w:start w:val="1"/>
      <w:numFmt w:val="decimal"/>
      <w:lvlText w:val="%4."/>
      <w:lvlJc w:val="left"/>
      <w:pPr>
        <w:ind w:left="3335" w:hanging="360"/>
      </w:pPr>
    </w:lvl>
    <w:lvl w:ilvl="4" w:tplc="40090019" w:tentative="1">
      <w:start w:val="1"/>
      <w:numFmt w:val="lowerLetter"/>
      <w:lvlText w:val="%5."/>
      <w:lvlJc w:val="left"/>
      <w:pPr>
        <w:ind w:left="4055" w:hanging="360"/>
      </w:pPr>
    </w:lvl>
    <w:lvl w:ilvl="5" w:tplc="4009001B" w:tentative="1">
      <w:start w:val="1"/>
      <w:numFmt w:val="lowerRoman"/>
      <w:lvlText w:val="%6."/>
      <w:lvlJc w:val="right"/>
      <w:pPr>
        <w:ind w:left="4775" w:hanging="180"/>
      </w:pPr>
    </w:lvl>
    <w:lvl w:ilvl="6" w:tplc="4009000F" w:tentative="1">
      <w:start w:val="1"/>
      <w:numFmt w:val="decimal"/>
      <w:lvlText w:val="%7."/>
      <w:lvlJc w:val="left"/>
      <w:pPr>
        <w:ind w:left="5495" w:hanging="360"/>
      </w:pPr>
    </w:lvl>
    <w:lvl w:ilvl="7" w:tplc="40090019" w:tentative="1">
      <w:start w:val="1"/>
      <w:numFmt w:val="lowerLetter"/>
      <w:lvlText w:val="%8."/>
      <w:lvlJc w:val="left"/>
      <w:pPr>
        <w:ind w:left="6215" w:hanging="360"/>
      </w:pPr>
    </w:lvl>
    <w:lvl w:ilvl="8" w:tplc="4009001B" w:tentative="1">
      <w:start w:val="1"/>
      <w:numFmt w:val="lowerRoman"/>
      <w:lvlText w:val="%9."/>
      <w:lvlJc w:val="right"/>
      <w:pPr>
        <w:ind w:left="6935" w:hanging="180"/>
      </w:pPr>
    </w:lvl>
  </w:abstractNum>
  <w:abstractNum w:abstractNumId="101" w15:restartNumberingAfterBreak="0">
    <w:nsid w:val="5111502B"/>
    <w:multiLevelType w:val="hybridMultilevel"/>
    <w:tmpl w:val="8B221090"/>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2" w15:restartNumberingAfterBreak="0">
    <w:nsid w:val="51432C08"/>
    <w:multiLevelType w:val="hybridMultilevel"/>
    <w:tmpl w:val="C5722E3E"/>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3" w15:restartNumberingAfterBreak="0">
    <w:nsid w:val="52460DB4"/>
    <w:multiLevelType w:val="hybridMultilevel"/>
    <w:tmpl w:val="AF38684C"/>
    <w:lvl w:ilvl="0" w:tplc="40090001">
      <w:start w:val="1"/>
      <w:numFmt w:val="bullet"/>
      <w:lvlText w:val=""/>
      <w:lvlJc w:val="left"/>
      <w:pPr>
        <w:ind w:left="1109" w:hanging="360"/>
      </w:pPr>
      <w:rPr>
        <w:rFonts w:ascii="Symbol" w:hAnsi="Symbol" w:hint="default"/>
      </w:rPr>
    </w:lvl>
    <w:lvl w:ilvl="1" w:tplc="40090003" w:tentative="1">
      <w:start w:val="1"/>
      <w:numFmt w:val="bullet"/>
      <w:lvlText w:val="o"/>
      <w:lvlJc w:val="left"/>
      <w:pPr>
        <w:ind w:left="1829" w:hanging="360"/>
      </w:pPr>
      <w:rPr>
        <w:rFonts w:ascii="Courier New" w:hAnsi="Courier New" w:cs="Courier New" w:hint="default"/>
      </w:rPr>
    </w:lvl>
    <w:lvl w:ilvl="2" w:tplc="40090005" w:tentative="1">
      <w:start w:val="1"/>
      <w:numFmt w:val="bullet"/>
      <w:lvlText w:val=""/>
      <w:lvlJc w:val="left"/>
      <w:pPr>
        <w:ind w:left="2549" w:hanging="360"/>
      </w:pPr>
      <w:rPr>
        <w:rFonts w:ascii="Wingdings" w:hAnsi="Wingdings" w:hint="default"/>
      </w:rPr>
    </w:lvl>
    <w:lvl w:ilvl="3" w:tplc="40090001" w:tentative="1">
      <w:start w:val="1"/>
      <w:numFmt w:val="bullet"/>
      <w:lvlText w:val=""/>
      <w:lvlJc w:val="left"/>
      <w:pPr>
        <w:ind w:left="3269" w:hanging="360"/>
      </w:pPr>
      <w:rPr>
        <w:rFonts w:ascii="Symbol" w:hAnsi="Symbol" w:hint="default"/>
      </w:rPr>
    </w:lvl>
    <w:lvl w:ilvl="4" w:tplc="40090003" w:tentative="1">
      <w:start w:val="1"/>
      <w:numFmt w:val="bullet"/>
      <w:lvlText w:val="o"/>
      <w:lvlJc w:val="left"/>
      <w:pPr>
        <w:ind w:left="3989" w:hanging="360"/>
      </w:pPr>
      <w:rPr>
        <w:rFonts w:ascii="Courier New" w:hAnsi="Courier New" w:cs="Courier New" w:hint="default"/>
      </w:rPr>
    </w:lvl>
    <w:lvl w:ilvl="5" w:tplc="40090005" w:tentative="1">
      <w:start w:val="1"/>
      <w:numFmt w:val="bullet"/>
      <w:lvlText w:val=""/>
      <w:lvlJc w:val="left"/>
      <w:pPr>
        <w:ind w:left="4709" w:hanging="360"/>
      </w:pPr>
      <w:rPr>
        <w:rFonts w:ascii="Wingdings" w:hAnsi="Wingdings" w:hint="default"/>
      </w:rPr>
    </w:lvl>
    <w:lvl w:ilvl="6" w:tplc="40090001" w:tentative="1">
      <w:start w:val="1"/>
      <w:numFmt w:val="bullet"/>
      <w:lvlText w:val=""/>
      <w:lvlJc w:val="left"/>
      <w:pPr>
        <w:ind w:left="5429" w:hanging="360"/>
      </w:pPr>
      <w:rPr>
        <w:rFonts w:ascii="Symbol" w:hAnsi="Symbol" w:hint="default"/>
      </w:rPr>
    </w:lvl>
    <w:lvl w:ilvl="7" w:tplc="40090003" w:tentative="1">
      <w:start w:val="1"/>
      <w:numFmt w:val="bullet"/>
      <w:lvlText w:val="o"/>
      <w:lvlJc w:val="left"/>
      <w:pPr>
        <w:ind w:left="6149" w:hanging="360"/>
      </w:pPr>
      <w:rPr>
        <w:rFonts w:ascii="Courier New" w:hAnsi="Courier New" w:cs="Courier New" w:hint="default"/>
      </w:rPr>
    </w:lvl>
    <w:lvl w:ilvl="8" w:tplc="40090005" w:tentative="1">
      <w:start w:val="1"/>
      <w:numFmt w:val="bullet"/>
      <w:lvlText w:val=""/>
      <w:lvlJc w:val="left"/>
      <w:pPr>
        <w:ind w:left="6869" w:hanging="360"/>
      </w:pPr>
      <w:rPr>
        <w:rFonts w:ascii="Wingdings" w:hAnsi="Wingdings" w:hint="default"/>
      </w:rPr>
    </w:lvl>
  </w:abstractNum>
  <w:abstractNum w:abstractNumId="104" w15:restartNumberingAfterBreak="0">
    <w:nsid w:val="53535C71"/>
    <w:multiLevelType w:val="hybridMultilevel"/>
    <w:tmpl w:val="FD72C396"/>
    <w:lvl w:ilvl="0" w:tplc="BC2208DE">
      <w:start w:val="1"/>
      <w:numFmt w:val="bullet"/>
      <w:lvlText w:val=""/>
      <w:lvlJc w:val="left"/>
      <w:pPr>
        <w:ind w:left="720" w:hanging="360"/>
      </w:pPr>
      <w:rPr>
        <w:rFonts w:ascii="Symbol" w:hAnsi="Symbol" w:hint="default"/>
      </w:rPr>
    </w:lvl>
    <w:lvl w:ilvl="1" w:tplc="9190D2EC">
      <w:start w:val="1"/>
      <w:numFmt w:val="bullet"/>
      <w:lvlText w:val="o"/>
      <w:lvlJc w:val="left"/>
      <w:pPr>
        <w:ind w:left="1440" w:hanging="360"/>
      </w:pPr>
      <w:rPr>
        <w:rFonts w:ascii="Courier New" w:hAnsi="Courier New" w:cs="Courier New" w:hint="default"/>
      </w:rPr>
    </w:lvl>
    <w:lvl w:ilvl="2" w:tplc="5BAC5DF8">
      <w:start w:val="1"/>
      <w:numFmt w:val="bullet"/>
      <w:lvlText w:val=""/>
      <w:lvlJc w:val="left"/>
      <w:pPr>
        <w:ind w:left="2160" w:hanging="360"/>
      </w:pPr>
      <w:rPr>
        <w:rFonts w:ascii="Wingdings" w:hAnsi="Wingdings" w:hint="default"/>
      </w:rPr>
    </w:lvl>
    <w:lvl w:ilvl="3" w:tplc="81A6238A">
      <w:start w:val="1"/>
      <w:numFmt w:val="bullet"/>
      <w:lvlText w:val=""/>
      <w:lvlJc w:val="left"/>
      <w:pPr>
        <w:ind w:left="2880" w:hanging="360"/>
      </w:pPr>
      <w:rPr>
        <w:rFonts w:ascii="Symbol" w:hAnsi="Symbol" w:hint="default"/>
      </w:rPr>
    </w:lvl>
    <w:lvl w:ilvl="4" w:tplc="C646FAB4">
      <w:start w:val="1"/>
      <w:numFmt w:val="bullet"/>
      <w:lvlText w:val="o"/>
      <w:lvlJc w:val="left"/>
      <w:pPr>
        <w:ind w:left="3600" w:hanging="360"/>
      </w:pPr>
      <w:rPr>
        <w:rFonts w:ascii="Courier New" w:hAnsi="Courier New" w:cs="Courier New" w:hint="default"/>
      </w:rPr>
    </w:lvl>
    <w:lvl w:ilvl="5" w:tplc="7C207E62">
      <w:start w:val="1"/>
      <w:numFmt w:val="bullet"/>
      <w:lvlText w:val=""/>
      <w:lvlJc w:val="left"/>
      <w:pPr>
        <w:ind w:left="4320" w:hanging="360"/>
      </w:pPr>
      <w:rPr>
        <w:rFonts w:ascii="Wingdings" w:hAnsi="Wingdings" w:hint="default"/>
      </w:rPr>
    </w:lvl>
    <w:lvl w:ilvl="6" w:tplc="159AF4DE">
      <w:start w:val="1"/>
      <w:numFmt w:val="bullet"/>
      <w:lvlText w:val=""/>
      <w:lvlJc w:val="left"/>
      <w:pPr>
        <w:ind w:left="5040" w:hanging="360"/>
      </w:pPr>
      <w:rPr>
        <w:rFonts w:ascii="Symbol" w:hAnsi="Symbol" w:hint="default"/>
      </w:rPr>
    </w:lvl>
    <w:lvl w:ilvl="7" w:tplc="B088E7F4">
      <w:start w:val="1"/>
      <w:numFmt w:val="bullet"/>
      <w:lvlText w:val="o"/>
      <w:lvlJc w:val="left"/>
      <w:pPr>
        <w:ind w:left="5760" w:hanging="360"/>
      </w:pPr>
      <w:rPr>
        <w:rFonts w:ascii="Courier New" w:hAnsi="Courier New" w:cs="Courier New" w:hint="default"/>
      </w:rPr>
    </w:lvl>
    <w:lvl w:ilvl="8" w:tplc="24868E3C">
      <w:start w:val="1"/>
      <w:numFmt w:val="bullet"/>
      <w:lvlText w:val=""/>
      <w:lvlJc w:val="left"/>
      <w:pPr>
        <w:ind w:left="6480" w:hanging="360"/>
      </w:pPr>
      <w:rPr>
        <w:rFonts w:ascii="Wingdings" w:hAnsi="Wingdings" w:hint="default"/>
      </w:rPr>
    </w:lvl>
  </w:abstractNum>
  <w:abstractNum w:abstractNumId="105" w15:restartNumberingAfterBreak="0">
    <w:nsid w:val="53940FCC"/>
    <w:multiLevelType w:val="hybridMultilevel"/>
    <w:tmpl w:val="3F50597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54174134"/>
    <w:multiLevelType w:val="multilevel"/>
    <w:tmpl w:val="0E32DEF6"/>
    <w:lvl w:ilvl="0">
      <w:start w:val="1"/>
      <w:numFmt w:val="upperLetter"/>
      <w:lvlText w:val="%1."/>
      <w:lvlJc w:val="left"/>
      <w:pPr>
        <w:ind w:left="-731" w:hanging="360"/>
      </w:pPr>
      <w:rPr>
        <w:rFonts w:hint="default"/>
        <w:i/>
      </w:rPr>
    </w:lvl>
    <w:lvl w:ilvl="1">
      <w:start w:val="1"/>
      <w:numFmt w:val="bullet"/>
      <w:lvlText w:val="►"/>
      <w:lvlJc w:val="left"/>
      <w:pPr>
        <w:ind w:left="-873" w:hanging="360"/>
      </w:pPr>
      <w:rPr>
        <w:rFonts w:ascii="Arial" w:hAnsi="Arial" w:hint="default"/>
        <w:color w:val="FFC000"/>
      </w:rPr>
    </w:lvl>
    <w:lvl w:ilvl="2">
      <w:start w:val="1"/>
      <w:numFmt w:val="decimal"/>
      <w:isLgl/>
      <w:lvlText w:val="%1.%2.%3"/>
      <w:lvlJc w:val="left"/>
      <w:pPr>
        <w:ind w:left="1047" w:hanging="720"/>
      </w:pPr>
      <w:rPr>
        <w:rFonts w:hint="default"/>
      </w:rPr>
    </w:lvl>
    <w:lvl w:ilvl="3">
      <w:start w:val="1"/>
      <w:numFmt w:val="decimal"/>
      <w:isLgl/>
      <w:lvlText w:val="%1.%2.%3.%4"/>
      <w:lvlJc w:val="left"/>
      <w:pPr>
        <w:ind w:left="2116" w:hanging="1080"/>
      </w:pPr>
      <w:rPr>
        <w:rFonts w:hint="default"/>
      </w:rPr>
    </w:lvl>
    <w:lvl w:ilvl="4">
      <w:start w:val="1"/>
      <w:numFmt w:val="decimal"/>
      <w:isLgl/>
      <w:lvlText w:val="%1.%2.%3.%4.%5"/>
      <w:lvlJc w:val="left"/>
      <w:pPr>
        <w:ind w:left="2825" w:hanging="1080"/>
      </w:pPr>
      <w:rPr>
        <w:rFonts w:hint="default"/>
      </w:rPr>
    </w:lvl>
    <w:lvl w:ilvl="5">
      <w:start w:val="1"/>
      <w:numFmt w:val="decimal"/>
      <w:isLgl/>
      <w:lvlText w:val="%1.%2.%3.%4.%5.%6"/>
      <w:lvlJc w:val="left"/>
      <w:pPr>
        <w:ind w:left="3894" w:hanging="1440"/>
      </w:pPr>
      <w:rPr>
        <w:rFonts w:hint="default"/>
      </w:rPr>
    </w:lvl>
    <w:lvl w:ilvl="6">
      <w:start w:val="1"/>
      <w:numFmt w:val="decimal"/>
      <w:isLgl/>
      <w:lvlText w:val="%1.%2.%3.%4.%5.%6.%7"/>
      <w:lvlJc w:val="left"/>
      <w:pPr>
        <w:ind w:left="4603" w:hanging="1440"/>
      </w:pPr>
      <w:rPr>
        <w:rFonts w:hint="default"/>
      </w:rPr>
    </w:lvl>
    <w:lvl w:ilvl="7">
      <w:start w:val="1"/>
      <w:numFmt w:val="decimal"/>
      <w:isLgl/>
      <w:lvlText w:val="%1.%2.%3.%4.%5.%6.%7.%8"/>
      <w:lvlJc w:val="left"/>
      <w:pPr>
        <w:ind w:left="5672" w:hanging="1800"/>
      </w:pPr>
      <w:rPr>
        <w:rFonts w:hint="default"/>
      </w:rPr>
    </w:lvl>
    <w:lvl w:ilvl="8">
      <w:start w:val="1"/>
      <w:numFmt w:val="decimal"/>
      <w:isLgl/>
      <w:lvlText w:val="%1.%2.%3.%4.%5.%6.%7.%8.%9"/>
      <w:lvlJc w:val="left"/>
      <w:pPr>
        <w:ind w:left="6381" w:hanging="1800"/>
      </w:pPr>
      <w:rPr>
        <w:rFonts w:hint="default"/>
      </w:rPr>
    </w:lvl>
  </w:abstractNum>
  <w:abstractNum w:abstractNumId="107" w15:restartNumberingAfterBreak="0">
    <w:nsid w:val="546F7603"/>
    <w:multiLevelType w:val="hybridMultilevel"/>
    <w:tmpl w:val="A3D6F558"/>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40090001">
      <w:start w:val="1"/>
      <w:numFmt w:val="bullet"/>
      <w:lvlText w:val=""/>
      <w:lvlJc w:val="left"/>
      <w:pPr>
        <w:ind w:left="3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548B2EF9"/>
    <w:multiLevelType w:val="hybridMultilevel"/>
    <w:tmpl w:val="9F46CA94"/>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9" w15:restartNumberingAfterBreak="0">
    <w:nsid w:val="550D2A9E"/>
    <w:multiLevelType w:val="hybridMultilevel"/>
    <w:tmpl w:val="50125B1A"/>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0" w15:restartNumberingAfterBreak="0">
    <w:nsid w:val="56E00ACF"/>
    <w:multiLevelType w:val="hybridMultilevel"/>
    <w:tmpl w:val="CBFC3F2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1" w15:restartNumberingAfterBreak="0">
    <w:nsid w:val="57564D0C"/>
    <w:multiLevelType w:val="hybridMultilevel"/>
    <w:tmpl w:val="98D810BA"/>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57D26A64"/>
    <w:multiLevelType w:val="hybridMultilevel"/>
    <w:tmpl w:val="A042B0D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3" w15:restartNumberingAfterBreak="0">
    <w:nsid w:val="57DE1D5D"/>
    <w:multiLevelType w:val="hybridMultilevel"/>
    <w:tmpl w:val="7F461C52"/>
    <w:lvl w:ilvl="0" w:tplc="4009000B">
      <w:start w:val="1"/>
      <w:numFmt w:val="bullet"/>
      <w:lvlText w:val=""/>
      <w:lvlJc w:val="left"/>
      <w:pPr>
        <w:ind w:left="360" w:hanging="360"/>
      </w:pPr>
      <w:rPr>
        <w:rFonts w:ascii="Wingdings" w:hAnsi="Wingdings" w:hint="default"/>
        <w:b w:val="0"/>
        <w:bCs w:val="0"/>
        <w:i w:val="0"/>
        <w:iCs w:val="0"/>
        <w:w w:val="100"/>
        <w:sz w:val="18"/>
        <w:szCs w:val="18"/>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4" w15:restartNumberingAfterBreak="0">
    <w:nsid w:val="588A6528"/>
    <w:multiLevelType w:val="hybridMultilevel"/>
    <w:tmpl w:val="2A38F14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35A8F8D0">
      <w:start w:val="2"/>
      <w:numFmt w:val="bullet"/>
      <w:lvlText w:val="•"/>
      <w:lvlJc w:val="left"/>
      <w:pPr>
        <w:ind w:left="2520" w:hanging="72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9B71732"/>
    <w:multiLevelType w:val="hybridMultilevel"/>
    <w:tmpl w:val="0C8EDD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5A1B1030"/>
    <w:multiLevelType w:val="hybridMultilevel"/>
    <w:tmpl w:val="629C94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7" w15:restartNumberingAfterBreak="0">
    <w:nsid w:val="5ACC0ADF"/>
    <w:multiLevelType w:val="hybridMultilevel"/>
    <w:tmpl w:val="5008C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C241CA7"/>
    <w:multiLevelType w:val="hybridMultilevel"/>
    <w:tmpl w:val="DB52775E"/>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9" w15:restartNumberingAfterBreak="0">
    <w:nsid w:val="5C934907"/>
    <w:multiLevelType w:val="hybridMultilevel"/>
    <w:tmpl w:val="D220A83E"/>
    <w:lvl w:ilvl="0" w:tplc="FFFFFFFF">
      <w:start w:val="1"/>
      <w:numFmt w:val="bullet"/>
      <w:lvlText w:val=""/>
      <w:lvlJc w:val="left"/>
      <w:pPr>
        <w:ind w:left="720" w:hanging="360"/>
      </w:pPr>
      <w:rPr>
        <w:rFonts w:ascii="Wingdings" w:hAnsi="Wingdings" w:hint="default"/>
      </w:rPr>
    </w:lvl>
    <w:lvl w:ilvl="1" w:tplc="40090003">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5CC0440B"/>
    <w:multiLevelType w:val="hybridMultilevel"/>
    <w:tmpl w:val="FFFFFFFF"/>
    <w:lvl w:ilvl="0" w:tplc="4B42A24E">
      <w:start w:val="1"/>
      <w:numFmt w:val="bullet"/>
      <w:lvlText w:val="·"/>
      <w:lvlJc w:val="left"/>
      <w:pPr>
        <w:ind w:left="720" w:hanging="360"/>
      </w:pPr>
      <w:rPr>
        <w:rFonts w:ascii="Symbol" w:hAnsi="Symbol" w:hint="default"/>
      </w:rPr>
    </w:lvl>
    <w:lvl w:ilvl="1" w:tplc="21424B4C">
      <w:start w:val="1"/>
      <w:numFmt w:val="bullet"/>
      <w:lvlText w:val="o"/>
      <w:lvlJc w:val="left"/>
      <w:pPr>
        <w:ind w:left="1440" w:hanging="360"/>
      </w:pPr>
      <w:rPr>
        <w:rFonts w:ascii="Courier New" w:hAnsi="Courier New" w:hint="default"/>
      </w:rPr>
    </w:lvl>
    <w:lvl w:ilvl="2" w:tplc="1654EB24">
      <w:start w:val="1"/>
      <w:numFmt w:val="bullet"/>
      <w:lvlText w:val=""/>
      <w:lvlJc w:val="left"/>
      <w:pPr>
        <w:ind w:left="2160" w:hanging="360"/>
      </w:pPr>
      <w:rPr>
        <w:rFonts w:ascii="Wingdings" w:hAnsi="Wingdings" w:hint="default"/>
      </w:rPr>
    </w:lvl>
    <w:lvl w:ilvl="3" w:tplc="604C9FD8">
      <w:start w:val="1"/>
      <w:numFmt w:val="bullet"/>
      <w:lvlText w:val=""/>
      <w:lvlJc w:val="left"/>
      <w:pPr>
        <w:ind w:left="2880" w:hanging="360"/>
      </w:pPr>
      <w:rPr>
        <w:rFonts w:ascii="Symbol" w:hAnsi="Symbol" w:hint="default"/>
      </w:rPr>
    </w:lvl>
    <w:lvl w:ilvl="4" w:tplc="C2A4C008">
      <w:start w:val="1"/>
      <w:numFmt w:val="bullet"/>
      <w:lvlText w:val="o"/>
      <w:lvlJc w:val="left"/>
      <w:pPr>
        <w:ind w:left="3600" w:hanging="360"/>
      </w:pPr>
      <w:rPr>
        <w:rFonts w:ascii="Courier New" w:hAnsi="Courier New" w:hint="default"/>
      </w:rPr>
    </w:lvl>
    <w:lvl w:ilvl="5" w:tplc="A97A2136">
      <w:start w:val="1"/>
      <w:numFmt w:val="bullet"/>
      <w:lvlText w:val=""/>
      <w:lvlJc w:val="left"/>
      <w:pPr>
        <w:ind w:left="4320" w:hanging="360"/>
      </w:pPr>
      <w:rPr>
        <w:rFonts w:ascii="Wingdings" w:hAnsi="Wingdings" w:hint="default"/>
      </w:rPr>
    </w:lvl>
    <w:lvl w:ilvl="6" w:tplc="641AA104">
      <w:start w:val="1"/>
      <w:numFmt w:val="bullet"/>
      <w:lvlText w:val=""/>
      <w:lvlJc w:val="left"/>
      <w:pPr>
        <w:ind w:left="5040" w:hanging="360"/>
      </w:pPr>
      <w:rPr>
        <w:rFonts w:ascii="Symbol" w:hAnsi="Symbol" w:hint="default"/>
      </w:rPr>
    </w:lvl>
    <w:lvl w:ilvl="7" w:tplc="8F0091DE">
      <w:start w:val="1"/>
      <w:numFmt w:val="bullet"/>
      <w:lvlText w:val="o"/>
      <w:lvlJc w:val="left"/>
      <w:pPr>
        <w:ind w:left="5760" w:hanging="360"/>
      </w:pPr>
      <w:rPr>
        <w:rFonts w:ascii="Courier New" w:hAnsi="Courier New" w:hint="default"/>
      </w:rPr>
    </w:lvl>
    <w:lvl w:ilvl="8" w:tplc="9DF437D0">
      <w:start w:val="1"/>
      <w:numFmt w:val="bullet"/>
      <w:lvlText w:val=""/>
      <w:lvlJc w:val="left"/>
      <w:pPr>
        <w:ind w:left="6480" w:hanging="360"/>
      </w:pPr>
      <w:rPr>
        <w:rFonts w:ascii="Wingdings" w:hAnsi="Wingdings" w:hint="default"/>
      </w:rPr>
    </w:lvl>
  </w:abstractNum>
  <w:abstractNum w:abstractNumId="121" w15:restartNumberingAfterBreak="0">
    <w:nsid w:val="5DA5527D"/>
    <w:multiLevelType w:val="hybridMultilevel"/>
    <w:tmpl w:val="848686F8"/>
    <w:lvl w:ilvl="0" w:tplc="60C6000E">
      <w:start w:val="3"/>
      <w:numFmt w:val="lowerLetter"/>
      <w:lvlText w:val="%1."/>
      <w:lvlJc w:val="left"/>
      <w:pPr>
        <w:ind w:left="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E435D2">
      <w:start w:val="1"/>
      <w:numFmt w:val="lowerLetter"/>
      <w:lvlText w:val="%2"/>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33A3DCC">
      <w:start w:val="1"/>
      <w:numFmt w:val="lowerRoman"/>
      <w:lvlText w:val="%3"/>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E8A10E">
      <w:start w:val="1"/>
      <w:numFmt w:val="decimal"/>
      <w:lvlText w:val="%4"/>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D649F8E">
      <w:start w:val="1"/>
      <w:numFmt w:val="lowerLetter"/>
      <w:lvlText w:val="%5"/>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16AEDE">
      <w:start w:val="1"/>
      <w:numFmt w:val="lowerRoman"/>
      <w:lvlText w:val="%6"/>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780042">
      <w:start w:val="1"/>
      <w:numFmt w:val="decimal"/>
      <w:lvlText w:val="%7"/>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326250">
      <w:start w:val="1"/>
      <w:numFmt w:val="lowerLetter"/>
      <w:lvlText w:val="%8"/>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F247B0">
      <w:start w:val="1"/>
      <w:numFmt w:val="lowerRoman"/>
      <w:lvlText w:val="%9"/>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2" w15:restartNumberingAfterBreak="0">
    <w:nsid w:val="5E2160E5"/>
    <w:multiLevelType w:val="hybridMultilevel"/>
    <w:tmpl w:val="E44AACD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3" w15:restartNumberingAfterBreak="0">
    <w:nsid w:val="5F3A0CD8"/>
    <w:multiLevelType w:val="hybridMultilevel"/>
    <w:tmpl w:val="6ABACB90"/>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Symbol" w:hAnsi="Symbol" w:hint="default"/>
      </w:rPr>
    </w:lvl>
    <w:lvl w:ilvl="2" w:tplc="40090005">
      <w:start w:val="1"/>
      <w:numFmt w:val="bullet"/>
      <w:lvlText w:val=""/>
      <w:lvlJc w:val="left"/>
      <w:pPr>
        <w:ind w:left="3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4" w15:restartNumberingAfterBreak="0">
    <w:nsid w:val="5F421ED2"/>
    <w:multiLevelType w:val="hybridMultilevel"/>
    <w:tmpl w:val="B888AA44"/>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40090001">
      <w:start w:val="1"/>
      <w:numFmt w:val="bullet"/>
      <w:lvlText w:val=""/>
      <w:lvlJc w:val="left"/>
      <w:pPr>
        <w:ind w:left="3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608E6355"/>
    <w:multiLevelType w:val="hybridMultilevel"/>
    <w:tmpl w:val="D97E3508"/>
    <w:lvl w:ilvl="0" w:tplc="40090001">
      <w:start w:val="1"/>
      <w:numFmt w:val="bullet"/>
      <w:lvlText w:val=""/>
      <w:lvlJc w:val="left"/>
      <w:pPr>
        <w:ind w:left="720" w:hanging="360"/>
      </w:pPr>
      <w:rPr>
        <w:rFonts w:ascii="Symbol" w:hAnsi="Symbol" w:hint="default"/>
        <w:color w:val="FFC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613162E2"/>
    <w:multiLevelType w:val="multilevel"/>
    <w:tmpl w:val="90D6D4A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rPr>
    </w:lvl>
    <w:lvl w:ilvl="2">
      <w:start w:val="1"/>
      <w:numFmt w:val="bullet"/>
      <w:lvlText w:val=""/>
      <w:lvlJc w:val="left"/>
      <w:pPr>
        <w:ind w:left="1080" w:hanging="720"/>
      </w:pPr>
      <w:rPr>
        <w:rFonts w:ascii="Symbol" w:hAnsi="Symbol" w:hint="default"/>
        <w:color w:val="auto"/>
        <w:sz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61BF25F9"/>
    <w:multiLevelType w:val="hybridMultilevel"/>
    <w:tmpl w:val="EA62454C"/>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8" w15:restartNumberingAfterBreak="0">
    <w:nsid w:val="628E394E"/>
    <w:multiLevelType w:val="hybridMultilevel"/>
    <w:tmpl w:val="BF0E05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9" w15:restartNumberingAfterBreak="0">
    <w:nsid w:val="63CE21AE"/>
    <w:multiLevelType w:val="hybridMultilevel"/>
    <w:tmpl w:val="F5B254DC"/>
    <w:lvl w:ilvl="0" w:tplc="01F2F82C">
      <w:start w:val="1"/>
      <w:numFmt w:val="bullet"/>
      <w:lvlText w:val=""/>
      <w:lvlJc w:val="left"/>
      <w:pPr>
        <w:ind w:left="720" w:hanging="360"/>
      </w:pPr>
      <w:rPr>
        <w:rFonts w:ascii="Symbol" w:hAnsi="Symbol" w:hint="default"/>
        <w:color w:val="FF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0" w15:restartNumberingAfterBreak="0">
    <w:nsid w:val="65F53030"/>
    <w:multiLevelType w:val="hybridMultilevel"/>
    <w:tmpl w:val="A6A24448"/>
    <w:lvl w:ilvl="0" w:tplc="076039E6">
      <w:start w:val="1"/>
      <w:numFmt w:val="decimal"/>
      <w:lvlText w:val="%1."/>
      <w:lvlJc w:val="left"/>
      <w:pPr>
        <w:ind w:left="1494" w:hanging="360"/>
      </w:pPr>
      <w:rPr>
        <w:rFonts w:asciiTheme="majorHAnsi" w:hAnsiTheme="majorHAnsi" w:cstheme="majorHAnsi" w:hint="default"/>
        <w:b/>
        <w:bCs/>
        <w:color w:val="auto"/>
        <w:sz w:val="26"/>
        <w:szCs w:val="26"/>
      </w:rPr>
    </w:lvl>
    <w:lvl w:ilvl="1" w:tplc="40090019">
      <w:start w:val="1"/>
      <w:numFmt w:val="lowerLetter"/>
      <w:lvlText w:val="%2."/>
      <w:lvlJc w:val="left"/>
      <w:pPr>
        <w:ind w:left="512" w:hanging="360"/>
      </w:pPr>
    </w:lvl>
    <w:lvl w:ilvl="2" w:tplc="4009001B" w:tentative="1">
      <w:start w:val="1"/>
      <w:numFmt w:val="lowerRoman"/>
      <w:lvlText w:val="%3."/>
      <w:lvlJc w:val="right"/>
      <w:pPr>
        <w:ind w:left="1232" w:hanging="180"/>
      </w:pPr>
    </w:lvl>
    <w:lvl w:ilvl="3" w:tplc="4009000F" w:tentative="1">
      <w:start w:val="1"/>
      <w:numFmt w:val="decimal"/>
      <w:lvlText w:val="%4."/>
      <w:lvlJc w:val="left"/>
      <w:pPr>
        <w:ind w:left="1952" w:hanging="360"/>
      </w:pPr>
    </w:lvl>
    <w:lvl w:ilvl="4" w:tplc="40090019" w:tentative="1">
      <w:start w:val="1"/>
      <w:numFmt w:val="lowerLetter"/>
      <w:lvlText w:val="%5."/>
      <w:lvlJc w:val="left"/>
      <w:pPr>
        <w:ind w:left="2672" w:hanging="360"/>
      </w:pPr>
    </w:lvl>
    <w:lvl w:ilvl="5" w:tplc="4009001B" w:tentative="1">
      <w:start w:val="1"/>
      <w:numFmt w:val="lowerRoman"/>
      <w:lvlText w:val="%6."/>
      <w:lvlJc w:val="right"/>
      <w:pPr>
        <w:ind w:left="3392" w:hanging="180"/>
      </w:pPr>
    </w:lvl>
    <w:lvl w:ilvl="6" w:tplc="4009000F" w:tentative="1">
      <w:start w:val="1"/>
      <w:numFmt w:val="decimal"/>
      <w:lvlText w:val="%7."/>
      <w:lvlJc w:val="left"/>
      <w:pPr>
        <w:ind w:left="4112" w:hanging="360"/>
      </w:pPr>
    </w:lvl>
    <w:lvl w:ilvl="7" w:tplc="40090019" w:tentative="1">
      <w:start w:val="1"/>
      <w:numFmt w:val="lowerLetter"/>
      <w:lvlText w:val="%8."/>
      <w:lvlJc w:val="left"/>
      <w:pPr>
        <w:ind w:left="4832" w:hanging="360"/>
      </w:pPr>
    </w:lvl>
    <w:lvl w:ilvl="8" w:tplc="4009001B" w:tentative="1">
      <w:start w:val="1"/>
      <w:numFmt w:val="lowerRoman"/>
      <w:lvlText w:val="%9."/>
      <w:lvlJc w:val="right"/>
      <w:pPr>
        <w:ind w:left="5552" w:hanging="180"/>
      </w:pPr>
    </w:lvl>
  </w:abstractNum>
  <w:abstractNum w:abstractNumId="131" w15:restartNumberingAfterBreak="0">
    <w:nsid w:val="682F0EFA"/>
    <w:multiLevelType w:val="hybridMultilevel"/>
    <w:tmpl w:val="9AA05698"/>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2" w15:restartNumberingAfterBreak="0">
    <w:nsid w:val="69052C2E"/>
    <w:multiLevelType w:val="hybridMultilevel"/>
    <w:tmpl w:val="867E2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69983E83"/>
    <w:multiLevelType w:val="hybridMultilevel"/>
    <w:tmpl w:val="1F2E7D88"/>
    <w:lvl w:ilvl="0" w:tplc="40090001">
      <w:start w:val="1"/>
      <w:numFmt w:val="bullet"/>
      <w:lvlText w:val=""/>
      <w:lvlJc w:val="left"/>
      <w:pPr>
        <w:ind w:left="928" w:hanging="360"/>
      </w:pPr>
      <w:rPr>
        <w:rFonts w:ascii="Symbol" w:hAnsi="Symbol" w:hint="default"/>
        <w:color w:val="FFC000"/>
      </w:rPr>
    </w:lvl>
    <w:lvl w:ilvl="1" w:tplc="40090019">
      <w:start w:val="1"/>
      <w:numFmt w:val="lowerLetter"/>
      <w:lvlText w:val="%2."/>
      <w:lvlJc w:val="left"/>
      <w:pPr>
        <w:ind w:left="1070" w:hanging="360"/>
      </w:p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34" w15:restartNumberingAfterBreak="0">
    <w:nsid w:val="69D0302F"/>
    <w:multiLevelType w:val="hybridMultilevel"/>
    <w:tmpl w:val="5A32BE9A"/>
    <w:lvl w:ilvl="0" w:tplc="0D9C6D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A0B7935"/>
    <w:multiLevelType w:val="hybridMultilevel"/>
    <w:tmpl w:val="EC72528A"/>
    <w:lvl w:ilvl="0" w:tplc="FFFFFFFF">
      <w:start w:val="1"/>
      <w:numFmt w:val="bullet"/>
      <w:lvlText w:val=""/>
      <w:lvlJc w:val="left"/>
      <w:pPr>
        <w:ind w:left="720" w:hanging="360"/>
      </w:pPr>
      <w:rPr>
        <w:rFonts w:ascii="Wingdings" w:hAnsi="Wingdings" w:hint="default"/>
      </w:rPr>
    </w:lvl>
    <w:lvl w:ilvl="1" w:tplc="40090001">
      <w:start w:val="1"/>
      <w:numFmt w:val="bullet"/>
      <w:lvlText w:val=""/>
      <w:lvlJc w:val="left"/>
      <w:pPr>
        <w:ind w:left="36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6A6A3B08"/>
    <w:multiLevelType w:val="hybridMultilevel"/>
    <w:tmpl w:val="D64A9752"/>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7" w15:restartNumberingAfterBreak="0">
    <w:nsid w:val="6BCD604F"/>
    <w:multiLevelType w:val="hybridMultilevel"/>
    <w:tmpl w:val="A0F44B3A"/>
    <w:lvl w:ilvl="0" w:tplc="FFFFFFFF">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40090001">
      <w:start w:val="1"/>
      <w:numFmt w:val="bullet"/>
      <w:lvlText w:val=""/>
      <w:lvlJc w:val="left"/>
      <w:pPr>
        <w:ind w:left="3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6C61034C"/>
    <w:multiLevelType w:val="hybridMultilevel"/>
    <w:tmpl w:val="783C2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6F3B06E8"/>
    <w:multiLevelType w:val="hybridMultilevel"/>
    <w:tmpl w:val="55F299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0" w15:restartNumberingAfterBreak="0">
    <w:nsid w:val="6F571DED"/>
    <w:multiLevelType w:val="hybridMultilevel"/>
    <w:tmpl w:val="5A2230E4"/>
    <w:lvl w:ilvl="0" w:tplc="F0BCDB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0082350"/>
    <w:multiLevelType w:val="hybridMultilevel"/>
    <w:tmpl w:val="BCDCD16A"/>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2" w15:restartNumberingAfterBreak="0">
    <w:nsid w:val="7024573C"/>
    <w:multiLevelType w:val="hybridMultilevel"/>
    <w:tmpl w:val="B41AB5A4"/>
    <w:lvl w:ilvl="0" w:tplc="40090005">
      <w:start w:val="1"/>
      <w:numFmt w:val="bullet"/>
      <w:lvlText w:val=""/>
      <w:lvlJc w:val="left"/>
      <w:pPr>
        <w:ind w:left="2160" w:hanging="360"/>
      </w:pPr>
      <w:rPr>
        <w:rFonts w:ascii="Wingdings" w:hAnsi="Wingdings"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43" w15:restartNumberingAfterBreak="0">
    <w:nsid w:val="70C919F9"/>
    <w:multiLevelType w:val="hybridMultilevel"/>
    <w:tmpl w:val="4124580A"/>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4" w15:restartNumberingAfterBreak="0">
    <w:nsid w:val="71470EEF"/>
    <w:multiLevelType w:val="hybridMultilevel"/>
    <w:tmpl w:val="4F12DEDC"/>
    <w:lvl w:ilvl="0" w:tplc="FFFFFFFF">
      <w:start w:val="1"/>
      <w:numFmt w:val="lowerLetter"/>
      <w:lvlText w:val="%1)"/>
      <w:lvlJc w:val="left"/>
      <w:pPr>
        <w:ind w:left="720" w:hanging="360"/>
      </w:pPr>
      <w:rPr>
        <w:rFonts w:hint="default"/>
      </w:rPr>
    </w:lvl>
    <w:lvl w:ilvl="1" w:tplc="C046F442">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71D668AD"/>
    <w:multiLevelType w:val="hybridMultilevel"/>
    <w:tmpl w:val="FC1C8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72C966AA"/>
    <w:multiLevelType w:val="hybridMultilevel"/>
    <w:tmpl w:val="CE201CBA"/>
    <w:lvl w:ilvl="0" w:tplc="60065350">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74396D64"/>
    <w:multiLevelType w:val="hybridMultilevel"/>
    <w:tmpl w:val="C66A86DA"/>
    <w:lvl w:ilvl="0" w:tplc="40090001">
      <w:start w:val="1"/>
      <w:numFmt w:val="bullet"/>
      <w:lvlText w:val=""/>
      <w:lvlJc w:val="left"/>
      <w:pPr>
        <w:ind w:left="2243" w:hanging="360"/>
      </w:pPr>
      <w:rPr>
        <w:rFonts w:ascii="Symbol" w:hAnsi="Symbol" w:hint="default"/>
      </w:rPr>
    </w:lvl>
    <w:lvl w:ilvl="1" w:tplc="40090003" w:tentative="1">
      <w:start w:val="1"/>
      <w:numFmt w:val="bullet"/>
      <w:lvlText w:val="o"/>
      <w:lvlJc w:val="left"/>
      <w:pPr>
        <w:ind w:left="2963" w:hanging="360"/>
      </w:pPr>
      <w:rPr>
        <w:rFonts w:ascii="Courier New" w:hAnsi="Courier New" w:cs="Courier New" w:hint="default"/>
      </w:rPr>
    </w:lvl>
    <w:lvl w:ilvl="2" w:tplc="40090005" w:tentative="1">
      <w:start w:val="1"/>
      <w:numFmt w:val="bullet"/>
      <w:lvlText w:val=""/>
      <w:lvlJc w:val="left"/>
      <w:pPr>
        <w:ind w:left="3683" w:hanging="360"/>
      </w:pPr>
      <w:rPr>
        <w:rFonts w:ascii="Wingdings" w:hAnsi="Wingdings" w:hint="default"/>
      </w:rPr>
    </w:lvl>
    <w:lvl w:ilvl="3" w:tplc="40090001" w:tentative="1">
      <w:start w:val="1"/>
      <w:numFmt w:val="bullet"/>
      <w:lvlText w:val=""/>
      <w:lvlJc w:val="left"/>
      <w:pPr>
        <w:ind w:left="4403" w:hanging="360"/>
      </w:pPr>
      <w:rPr>
        <w:rFonts w:ascii="Symbol" w:hAnsi="Symbol" w:hint="default"/>
      </w:rPr>
    </w:lvl>
    <w:lvl w:ilvl="4" w:tplc="40090003" w:tentative="1">
      <w:start w:val="1"/>
      <w:numFmt w:val="bullet"/>
      <w:lvlText w:val="o"/>
      <w:lvlJc w:val="left"/>
      <w:pPr>
        <w:ind w:left="5123" w:hanging="360"/>
      </w:pPr>
      <w:rPr>
        <w:rFonts w:ascii="Courier New" w:hAnsi="Courier New" w:cs="Courier New" w:hint="default"/>
      </w:rPr>
    </w:lvl>
    <w:lvl w:ilvl="5" w:tplc="40090005" w:tentative="1">
      <w:start w:val="1"/>
      <w:numFmt w:val="bullet"/>
      <w:lvlText w:val=""/>
      <w:lvlJc w:val="left"/>
      <w:pPr>
        <w:ind w:left="5843" w:hanging="360"/>
      </w:pPr>
      <w:rPr>
        <w:rFonts w:ascii="Wingdings" w:hAnsi="Wingdings" w:hint="default"/>
      </w:rPr>
    </w:lvl>
    <w:lvl w:ilvl="6" w:tplc="40090001" w:tentative="1">
      <w:start w:val="1"/>
      <w:numFmt w:val="bullet"/>
      <w:lvlText w:val=""/>
      <w:lvlJc w:val="left"/>
      <w:pPr>
        <w:ind w:left="6563" w:hanging="360"/>
      </w:pPr>
      <w:rPr>
        <w:rFonts w:ascii="Symbol" w:hAnsi="Symbol" w:hint="default"/>
      </w:rPr>
    </w:lvl>
    <w:lvl w:ilvl="7" w:tplc="40090003" w:tentative="1">
      <w:start w:val="1"/>
      <w:numFmt w:val="bullet"/>
      <w:lvlText w:val="o"/>
      <w:lvlJc w:val="left"/>
      <w:pPr>
        <w:ind w:left="7283" w:hanging="360"/>
      </w:pPr>
      <w:rPr>
        <w:rFonts w:ascii="Courier New" w:hAnsi="Courier New" w:cs="Courier New" w:hint="default"/>
      </w:rPr>
    </w:lvl>
    <w:lvl w:ilvl="8" w:tplc="40090005" w:tentative="1">
      <w:start w:val="1"/>
      <w:numFmt w:val="bullet"/>
      <w:lvlText w:val=""/>
      <w:lvlJc w:val="left"/>
      <w:pPr>
        <w:ind w:left="8003" w:hanging="360"/>
      </w:pPr>
      <w:rPr>
        <w:rFonts w:ascii="Wingdings" w:hAnsi="Wingdings" w:hint="default"/>
      </w:rPr>
    </w:lvl>
  </w:abstractNum>
  <w:abstractNum w:abstractNumId="148" w15:restartNumberingAfterBreak="0">
    <w:nsid w:val="7521552A"/>
    <w:multiLevelType w:val="hybridMultilevel"/>
    <w:tmpl w:val="C70EF400"/>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9" w15:restartNumberingAfterBreak="0">
    <w:nsid w:val="762C4FC3"/>
    <w:multiLevelType w:val="hybridMultilevel"/>
    <w:tmpl w:val="5D341308"/>
    <w:lvl w:ilvl="0" w:tplc="4009000B">
      <w:start w:val="1"/>
      <w:numFmt w:val="bullet"/>
      <w:lvlText w:val=""/>
      <w:lvlJc w:val="left"/>
      <w:pPr>
        <w:ind w:left="466" w:hanging="360"/>
      </w:pPr>
      <w:rPr>
        <w:rFonts w:ascii="Wingdings" w:hAnsi="Wingdings" w:hint="default"/>
        <w:b w:val="0"/>
        <w:bCs w:val="0"/>
        <w:i w:val="0"/>
        <w:iCs w:val="0"/>
        <w:w w:val="100"/>
        <w:sz w:val="18"/>
        <w:szCs w:val="18"/>
      </w:rPr>
    </w:lvl>
    <w:lvl w:ilvl="1" w:tplc="20F6BF0E">
      <w:numFmt w:val="bullet"/>
      <w:lvlText w:val="•"/>
      <w:lvlJc w:val="left"/>
      <w:pPr>
        <w:ind w:left="1047" w:hanging="360"/>
      </w:pPr>
    </w:lvl>
    <w:lvl w:ilvl="2" w:tplc="0B6A30E4">
      <w:numFmt w:val="bullet"/>
      <w:lvlText w:val="•"/>
      <w:lvlJc w:val="left"/>
      <w:pPr>
        <w:ind w:left="1635" w:hanging="360"/>
      </w:pPr>
    </w:lvl>
    <w:lvl w:ilvl="3" w:tplc="19EE3100">
      <w:numFmt w:val="bullet"/>
      <w:lvlText w:val="•"/>
      <w:lvlJc w:val="left"/>
      <w:pPr>
        <w:ind w:left="2223" w:hanging="360"/>
      </w:pPr>
    </w:lvl>
    <w:lvl w:ilvl="4" w:tplc="426EE10E">
      <w:numFmt w:val="bullet"/>
      <w:lvlText w:val="•"/>
      <w:lvlJc w:val="left"/>
      <w:pPr>
        <w:ind w:left="2810" w:hanging="360"/>
      </w:pPr>
    </w:lvl>
    <w:lvl w:ilvl="5" w:tplc="7F766570">
      <w:numFmt w:val="bullet"/>
      <w:lvlText w:val="•"/>
      <w:lvlJc w:val="left"/>
      <w:pPr>
        <w:ind w:left="3398" w:hanging="360"/>
      </w:pPr>
    </w:lvl>
    <w:lvl w:ilvl="6" w:tplc="0BD0AC34">
      <w:numFmt w:val="bullet"/>
      <w:lvlText w:val="•"/>
      <w:lvlJc w:val="left"/>
      <w:pPr>
        <w:ind w:left="3986" w:hanging="360"/>
      </w:pPr>
    </w:lvl>
    <w:lvl w:ilvl="7" w:tplc="DFEC1C36">
      <w:numFmt w:val="bullet"/>
      <w:lvlText w:val="•"/>
      <w:lvlJc w:val="left"/>
      <w:pPr>
        <w:ind w:left="4573" w:hanging="360"/>
      </w:pPr>
    </w:lvl>
    <w:lvl w:ilvl="8" w:tplc="C344B226">
      <w:numFmt w:val="bullet"/>
      <w:lvlText w:val="•"/>
      <w:lvlJc w:val="left"/>
      <w:pPr>
        <w:ind w:left="5161" w:hanging="360"/>
      </w:pPr>
    </w:lvl>
  </w:abstractNum>
  <w:abstractNum w:abstractNumId="150" w15:restartNumberingAfterBreak="0">
    <w:nsid w:val="763D52F0"/>
    <w:multiLevelType w:val="hybridMultilevel"/>
    <w:tmpl w:val="C2FCC3CA"/>
    <w:lvl w:ilvl="0" w:tplc="4009000B">
      <w:start w:val="1"/>
      <w:numFmt w:val="bullet"/>
      <w:lvlText w:val=""/>
      <w:lvlJc w:val="left"/>
      <w:pPr>
        <w:ind w:left="360" w:hanging="360"/>
      </w:pPr>
      <w:rPr>
        <w:rFonts w:ascii="Wingdings" w:hAnsi="Wingdings" w:hint="default"/>
        <w:b w:val="0"/>
        <w:bCs w:val="0"/>
        <w:i w:val="0"/>
        <w:iCs w:val="0"/>
        <w:w w:val="100"/>
        <w:sz w:val="18"/>
        <w:szCs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1" w15:restartNumberingAfterBreak="0">
    <w:nsid w:val="77054AE0"/>
    <w:multiLevelType w:val="hybridMultilevel"/>
    <w:tmpl w:val="89ACF41C"/>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2" w15:restartNumberingAfterBreak="0">
    <w:nsid w:val="78356738"/>
    <w:multiLevelType w:val="multilevel"/>
    <w:tmpl w:val="21C8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89B31F6"/>
    <w:multiLevelType w:val="hybridMultilevel"/>
    <w:tmpl w:val="19948AF8"/>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4" w15:restartNumberingAfterBreak="0">
    <w:nsid w:val="7A5C64E8"/>
    <w:multiLevelType w:val="hybridMultilevel"/>
    <w:tmpl w:val="1D6ADF34"/>
    <w:lvl w:ilvl="0" w:tplc="4009000B">
      <w:start w:val="1"/>
      <w:numFmt w:val="bullet"/>
      <w:lvlText w:val=""/>
      <w:lvlJc w:val="left"/>
      <w:pPr>
        <w:ind w:left="721" w:hanging="360"/>
      </w:pPr>
      <w:rPr>
        <w:rFonts w:ascii="Wingdings" w:hAnsi="Wingdings" w:hint="default"/>
        <w:b w:val="0"/>
        <w:bCs w:val="0"/>
        <w:i w:val="0"/>
        <w:iCs w:val="0"/>
        <w:w w:val="100"/>
        <w:sz w:val="18"/>
        <w:szCs w:val="18"/>
      </w:rPr>
    </w:lvl>
    <w:lvl w:ilvl="1" w:tplc="FFFFFFFF" w:tentative="1">
      <w:start w:val="1"/>
      <w:numFmt w:val="bullet"/>
      <w:lvlText w:val="o"/>
      <w:lvlJc w:val="left"/>
      <w:pPr>
        <w:ind w:left="1441" w:hanging="360"/>
      </w:pPr>
      <w:rPr>
        <w:rFonts w:ascii="Courier New" w:hAnsi="Courier New" w:cs="Courier New" w:hint="default"/>
      </w:rPr>
    </w:lvl>
    <w:lvl w:ilvl="2" w:tplc="FFFFFFFF" w:tentative="1">
      <w:start w:val="1"/>
      <w:numFmt w:val="bullet"/>
      <w:lvlText w:val=""/>
      <w:lvlJc w:val="left"/>
      <w:pPr>
        <w:ind w:left="2161" w:hanging="360"/>
      </w:pPr>
      <w:rPr>
        <w:rFonts w:ascii="Wingdings" w:hAnsi="Wingdings" w:hint="default"/>
      </w:rPr>
    </w:lvl>
    <w:lvl w:ilvl="3" w:tplc="FFFFFFFF" w:tentative="1">
      <w:start w:val="1"/>
      <w:numFmt w:val="bullet"/>
      <w:lvlText w:val=""/>
      <w:lvlJc w:val="left"/>
      <w:pPr>
        <w:ind w:left="2881" w:hanging="360"/>
      </w:pPr>
      <w:rPr>
        <w:rFonts w:ascii="Symbol" w:hAnsi="Symbol" w:hint="default"/>
      </w:rPr>
    </w:lvl>
    <w:lvl w:ilvl="4" w:tplc="FFFFFFFF" w:tentative="1">
      <w:start w:val="1"/>
      <w:numFmt w:val="bullet"/>
      <w:lvlText w:val="o"/>
      <w:lvlJc w:val="left"/>
      <w:pPr>
        <w:ind w:left="3601" w:hanging="360"/>
      </w:pPr>
      <w:rPr>
        <w:rFonts w:ascii="Courier New" w:hAnsi="Courier New" w:cs="Courier New" w:hint="default"/>
      </w:rPr>
    </w:lvl>
    <w:lvl w:ilvl="5" w:tplc="FFFFFFFF" w:tentative="1">
      <w:start w:val="1"/>
      <w:numFmt w:val="bullet"/>
      <w:lvlText w:val=""/>
      <w:lvlJc w:val="left"/>
      <w:pPr>
        <w:ind w:left="4321" w:hanging="360"/>
      </w:pPr>
      <w:rPr>
        <w:rFonts w:ascii="Wingdings" w:hAnsi="Wingdings" w:hint="default"/>
      </w:rPr>
    </w:lvl>
    <w:lvl w:ilvl="6" w:tplc="FFFFFFFF" w:tentative="1">
      <w:start w:val="1"/>
      <w:numFmt w:val="bullet"/>
      <w:lvlText w:val=""/>
      <w:lvlJc w:val="left"/>
      <w:pPr>
        <w:ind w:left="5041" w:hanging="360"/>
      </w:pPr>
      <w:rPr>
        <w:rFonts w:ascii="Symbol" w:hAnsi="Symbol" w:hint="default"/>
      </w:rPr>
    </w:lvl>
    <w:lvl w:ilvl="7" w:tplc="FFFFFFFF" w:tentative="1">
      <w:start w:val="1"/>
      <w:numFmt w:val="bullet"/>
      <w:lvlText w:val="o"/>
      <w:lvlJc w:val="left"/>
      <w:pPr>
        <w:ind w:left="5761" w:hanging="360"/>
      </w:pPr>
      <w:rPr>
        <w:rFonts w:ascii="Courier New" w:hAnsi="Courier New" w:cs="Courier New" w:hint="default"/>
      </w:rPr>
    </w:lvl>
    <w:lvl w:ilvl="8" w:tplc="FFFFFFFF" w:tentative="1">
      <w:start w:val="1"/>
      <w:numFmt w:val="bullet"/>
      <w:lvlText w:val=""/>
      <w:lvlJc w:val="left"/>
      <w:pPr>
        <w:ind w:left="6481" w:hanging="360"/>
      </w:pPr>
      <w:rPr>
        <w:rFonts w:ascii="Wingdings" w:hAnsi="Wingdings" w:hint="default"/>
      </w:rPr>
    </w:lvl>
  </w:abstractNum>
  <w:abstractNum w:abstractNumId="155" w15:restartNumberingAfterBreak="0">
    <w:nsid w:val="7AE14D4F"/>
    <w:multiLevelType w:val="hybridMultilevel"/>
    <w:tmpl w:val="1284AFAA"/>
    <w:lvl w:ilvl="0" w:tplc="04090019">
      <w:start w:val="1"/>
      <w:numFmt w:val="lowerLetter"/>
      <w:lvlText w:val="%1."/>
      <w:lvlJc w:val="left"/>
      <w:pPr>
        <w:ind w:left="720" w:hanging="360"/>
      </w:pPr>
      <w:rPr>
        <w:rFonts w:hint="default"/>
      </w:rPr>
    </w:lvl>
    <w:lvl w:ilvl="1" w:tplc="7AFEDFA0">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AE86A2D"/>
    <w:multiLevelType w:val="hybridMultilevel"/>
    <w:tmpl w:val="27881A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AF262CA"/>
    <w:multiLevelType w:val="hybridMultilevel"/>
    <w:tmpl w:val="50286A2A"/>
    <w:lvl w:ilvl="0" w:tplc="4009000B">
      <w:start w:val="1"/>
      <w:numFmt w:val="bullet"/>
      <w:lvlText w:val=""/>
      <w:lvlJc w:val="left"/>
      <w:pPr>
        <w:ind w:left="720" w:hanging="360"/>
      </w:pPr>
      <w:rPr>
        <w:rFonts w:ascii="Wingdings" w:hAnsi="Wingdings" w:hint="default"/>
        <w:b w:val="0"/>
        <w:bCs w:val="0"/>
        <w:i w:val="0"/>
        <w:iCs w:val="0"/>
        <w:w w:val="100"/>
        <w:sz w:val="18"/>
        <w:szCs w:val="18"/>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8" w15:restartNumberingAfterBreak="0">
    <w:nsid w:val="7B397E42"/>
    <w:multiLevelType w:val="hybridMultilevel"/>
    <w:tmpl w:val="D318FA08"/>
    <w:lvl w:ilvl="0" w:tplc="23EC69BC">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9" w15:restartNumberingAfterBreak="0">
    <w:nsid w:val="7C0E7DDE"/>
    <w:multiLevelType w:val="hybridMultilevel"/>
    <w:tmpl w:val="23F0F7A2"/>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0" w15:restartNumberingAfterBreak="0">
    <w:nsid w:val="7C201A15"/>
    <w:multiLevelType w:val="hybridMultilevel"/>
    <w:tmpl w:val="8ECA81EC"/>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1" w15:restartNumberingAfterBreak="0">
    <w:nsid w:val="7C2B44F0"/>
    <w:multiLevelType w:val="hybridMultilevel"/>
    <w:tmpl w:val="62245E0C"/>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2" w15:restartNumberingAfterBreak="0">
    <w:nsid w:val="7C7F591C"/>
    <w:multiLevelType w:val="hybridMultilevel"/>
    <w:tmpl w:val="90106150"/>
    <w:lvl w:ilvl="0" w:tplc="40090005">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3" w15:restartNumberingAfterBreak="0">
    <w:nsid w:val="7CD30D58"/>
    <w:multiLevelType w:val="hybridMultilevel"/>
    <w:tmpl w:val="345E85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EE03CBD"/>
    <w:multiLevelType w:val="hybridMultilevel"/>
    <w:tmpl w:val="C1BCE08E"/>
    <w:lvl w:ilvl="0" w:tplc="40090001">
      <w:start w:val="1"/>
      <w:numFmt w:val="bullet"/>
      <w:lvlText w:val=""/>
      <w:lvlJc w:val="left"/>
      <w:pPr>
        <w:ind w:left="721" w:hanging="360"/>
      </w:pPr>
      <w:rPr>
        <w:rFonts w:ascii="Symbol" w:hAnsi="Symbol" w:hint="default"/>
      </w:rPr>
    </w:lvl>
    <w:lvl w:ilvl="1" w:tplc="40090003" w:tentative="1">
      <w:start w:val="1"/>
      <w:numFmt w:val="bullet"/>
      <w:lvlText w:val="o"/>
      <w:lvlJc w:val="left"/>
      <w:pPr>
        <w:ind w:left="1441" w:hanging="360"/>
      </w:pPr>
      <w:rPr>
        <w:rFonts w:ascii="Courier New" w:hAnsi="Courier New" w:cs="Courier New" w:hint="default"/>
      </w:rPr>
    </w:lvl>
    <w:lvl w:ilvl="2" w:tplc="40090005" w:tentative="1">
      <w:start w:val="1"/>
      <w:numFmt w:val="bullet"/>
      <w:lvlText w:val=""/>
      <w:lvlJc w:val="left"/>
      <w:pPr>
        <w:ind w:left="2161" w:hanging="360"/>
      </w:pPr>
      <w:rPr>
        <w:rFonts w:ascii="Wingdings" w:hAnsi="Wingdings" w:hint="default"/>
      </w:rPr>
    </w:lvl>
    <w:lvl w:ilvl="3" w:tplc="40090001" w:tentative="1">
      <w:start w:val="1"/>
      <w:numFmt w:val="bullet"/>
      <w:lvlText w:val=""/>
      <w:lvlJc w:val="left"/>
      <w:pPr>
        <w:ind w:left="2881" w:hanging="360"/>
      </w:pPr>
      <w:rPr>
        <w:rFonts w:ascii="Symbol" w:hAnsi="Symbol" w:hint="default"/>
      </w:rPr>
    </w:lvl>
    <w:lvl w:ilvl="4" w:tplc="40090003" w:tentative="1">
      <w:start w:val="1"/>
      <w:numFmt w:val="bullet"/>
      <w:lvlText w:val="o"/>
      <w:lvlJc w:val="left"/>
      <w:pPr>
        <w:ind w:left="3601" w:hanging="360"/>
      </w:pPr>
      <w:rPr>
        <w:rFonts w:ascii="Courier New" w:hAnsi="Courier New" w:cs="Courier New" w:hint="default"/>
      </w:rPr>
    </w:lvl>
    <w:lvl w:ilvl="5" w:tplc="40090005" w:tentative="1">
      <w:start w:val="1"/>
      <w:numFmt w:val="bullet"/>
      <w:lvlText w:val=""/>
      <w:lvlJc w:val="left"/>
      <w:pPr>
        <w:ind w:left="4321" w:hanging="360"/>
      </w:pPr>
      <w:rPr>
        <w:rFonts w:ascii="Wingdings" w:hAnsi="Wingdings" w:hint="default"/>
      </w:rPr>
    </w:lvl>
    <w:lvl w:ilvl="6" w:tplc="40090001" w:tentative="1">
      <w:start w:val="1"/>
      <w:numFmt w:val="bullet"/>
      <w:lvlText w:val=""/>
      <w:lvlJc w:val="left"/>
      <w:pPr>
        <w:ind w:left="5041" w:hanging="360"/>
      </w:pPr>
      <w:rPr>
        <w:rFonts w:ascii="Symbol" w:hAnsi="Symbol" w:hint="default"/>
      </w:rPr>
    </w:lvl>
    <w:lvl w:ilvl="7" w:tplc="40090003" w:tentative="1">
      <w:start w:val="1"/>
      <w:numFmt w:val="bullet"/>
      <w:lvlText w:val="o"/>
      <w:lvlJc w:val="left"/>
      <w:pPr>
        <w:ind w:left="5761" w:hanging="360"/>
      </w:pPr>
      <w:rPr>
        <w:rFonts w:ascii="Courier New" w:hAnsi="Courier New" w:cs="Courier New" w:hint="default"/>
      </w:rPr>
    </w:lvl>
    <w:lvl w:ilvl="8" w:tplc="40090005" w:tentative="1">
      <w:start w:val="1"/>
      <w:numFmt w:val="bullet"/>
      <w:lvlText w:val=""/>
      <w:lvlJc w:val="left"/>
      <w:pPr>
        <w:ind w:left="6481" w:hanging="360"/>
      </w:pPr>
      <w:rPr>
        <w:rFonts w:ascii="Wingdings" w:hAnsi="Wingdings" w:hint="default"/>
      </w:rPr>
    </w:lvl>
  </w:abstractNum>
  <w:abstractNum w:abstractNumId="165" w15:restartNumberingAfterBreak="0">
    <w:nsid w:val="7FB517D6"/>
    <w:multiLevelType w:val="hybridMultilevel"/>
    <w:tmpl w:val="4216D836"/>
    <w:lvl w:ilvl="0" w:tplc="931AEB44">
      <w:start w:val="1"/>
      <w:numFmt w:val="lowerLetter"/>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num w:numId="1" w16cid:durableId="1120223942">
    <w:abstractNumId w:val="58"/>
  </w:num>
  <w:num w:numId="2" w16cid:durableId="1270350759">
    <w:abstractNumId w:val="48"/>
  </w:num>
  <w:num w:numId="3" w16cid:durableId="1063673233">
    <w:abstractNumId w:val="74"/>
  </w:num>
  <w:num w:numId="4" w16cid:durableId="1624077672">
    <w:abstractNumId w:val="15"/>
  </w:num>
  <w:num w:numId="5" w16cid:durableId="110590762">
    <w:abstractNumId w:val="83"/>
  </w:num>
  <w:num w:numId="6" w16cid:durableId="971130510">
    <w:abstractNumId w:val="92"/>
  </w:num>
  <w:num w:numId="7" w16cid:durableId="146126653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9251184">
    <w:abstractNumId w:val="149"/>
  </w:num>
  <w:num w:numId="9" w16cid:durableId="1976913197">
    <w:abstractNumId w:val="7"/>
  </w:num>
  <w:num w:numId="10" w16cid:durableId="2057123334">
    <w:abstractNumId w:val="4"/>
  </w:num>
  <w:num w:numId="11" w16cid:durableId="1018585924">
    <w:abstractNumId w:val="34"/>
  </w:num>
  <w:num w:numId="12" w16cid:durableId="2142723353">
    <w:abstractNumId w:val="20"/>
  </w:num>
  <w:num w:numId="13" w16cid:durableId="1244726194">
    <w:abstractNumId w:val="58"/>
  </w:num>
  <w:num w:numId="14" w16cid:durableId="750739662">
    <w:abstractNumId w:val="31"/>
  </w:num>
  <w:num w:numId="15" w16cid:durableId="967902315">
    <w:abstractNumId w:val="88"/>
  </w:num>
  <w:num w:numId="16" w16cid:durableId="1275214855">
    <w:abstractNumId w:val="49"/>
  </w:num>
  <w:num w:numId="17" w16cid:durableId="1324119130">
    <w:abstractNumId w:val="78"/>
  </w:num>
  <w:num w:numId="18" w16cid:durableId="658729571">
    <w:abstractNumId w:val="134"/>
  </w:num>
  <w:num w:numId="19" w16cid:durableId="189875005">
    <w:abstractNumId w:val="140"/>
  </w:num>
  <w:num w:numId="20" w16cid:durableId="1118648236">
    <w:abstractNumId w:val="128"/>
  </w:num>
  <w:num w:numId="21" w16cid:durableId="1403337350">
    <w:abstractNumId w:val="66"/>
  </w:num>
  <w:num w:numId="22" w16cid:durableId="904220530">
    <w:abstractNumId w:val="126"/>
  </w:num>
  <w:num w:numId="23" w16cid:durableId="1345864494">
    <w:abstractNumId w:val="98"/>
  </w:num>
  <w:num w:numId="24" w16cid:durableId="694841638">
    <w:abstractNumId w:val="58"/>
  </w:num>
  <w:num w:numId="25" w16cid:durableId="482430719">
    <w:abstractNumId w:val="58"/>
  </w:num>
  <w:num w:numId="26" w16cid:durableId="1488133475">
    <w:abstractNumId w:val="98"/>
  </w:num>
  <w:num w:numId="27" w16cid:durableId="1244605722">
    <w:abstractNumId w:val="161"/>
  </w:num>
  <w:num w:numId="28" w16cid:durableId="1121997404">
    <w:abstractNumId w:val="85"/>
  </w:num>
  <w:num w:numId="29" w16cid:durableId="873006615">
    <w:abstractNumId w:val="158"/>
  </w:num>
  <w:num w:numId="30" w16cid:durableId="324167113">
    <w:abstractNumId w:val="86"/>
  </w:num>
  <w:num w:numId="31" w16cid:durableId="426124691">
    <w:abstractNumId w:val="146"/>
  </w:num>
  <w:num w:numId="32" w16cid:durableId="1551458539">
    <w:abstractNumId w:val="144"/>
  </w:num>
  <w:num w:numId="33" w16cid:durableId="895118540">
    <w:abstractNumId w:val="25"/>
  </w:num>
  <w:num w:numId="34" w16cid:durableId="1819228809">
    <w:abstractNumId w:val="105"/>
  </w:num>
  <w:num w:numId="35" w16cid:durableId="2072607204">
    <w:abstractNumId w:val="52"/>
  </w:num>
  <w:num w:numId="36" w16cid:durableId="189345569">
    <w:abstractNumId w:val="46"/>
  </w:num>
  <w:num w:numId="37" w16cid:durableId="1577283337">
    <w:abstractNumId w:val="67"/>
  </w:num>
  <w:num w:numId="38" w16cid:durableId="1476485007">
    <w:abstractNumId w:val="47"/>
  </w:num>
  <w:num w:numId="39" w16cid:durableId="289871485">
    <w:abstractNumId w:val="36"/>
  </w:num>
  <w:num w:numId="40" w16cid:durableId="352803072">
    <w:abstractNumId w:val="53"/>
  </w:num>
  <w:num w:numId="41" w16cid:durableId="111751376">
    <w:abstractNumId w:val="77"/>
  </w:num>
  <w:num w:numId="42" w16cid:durableId="1361122767">
    <w:abstractNumId w:val="121"/>
  </w:num>
  <w:num w:numId="43" w16cid:durableId="2000187052">
    <w:abstractNumId w:val="164"/>
  </w:num>
  <w:num w:numId="44" w16cid:durableId="205876215">
    <w:abstractNumId w:val="73"/>
  </w:num>
  <w:num w:numId="45" w16cid:durableId="1316182714">
    <w:abstractNumId w:val="61"/>
  </w:num>
  <w:num w:numId="46" w16cid:durableId="1360006518">
    <w:abstractNumId w:val="16"/>
  </w:num>
  <w:num w:numId="47" w16cid:durableId="208759927">
    <w:abstractNumId w:val="99"/>
  </w:num>
  <w:num w:numId="48" w16cid:durableId="907426414">
    <w:abstractNumId w:val="51"/>
  </w:num>
  <w:num w:numId="49" w16cid:durableId="1939365575">
    <w:abstractNumId w:val="165"/>
  </w:num>
  <w:num w:numId="50" w16cid:durableId="1364869690">
    <w:abstractNumId w:val="155"/>
  </w:num>
  <w:num w:numId="51" w16cid:durableId="611283327">
    <w:abstractNumId w:val="114"/>
  </w:num>
  <w:num w:numId="52" w16cid:durableId="289015235">
    <w:abstractNumId w:val="111"/>
  </w:num>
  <w:num w:numId="53" w16cid:durableId="1176991431">
    <w:abstractNumId w:val="33"/>
  </w:num>
  <w:num w:numId="54" w16cid:durableId="1379941062">
    <w:abstractNumId w:val="10"/>
  </w:num>
  <w:num w:numId="55" w16cid:durableId="309552796">
    <w:abstractNumId w:val="9"/>
  </w:num>
  <w:num w:numId="56" w16cid:durableId="631322862">
    <w:abstractNumId w:val="133"/>
  </w:num>
  <w:num w:numId="57" w16cid:durableId="864513185">
    <w:abstractNumId w:val="106"/>
  </w:num>
  <w:num w:numId="58" w16cid:durableId="407965431">
    <w:abstractNumId w:val="1"/>
  </w:num>
  <w:num w:numId="59" w16cid:durableId="1440763001">
    <w:abstractNumId w:val="6"/>
  </w:num>
  <w:num w:numId="60" w16cid:durableId="778794223">
    <w:abstractNumId w:val="125"/>
  </w:num>
  <w:num w:numId="61" w16cid:durableId="1866282760">
    <w:abstractNumId w:val="50"/>
  </w:num>
  <w:num w:numId="62" w16cid:durableId="1753700329">
    <w:abstractNumId w:val="12"/>
  </w:num>
  <w:num w:numId="63" w16cid:durableId="1829980435">
    <w:abstractNumId w:val="145"/>
  </w:num>
  <w:num w:numId="64" w16cid:durableId="1849975698">
    <w:abstractNumId w:val="90"/>
  </w:num>
  <w:num w:numId="65" w16cid:durableId="962423322">
    <w:abstractNumId w:val="138"/>
  </w:num>
  <w:num w:numId="66" w16cid:durableId="445856602">
    <w:abstractNumId w:val="163"/>
  </w:num>
  <w:num w:numId="67" w16cid:durableId="1615864742">
    <w:abstractNumId w:val="118"/>
  </w:num>
  <w:num w:numId="68" w16cid:durableId="625887945">
    <w:abstractNumId w:val="113"/>
  </w:num>
  <w:num w:numId="69" w16cid:durableId="1763405534">
    <w:abstractNumId w:val="154"/>
  </w:num>
  <w:num w:numId="70" w16cid:durableId="2067802331">
    <w:abstractNumId w:val="71"/>
  </w:num>
  <w:num w:numId="71" w16cid:durableId="805510367">
    <w:abstractNumId w:val="101"/>
  </w:num>
  <w:num w:numId="72" w16cid:durableId="328557986">
    <w:abstractNumId w:val="91"/>
  </w:num>
  <w:num w:numId="73" w16cid:durableId="89670288">
    <w:abstractNumId w:val="89"/>
  </w:num>
  <w:num w:numId="74" w16cid:durableId="120533874">
    <w:abstractNumId w:val="100"/>
  </w:num>
  <w:num w:numId="75" w16cid:durableId="1957328618">
    <w:abstractNumId w:val="68"/>
  </w:num>
  <w:num w:numId="76" w16cid:durableId="796334123">
    <w:abstractNumId w:val="122"/>
  </w:num>
  <w:num w:numId="77" w16cid:durableId="706367518">
    <w:abstractNumId w:val="39"/>
  </w:num>
  <w:num w:numId="78" w16cid:durableId="594872378">
    <w:abstractNumId w:val="63"/>
  </w:num>
  <w:num w:numId="79" w16cid:durableId="530412158">
    <w:abstractNumId w:val="43"/>
  </w:num>
  <w:num w:numId="80" w16cid:durableId="601764086">
    <w:abstractNumId w:val="162"/>
  </w:num>
  <w:num w:numId="81" w16cid:durableId="856818197">
    <w:abstractNumId w:val="159"/>
  </w:num>
  <w:num w:numId="82" w16cid:durableId="523907515">
    <w:abstractNumId w:val="40"/>
  </w:num>
  <w:num w:numId="83" w16cid:durableId="1781950066">
    <w:abstractNumId w:val="142"/>
  </w:num>
  <w:num w:numId="84" w16cid:durableId="1141966682">
    <w:abstractNumId w:val="81"/>
  </w:num>
  <w:num w:numId="85" w16cid:durableId="1576936522">
    <w:abstractNumId w:val="141"/>
  </w:num>
  <w:num w:numId="86" w16cid:durableId="1530096124">
    <w:abstractNumId w:val="19"/>
  </w:num>
  <w:num w:numId="87" w16cid:durableId="1467427171">
    <w:abstractNumId w:val="151"/>
  </w:num>
  <w:num w:numId="88" w16cid:durableId="2059091304">
    <w:abstractNumId w:val="95"/>
  </w:num>
  <w:num w:numId="89" w16cid:durableId="2072121102">
    <w:abstractNumId w:val="87"/>
  </w:num>
  <w:num w:numId="90" w16cid:durableId="1301691530">
    <w:abstractNumId w:val="94"/>
  </w:num>
  <w:num w:numId="91" w16cid:durableId="428044220">
    <w:abstractNumId w:val="107"/>
  </w:num>
  <w:num w:numId="92" w16cid:durableId="762073099">
    <w:abstractNumId w:val="17"/>
  </w:num>
  <w:num w:numId="93" w16cid:durableId="1156844001">
    <w:abstractNumId w:val="65"/>
  </w:num>
  <w:num w:numId="94" w16cid:durableId="231938375">
    <w:abstractNumId w:val="24"/>
  </w:num>
  <w:num w:numId="95" w16cid:durableId="263536248">
    <w:abstractNumId w:val="137"/>
  </w:num>
  <w:num w:numId="96" w16cid:durableId="217982389">
    <w:abstractNumId w:val="124"/>
  </w:num>
  <w:num w:numId="97" w16cid:durableId="901527794">
    <w:abstractNumId w:val="108"/>
  </w:num>
  <w:num w:numId="98" w16cid:durableId="22479654">
    <w:abstractNumId w:val="8"/>
  </w:num>
  <w:num w:numId="99" w16cid:durableId="1193303408">
    <w:abstractNumId w:val="35"/>
  </w:num>
  <w:num w:numId="100" w16cid:durableId="1854564067">
    <w:abstractNumId w:val="123"/>
  </w:num>
  <w:num w:numId="101" w16cid:durableId="706108054">
    <w:abstractNumId w:val="147"/>
  </w:num>
  <w:num w:numId="102" w16cid:durableId="1021325130">
    <w:abstractNumId w:val="64"/>
  </w:num>
  <w:num w:numId="103" w16cid:durableId="2066181000">
    <w:abstractNumId w:val="72"/>
  </w:num>
  <w:num w:numId="104" w16cid:durableId="1450512051">
    <w:abstractNumId w:val="57"/>
  </w:num>
  <w:num w:numId="105" w16cid:durableId="1304852330">
    <w:abstractNumId w:val="119"/>
  </w:num>
  <w:num w:numId="106" w16cid:durableId="2128233107">
    <w:abstractNumId w:val="84"/>
  </w:num>
  <w:num w:numId="107" w16cid:durableId="328679399">
    <w:abstractNumId w:val="42"/>
  </w:num>
  <w:num w:numId="108" w16cid:durableId="214977344">
    <w:abstractNumId w:val="27"/>
  </w:num>
  <w:num w:numId="109" w16cid:durableId="2080400374">
    <w:abstractNumId w:val="41"/>
  </w:num>
  <w:num w:numId="110" w16cid:durableId="978412816">
    <w:abstractNumId w:val="127"/>
  </w:num>
  <w:num w:numId="111" w16cid:durableId="1431509569">
    <w:abstractNumId w:val="136"/>
  </w:num>
  <w:num w:numId="112" w16cid:durableId="1664310501">
    <w:abstractNumId w:val="153"/>
  </w:num>
  <w:num w:numId="113" w16cid:durableId="1182084627">
    <w:abstractNumId w:val="56"/>
  </w:num>
  <w:num w:numId="114" w16cid:durableId="1424103664">
    <w:abstractNumId w:val="143"/>
  </w:num>
  <w:num w:numId="115" w16cid:durableId="88806">
    <w:abstractNumId w:val="150"/>
  </w:num>
  <w:num w:numId="116" w16cid:durableId="65348410">
    <w:abstractNumId w:val="37"/>
  </w:num>
  <w:num w:numId="117" w16cid:durableId="1168786114">
    <w:abstractNumId w:val="59"/>
  </w:num>
  <w:num w:numId="118" w16cid:durableId="1930962662">
    <w:abstractNumId w:val="29"/>
  </w:num>
  <w:num w:numId="119" w16cid:durableId="1454400925">
    <w:abstractNumId w:val="157"/>
  </w:num>
  <w:num w:numId="120" w16cid:durableId="55318383">
    <w:abstractNumId w:val="18"/>
  </w:num>
  <w:num w:numId="121" w16cid:durableId="1260873026">
    <w:abstractNumId w:val="131"/>
  </w:num>
  <w:num w:numId="122" w16cid:durableId="1697999939">
    <w:abstractNumId w:val="14"/>
  </w:num>
  <w:num w:numId="123" w16cid:durableId="1207721732">
    <w:abstractNumId w:val="148"/>
  </w:num>
  <w:num w:numId="124" w16cid:durableId="1134560673">
    <w:abstractNumId w:val="60"/>
  </w:num>
  <w:num w:numId="125" w16cid:durableId="177350733">
    <w:abstractNumId w:val="109"/>
  </w:num>
  <w:num w:numId="126" w16cid:durableId="2111242861">
    <w:abstractNumId w:val="75"/>
  </w:num>
  <w:num w:numId="127" w16cid:durableId="1117674301">
    <w:abstractNumId w:val="2"/>
  </w:num>
  <w:num w:numId="128" w16cid:durableId="1977296602">
    <w:abstractNumId w:val="69"/>
  </w:num>
  <w:num w:numId="129" w16cid:durableId="449931337">
    <w:abstractNumId w:val="22"/>
  </w:num>
  <w:num w:numId="130" w16cid:durableId="793789351">
    <w:abstractNumId w:val="30"/>
  </w:num>
  <w:num w:numId="131" w16cid:durableId="1418597469">
    <w:abstractNumId w:val="26"/>
  </w:num>
  <w:num w:numId="132" w16cid:durableId="1007906358">
    <w:abstractNumId w:val="93"/>
  </w:num>
  <w:num w:numId="133" w16cid:durableId="1013458431">
    <w:abstractNumId w:val="102"/>
  </w:num>
  <w:num w:numId="134" w16cid:durableId="234097173">
    <w:abstractNumId w:val="28"/>
  </w:num>
  <w:num w:numId="135" w16cid:durableId="1728528824">
    <w:abstractNumId w:val="3"/>
  </w:num>
  <w:num w:numId="136" w16cid:durableId="1298947589">
    <w:abstractNumId w:val="82"/>
  </w:num>
  <w:num w:numId="137" w16cid:durableId="1359358967">
    <w:abstractNumId w:val="129"/>
  </w:num>
  <w:num w:numId="138" w16cid:durableId="1794864469">
    <w:abstractNumId w:val="152"/>
  </w:num>
  <w:num w:numId="139" w16cid:durableId="913853800">
    <w:abstractNumId w:val="13"/>
  </w:num>
  <w:num w:numId="140" w16cid:durableId="2023118009">
    <w:abstractNumId w:val="38"/>
  </w:num>
  <w:num w:numId="141" w16cid:durableId="795568142">
    <w:abstractNumId w:val="76"/>
  </w:num>
  <w:num w:numId="142" w16cid:durableId="794637611">
    <w:abstractNumId w:val="55"/>
  </w:num>
  <w:num w:numId="143" w16cid:durableId="261692465">
    <w:abstractNumId w:val="32"/>
  </w:num>
  <w:num w:numId="144" w16cid:durableId="100535502">
    <w:abstractNumId w:val="0"/>
  </w:num>
  <w:num w:numId="145" w16cid:durableId="866525428">
    <w:abstractNumId w:val="135"/>
  </w:num>
  <w:num w:numId="146" w16cid:durableId="1806585204">
    <w:abstractNumId w:val="117"/>
  </w:num>
  <w:num w:numId="147" w16cid:durableId="145511965">
    <w:abstractNumId w:val="130"/>
  </w:num>
  <w:num w:numId="148" w16cid:durableId="1751270460">
    <w:abstractNumId w:val="156"/>
  </w:num>
  <w:num w:numId="149" w16cid:durableId="186716182">
    <w:abstractNumId w:val="23"/>
  </w:num>
  <w:num w:numId="150" w16cid:durableId="148532066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79393598">
    <w:abstractNumId w:val="104"/>
  </w:num>
  <w:num w:numId="152" w16cid:durableId="1192107211">
    <w:abstractNumId w:val="112"/>
  </w:num>
  <w:num w:numId="153" w16cid:durableId="233439835">
    <w:abstractNumId w:val="97"/>
  </w:num>
  <w:num w:numId="154" w16cid:durableId="69936918">
    <w:abstractNumId w:val="62"/>
  </w:num>
  <w:num w:numId="155" w16cid:durableId="489713701">
    <w:abstractNumId w:val="5"/>
  </w:num>
  <w:num w:numId="156" w16cid:durableId="634023922">
    <w:abstractNumId w:val="120"/>
  </w:num>
  <w:num w:numId="157" w16cid:durableId="1653947876">
    <w:abstractNumId w:val="54"/>
  </w:num>
  <w:num w:numId="158" w16cid:durableId="1511408382">
    <w:abstractNumId w:val="103"/>
  </w:num>
  <w:num w:numId="159" w16cid:durableId="1121025158">
    <w:abstractNumId w:val="139"/>
  </w:num>
  <w:num w:numId="160" w16cid:durableId="1019895565">
    <w:abstractNumId w:val="79"/>
  </w:num>
  <w:num w:numId="161" w16cid:durableId="1199395270">
    <w:abstractNumId w:val="21"/>
  </w:num>
  <w:num w:numId="162" w16cid:durableId="1501850075">
    <w:abstractNumId w:val="110"/>
  </w:num>
  <w:num w:numId="163" w16cid:durableId="1403061935">
    <w:abstractNumId w:val="45"/>
  </w:num>
  <w:num w:numId="164" w16cid:durableId="1964387739">
    <w:abstractNumId w:val="70"/>
  </w:num>
  <w:num w:numId="165" w16cid:durableId="1189563425">
    <w:abstractNumId w:val="115"/>
  </w:num>
  <w:num w:numId="166" w16cid:durableId="1072044873">
    <w:abstractNumId w:val="160"/>
  </w:num>
  <w:num w:numId="167" w16cid:durableId="1017195554">
    <w:abstractNumId w:val="116"/>
  </w:num>
  <w:num w:numId="168" w16cid:durableId="2091390197">
    <w:abstractNumId w:val="44"/>
  </w:num>
  <w:num w:numId="169" w16cid:durableId="1077480721">
    <w:abstractNumId w:val="11"/>
  </w:num>
  <w:num w:numId="170" w16cid:durableId="2054647847">
    <w:abstractNumId w:val="96"/>
  </w:num>
  <w:num w:numId="171" w16cid:durableId="73678461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5B8"/>
    <w:rsid w:val="00000159"/>
    <w:rsid w:val="00000186"/>
    <w:rsid w:val="000002C8"/>
    <w:rsid w:val="0000062B"/>
    <w:rsid w:val="00000CA2"/>
    <w:rsid w:val="00001017"/>
    <w:rsid w:val="000013E1"/>
    <w:rsid w:val="00001F82"/>
    <w:rsid w:val="00002213"/>
    <w:rsid w:val="00002AA7"/>
    <w:rsid w:val="0000352E"/>
    <w:rsid w:val="00003656"/>
    <w:rsid w:val="0000371F"/>
    <w:rsid w:val="000040A2"/>
    <w:rsid w:val="00004CED"/>
    <w:rsid w:val="00005011"/>
    <w:rsid w:val="0000510A"/>
    <w:rsid w:val="0000515D"/>
    <w:rsid w:val="00005540"/>
    <w:rsid w:val="00005590"/>
    <w:rsid w:val="000055B5"/>
    <w:rsid w:val="00005766"/>
    <w:rsid w:val="000058F9"/>
    <w:rsid w:val="00005947"/>
    <w:rsid w:val="00005BC1"/>
    <w:rsid w:val="000064CF"/>
    <w:rsid w:val="000065CC"/>
    <w:rsid w:val="00006C9C"/>
    <w:rsid w:val="00007B55"/>
    <w:rsid w:val="00007CBE"/>
    <w:rsid w:val="00010584"/>
    <w:rsid w:val="00010E29"/>
    <w:rsid w:val="000113AB"/>
    <w:rsid w:val="000116C4"/>
    <w:rsid w:val="00011864"/>
    <w:rsid w:val="00011CA0"/>
    <w:rsid w:val="0001227E"/>
    <w:rsid w:val="0001260B"/>
    <w:rsid w:val="00012C34"/>
    <w:rsid w:val="00012CBF"/>
    <w:rsid w:val="0001317F"/>
    <w:rsid w:val="00013D43"/>
    <w:rsid w:val="00013E00"/>
    <w:rsid w:val="00013E7C"/>
    <w:rsid w:val="00014A3F"/>
    <w:rsid w:val="00014EB3"/>
    <w:rsid w:val="0001511F"/>
    <w:rsid w:val="000151A9"/>
    <w:rsid w:val="00015DA1"/>
    <w:rsid w:val="00016C00"/>
    <w:rsid w:val="00016DDC"/>
    <w:rsid w:val="00016DF0"/>
    <w:rsid w:val="00016F40"/>
    <w:rsid w:val="000211B2"/>
    <w:rsid w:val="0002139D"/>
    <w:rsid w:val="0002193F"/>
    <w:rsid w:val="000223AC"/>
    <w:rsid w:val="0002259B"/>
    <w:rsid w:val="0002281A"/>
    <w:rsid w:val="00022D9A"/>
    <w:rsid w:val="00022F7A"/>
    <w:rsid w:val="00023512"/>
    <w:rsid w:val="00023C55"/>
    <w:rsid w:val="00024220"/>
    <w:rsid w:val="00024940"/>
    <w:rsid w:val="00024D03"/>
    <w:rsid w:val="00025DA7"/>
    <w:rsid w:val="00025EC3"/>
    <w:rsid w:val="00026264"/>
    <w:rsid w:val="000263FC"/>
    <w:rsid w:val="00026498"/>
    <w:rsid w:val="00026776"/>
    <w:rsid w:val="00026827"/>
    <w:rsid w:val="00026AC5"/>
    <w:rsid w:val="00026C39"/>
    <w:rsid w:val="00027D31"/>
    <w:rsid w:val="000303DF"/>
    <w:rsid w:val="0003044D"/>
    <w:rsid w:val="00030922"/>
    <w:rsid w:val="000311FE"/>
    <w:rsid w:val="00031644"/>
    <w:rsid w:val="000325C7"/>
    <w:rsid w:val="00032700"/>
    <w:rsid w:val="00032BF3"/>
    <w:rsid w:val="00032DDB"/>
    <w:rsid w:val="0003336A"/>
    <w:rsid w:val="00033451"/>
    <w:rsid w:val="00033A81"/>
    <w:rsid w:val="00033F7C"/>
    <w:rsid w:val="00033FA0"/>
    <w:rsid w:val="00034A61"/>
    <w:rsid w:val="00034ED9"/>
    <w:rsid w:val="00035CC4"/>
    <w:rsid w:val="00036273"/>
    <w:rsid w:val="000364EA"/>
    <w:rsid w:val="00036600"/>
    <w:rsid w:val="00036834"/>
    <w:rsid w:val="00037578"/>
    <w:rsid w:val="0004072A"/>
    <w:rsid w:val="00040AC4"/>
    <w:rsid w:val="00040F0E"/>
    <w:rsid w:val="000410C9"/>
    <w:rsid w:val="0004114E"/>
    <w:rsid w:val="000414B8"/>
    <w:rsid w:val="00041D01"/>
    <w:rsid w:val="000424D5"/>
    <w:rsid w:val="000427E0"/>
    <w:rsid w:val="0004328E"/>
    <w:rsid w:val="00043345"/>
    <w:rsid w:val="00043376"/>
    <w:rsid w:val="000438E2"/>
    <w:rsid w:val="000443FC"/>
    <w:rsid w:val="00044726"/>
    <w:rsid w:val="00044D2A"/>
    <w:rsid w:val="00044F90"/>
    <w:rsid w:val="0004528D"/>
    <w:rsid w:val="00045441"/>
    <w:rsid w:val="000457BF"/>
    <w:rsid w:val="00045C62"/>
    <w:rsid w:val="0004602B"/>
    <w:rsid w:val="0004622C"/>
    <w:rsid w:val="0004689A"/>
    <w:rsid w:val="0004694B"/>
    <w:rsid w:val="00046F56"/>
    <w:rsid w:val="000474A6"/>
    <w:rsid w:val="0005023F"/>
    <w:rsid w:val="000512D8"/>
    <w:rsid w:val="00051612"/>
    <w:rsid w:val="0005189E"/>
    <w:rsid w:val="00052103"/>
    <w:rsid w:val="00052408"/>
    <w:rsid w:val="000526AB"/>
    <w:rsid w:val="00053F58"/>
    <w:rsid w:val="000547E6"/>
    <w:rsid w:val="00054836"/>
    <w:rsid w:val="00054C35"/>
    <w:rsid w:val="00054D98"/>
    <w:rsid w:val="00054E0F"/>
    <w:rsid w:val="0005506D"/>
    <w:rsid w:val="00055677"/>
    <w:rsid w:val="000556BD"/>
    <w:rsid w:val="00055C11"/>
    <w:rsid w:val="00056042"/>
    <w:rsid w:val="000560FD"/>
    <w:rsid w:val="00056CFC"/>
    <w:rsid w:val="000576CC"/>
    <w:rsid w:val="00057985"/>
    <w:rsid w:val="00057BB2"/>
    <w:rsid w:val="00057E06"/>
    <w:rsid w:val="00060041"/>
    <w:rsid w:val="00060666"/>
    <w:rsid w:val="00060913"/>
    <w:rsid w:val="00060CDC"/>
    <w:rsid w:val="000616FC"/>
    <w:rsid w:val="00061A1F"/>
    <w:rsid w:val="000620F6"/>
    <w:rsid w:val="00062524"/>
    <w:rsid w:val="00062E23"/>
    <w:rsid w:val="00063A0E"/>
    <w:rsid w:val="00063E79"/>
    <w:rsid w:val="000640AC"/>
    <w:rsid w:val="000640D0"/>
    <w:rsid w:val="00064305"/>
    <w:rsid w:val="00065438"/>
    <w:rsid w:val="0006550D"/>
    <w:rsid w:val="000656F6"/>
    <w:rsid w:val="00066517"/>
    <w:rsid w:val="00066A81"/>
    <w:rsid w:val="00066E3A"/>
    <w:rsid w:val="0006724A"/>
    <w:rsid w:val="00067AD5"/>
    <w:rsid w:val="00067C44"/>
    <w:rsid w:val="00070A49"/>
    <w:rsid w:val="00070D46"/>
    <w:rsid w:val="00070F57"/>
    <w:rsid w:val="00071084"/>
    <w:rsid w:val="00071257"/>
    <w:rsid w:val="00071678"/>
    <w:rsid w:val="000717D8"/>
    <w:rsid w:val="00071D00"/>
    <w:rsid w:val="00071E80"/>
    <w:rsid w:val="00072C49"/>
    <w:rsid w:val="0007331B"/>
    <w:rsid w:val="000733BB"/>
    <w:rsid w:val="00073805"/>
    <w:rsid w:val="00074226"/>
    <w:rsid w:val="000749F8"/>
    <w:rsid w:val="0007546B"/>
    <w:rsid w:val="00075B79"/>
    <w:rsid w:val="00075D8E"/>
    <w:rsid w:val="00075DD0"/>
    <w:rsid w:val="000760CC"/>
    <w:rsid w:val="00076653"/>
    <w:rsid w:val="00076687"/>
    <w:rsid w:val="00076869"/>
    <w:rsid w:val="000768DA"/>
    <w:rsid w:val="000769A7"/>
    <w:rsid w:val="00076FA5"/>
    <w:rsid w:val="0007739A"/>
    <w:rsid w:val="00077E7B"/>
    <w:rsid w:val="00077ED2"/>
    <w:rsid w:val="000808F9"/>
    <w:rsid w:val="00080A2D"/>
    <w:rsid w:val="00080BC7"/>
    <w:rsid w:val="00080C94"/>
    <w:rsid w:val="00081660"/>
    <w:rsid w:val="00081722"/>
    <w:rsid w:val="00081886"/>
    <w:rsid w:val="00082697"/>
    <w:rsid w:val="0008373D"/>
    <w:rsid w:val="000837A8"/>
    <w:rsid w:val="000844E4"/>
    <w:rsid w:val="00084700"/>
    <w:rsid w:val="000849A6"/>
    <w:rsid w:val="000849AE"/>
    <w:rsid w:val="00084B9F"/>
    <w:rsid w:val="00085908"/>
    <w:rsid w:val="00086002"/>
    <w:rsid w:val="000866DD"/>
    <w:rsid w:val="000868D5"/>
    <w:rsid w:val="00086CB6"/>
    <w:rsid w:val="0008710B"/>
    <w:rsid w:val="00087165"/>
    <w:rsid w:val="00087DF7"/>
    <w:rsid w:val="00087E15"/>
    <w:rsid w:val="000901B1"/>
    <w:rsid w:val="00090512"/>
    <w:rsid w:val="00090BC2"/>
    <w:rsid w:val="00090EBE"/>
    <w:rsid w:val="00091E1F"/>
    <w:rsid w:val="00091FA4"/>
    <w:rsid w:val="00092791"/>
    <w:rsid w:val="00092B22"/>
    <w:rsid w:val="00092EAC"/>
    <w:rsid w:val="00093157"/>
    <w:rsid w:val="000932E0"/>
    <w:rsid w:val="00093310"/>
    <w:rsid w:val="00094926"/>
    <w:rsid w:val="00094EB4"/>
    <w:rsid w:val="000953BD"/>
    <w:rsid w:val="00096356"/>
    <w:rsid w:val="00096426"/>
    <w:rsid w:val="00096B02"/>
    <w:rsid w:val="000971F7"/>
    <w:rsid w:val="0009740A"/>
    <w:rsid w:val="000A0500"/>
    <w:rsid w:val="000A05C1"/>
    <w:rsid w:val="000A09B5"/>
    <w:rsid w:val="000A1A2C"/>
    <w:rsid w:val="000A244D"/>
    <w:rsid w:val="000A2641"/>
    <w:rsid w:val="000A2CD6"/>
    <w:rsid w:val="000A2ED2"/>
    <w:rsid w:val="000A2FDD"/>
    <w:rsid w:val="000A3211"/>
    <w:rsid w:val="000A3E36"/>
    <w:rsid w:val="000A3EF7"/>
    <w:rsid w:val="000A3FCB"/>
    <w:rsid w:val="000A452D"/>
    <w:rsid w:val="000A50FA"/>
    <w:rsid w:val="000A5184"/>
    <w:rsid w:val="000A533C"/>
    <w:rsid w:val="000A5A38"/>
    <w:rsid w:val="000A5BDA"/>
    <w:rsid w:val="000A5EF8"/>
    <w:rsid w:val="000A6C63"/>
    <w:rsid w:val="000A7778"/>
    <w:rsid w:val="000A77F2"/>
    <w:rsid w:val="000B0443"/>
    <w:rsid w:val="000B10AD"/>
    <w:rsid w:val="000B19A2"/>
    <w:rsid w:val="000B2074"/>
    <w:rsid w:val="000B2080"/>
    <w:rsid w:val="000B3084"/>
    <w:rsid w:val="000B3F53"/>
    <w:rsid w:val="000B521B"/>
    <w:rsid w:val="000B55C0"/>
    <w:rsid w:val="000B6679"/>
    <w:rsid w:val="000B6693"/>
    <w:rsid w:val="000B6B19"/>
    <w:rsid w:val="000B6BA0"/>
    <w:rsid w:val="000B729C"/>
    <w:rsid w:val="000B7D97"/>
    <w:rsid w:val="000B7DDC"/>
    <w:rsid w:val="000C02C9"/>
    <w:rsid w:val="000C075A"/>
    <w:rsid w:val="000C0A4C"/>
    <w:rsid w:val="000C0DE3"/>
    <w:rsid w:val="000C0EC1"/>
    <w:rsid w:val="000C1298"/>
    <w:rsid w:val="000C1326"/>
    <w:rsid w:val="000C1459"/>
    <w:rsid w:val="000C1465"/>
    <w:rsid w:val="000C154B"/>
    <w:rsid w:val="000C166C"/>
    <w:rsid w:val="000C1B6C"/>
    <w:rsid w:val="000C2727"/>
    <w:rsid w:val="000C2875"/>
    <w:rsid w:val="000C2920"/>
    <w:rsid w:val="000C2D9C"/>
    <w:rsid w:val="000C39C0"/>
    <w:rsid w:val="000C39D8"/>
    <w:rsid w:val="000C423E"/>
    <w:rsid w:val="000C4CD9"/>
    <w:rsid w:val="000C5AF1"/>
    <w:rsid w:val="000C5D27"/>
    <w:rsid w:val="000C6873"/>
    <w:rsid w:val="000C68E0"/>
    <w:rsid w:val="000C69DF"/>
    <w:rsid w:val="000C7172"/>
    <w:rsid w:val="000C71CB"/>
    <w:rsid w:val="000C738F"/>
    <w:rsid w:val="000C7735"/>
    <w:rsid w:val="000D0C10"/>
    <w:rsid w:val="000D154F"/>
    <w:rsid w:val="000D1967"/>
    <w:rsid w:val="000D2F9D"/>
    <w:rsid w:val="000D3AA8"/>
    <w:rsid w:val="000D3DBE"/>
    <w:rsid w:val="000D40E9"/>
    <w:rsid w:val="000D4316"/>
    <w:rsid w:val="000D5447"/>
    <w:rsid w:val="000D6528"/>
    <w:rsid w:val="000D6AE5"/>
    <w:rsid w:val="000D6D8A"/>
    <w:rsid w:val="000D6F5B"/>
    <w:rsid w:val="000D75C5"/>
    <w:rsid w:val="000D78B1"/>
    <w:rsid w:val="000D794F"/>
    <w:rsid w:val="000D7C84"/>
    <w:rsid w:val="000E089C"/>
    <w:rsid w:val="000E08CA"/>
    <w:rsid w:val="000E0CC1"/>
    <w:rsid w:val="000E0D12"/>
    <w:rsid w:val="000E1799"/>
    <w:rsid w:val="000E18E5"/>
    <w:rsid w:val="000E1B4B"/>
    <w:rsid w:val="000E1DCF"/>
    <w:rsid w:val="000E1E8F"/>
    <w:rsid w:val="000E1E9E"/>
    <w:rsid w:val="000E2223"/>
    <w:rsid w:val="000E246C"/>
    <w:rsid w:val="000E3098"/>
    <w:rsid w:val="000E3F05"/>
    <w:rsid w:val="000E407E"/>
    <w:rsid w:val="000E4157"/>
    <w:rsid w:val="000E4429"/>
    <w:rsid w:val="000E4DEA"/>
    <w:rsid w:val="000E572E"/>
    <w:rsid w:val="000E5736"/>
    <w:rsid w:val="000E5E81"/>
    <w:rsid w:val="000E5EA4"/>
    <w:rsid w:val="000E651F"/>
    <w:rsid w:val="000E6AE7"/>
    <w:rsid w:val="000E6B0C"/>
    <w:rsid w:val="000E6F1A"/>
    <w:rsid w:val="000E6FDC"/>
    <w:rsid w:val="000E7405"/>
    <w:rsid w:val="000E7685"/>
    <w:rsid w:val="000E7690"/>
    <w:rsid w:val="000E7F88"/>
    <w:rsid w:val="000F009F"/>
    <w:rsid w:val="000F0156"/>
    <w:rsid w:val="000F06FD"/>
    <w:rsid w:val="000F09EF"/>
    <w:rsid w:val="000F0C17"/>
    <w:rsid w:val="000F0F40"/>
    <w:rsid w:val="000F194A"/>
    <w:rsid w:val="000F27E8"/>
    <w:rsid w:val="000F32BA"/>
    <w:rsid w:val="000F3385"/>
    <w:rsid w:val="000F3E9E"/>
    <w:rsid w:val="000F47BA"/>
    <w:rsid w:val="000F4ACE"/>
    <w:rsid w:val="000F5249"/>
    <w:rsid w:val="000F55F7"/>
    <w:rsid w:val="000F6509"/>
    <w:rsid w:val="000F658D"/>
    <w:rsid w:val="000F675D"/>
    <w:rsid w:val="000F6926"/>
    <w:rsid w:val="000F7C79"/>
    <w:rsid w:val="000F7D76"/>
    <w:rsid w:val="00100143"/>
    <w:rsid w:val="00100692"/>
    <w:rsid w:val="001009BB"/>
    <w:rsid w:val="00100C5E"/>
    <w:rsid w:val="00102331"/>
    <w:rsid w:val="00102AE2"/>
    <w:rsid w:val="00103F33"/>
    <w:rsid w:val="0010400E"/>
    <w:rsid w:val="001040FA"/>
    <w:rsid w:val="00104950"/>
    <w:rsid w:val="00105650"/>
    <w:rsid w:val="001058D0"/>
    <w:rsid w:val="00105E45"/>
    <w:rsid w:val="00106503"/>
    <w:rsid w:val="001065A5"/>
    <w:rsid w:val="00106986"/>
    <w:rsid w:val="00106F2B"/>
    <w:rsid w:val="00107148"/>
    <w:rsid w:val="001078B7"/>
    <w:rsid w:val="00111CE1"/>
    <w:rsid w:val="00111F94"/>
    <w:rsid w:val="00112B1C"/>
    <w:rsid w:val="00113A10"/>
    <w:rsid w:val="00113F68"/>
    <w:rsid w:val="001142B5"/>
    <w:rsid w:val="00114583"/>
    <w:rsid w:val="00114790"/>
    <w:rsid w:val="00114AE6"/>
    <w:rsid w:val="00114AFA"/>
    <w:rsid w:val="00114ECD"/>
    <w:rsid w:val="00114FE6"/>
    <w:rsid w:val="00115047"/>
    <w:rsid w:val="001157FE"/>
    <w:rsid w:val="00115E01"/>
    <w:rsid w:val="001173E4"/>
    <w:rsid w:val="00117CF2"/>
    <w:rsid w:val="001200BC"/>
    <w:rsid w:val="00121B44"/>
    <w:rsid w:val="001223F2"/>
    <w:rsid w:val="00122C93"/>
    <w:rsid w:val="00122DE7"/>
    <w:rsid w:val="00122DF3"/>
    <w:rsid w:val="00122E39"/>
    <w:rsid w:val="00122FF7"/>
    <w:rsid w:val="00123110"/>
    <w:rsid w:val="00123E1E"/>
    <w:rsid w:val="001240CB"/>
    <w:rsid w:val="0012434F"/>
    <w:rsid w:val="0012448F"/>
    <w:rsid w:val="001248AC"/>
    <w:rsid w:val="00124A1C"/>
    <w:rsid w:val="00124C7C"/>
    <w:rsid w:val="00125429"/>
    <w:rsid w:val="00125B52"/>
    <w:rsid w:val="00125DC9"/>
    <w:rsid w:val="00126139"/>
    <w:rsid w:val="00126629"/>
    <w:rsid w:val="0012704A"/>
    <w:rsid w:val="00127E90"/>
    <w:rsid w:val="00130CAA"/>
    <w:rsid w:val="00130D53"/>
    <w:rsid w:val="0013137A"/>
    <w:rsid w:val="001314D0"/>
    <w:rsid w:val="00131C42"/>
    <w:rsid w:val="001322B1"/>
    <w:rsid w:val="001325C8"/>
    <w:rsid w:val="00132607"/>
    <w:rsid w:val="00132A80"/>
    <w:rsid w:val="00132B14"/>
    <w:rsid w:val="00132B6B"/>
    <w:rsid w:val="00132FEF"/>
    <w:rsid w:val="00133016"/>
    <w:rsid w:val="0013321F"/>
    <w:rsid w:val="001338B8"/>
    <w:rsid w:val="00133A78"/>
    <w:rsid w:val="00133B58"/>
    <w:rsid w:val="00133CF4"/>
    <w:rsid w:val="00133DDC"/>
    <w:rsid w:val="00134239"/>
    <w:rsid w:val="00134593"/>
    <w:rsid w:val="00134ACC"/>
    <w:rsid w:val="001350DD"/>
    <w:rsid w:val="00135761"/>
    <w:rsid w:val="001359FE"/>
    <w:rsid w:val="00135BC6"/>
    <w:rsid w:val="00136324"/>
    <w:rsid w:val="00137B32"/>
    <w:rsid w:val="00137CC9"/>
    <w:rsid w:val="0014002F"/>
    <w:rsid w:val="0014007E"/>
    <w:rsid w:val="00140595"/>
    <w:rsid w:val="001415DA"/>
    <w:rsid w:val="00142C18"/>
    <w:rsid w:val="00142C6D"/>
    <w:rsid w:val="0014398F"/>
    <w:rsid w:val="00143C55"/>
    <w:rsid w:val="00143DCB"/>
    <w:rsid w:val="00143FAD"/>
    <w:rsid w:val="00144C26"/>
    <w:rsid w:val="001451EF"/>
    <w:rsid w:val="0014528A"/>
    <w:rsid w:val="00145411"/>
    <w:rsid w:val="001456EB"/>
    <w:rsid w:val="00145841"/>
    <w:rsid w:val="00145B62"/>
    <w:rsid w:val="001463F9"/>
    <w:rsid w:val="00146CCC"/>
    <w:rsid w:val="00146F13"/>
    <w:rsid w:val="001472AB"/>
    <w:rsid w:val="0014734F"/>
    <w:rsid w:val="00150B5D"/>
    <w:rsid w:val="00150ED3"/>
    <w:rsid w:val="00151895"/>
    <w:rsid w:val="00152591"/>
    <w:rsid w:val="0015283E"/>
    <w:rsid w:val="00153215"/>
    <w:rsid w:val="00153985"/>
    <w:rsid w:val="00153F1F"/>
    <w:rsid w:val="00154164"/>
    <w:rsid w:val="0015442C"/>
    <w:rsid w:val="00154749"/>
    <w:rsid w:val="00155099"/>
    <w:rsid w:val="001554EE"/>
    <w:rsid w:val="00155804"/>
    <w:rsid w:val="00155F28"/>
    <w:rsid w:val="00155F8B"/>
    <w:rsid w:val="001561D3"/>
    <w:rsid w:val="001563A4"/>
    <w:rsid w:val="001568D2"/>
    <w:rsid w:val="00156C3A"/>
    <w:rsid w:val="001573F7"/>
    <w:rsid w:val="00157645"/>
    <w:rsid w:val="00157BE9"/>
    <w:rsid w:val="00157DAF"/>
    <w:rsid w:val="001602F2"/>
    <w:rsid w:val="00160E6F"/>
    <w:rsid w:val="00161B9B"/>
    <w:rsid w:val="00161FC8"/>
    <w:rsid w:val="0016238E"/>
    <w:rsid w:val="00163936"/>
    <w:rsid w:val="0016414B"/>
    <w:rsid w:val="00164B45"/>
    <w:rsid w:val="001653B8"/>
    <w:rsid w:val="00165B5E"/>
    <w:rsid w:val="00165FBE"/>
    <w:rsid w:val="0016606E"/>
    <w:rsid w:val="0016651A"/>
    <w:rsid w:val="00166816"/>
    <w:rsid w:val="00167BDA"/>
    <w:rsid w:val="00167EB1"/>
    <w:rsid w:val="00167F49"/>
    <w:rsid w:val="00170671"/>
    <w:rsid w:val="00170783"/>
    <w:rsid w:val="00171042"/>
    <w:rsid w:val="00171289"/>
    <w:rsid w:val="001715ED"/>
    <w:rsid w:val="00171AFA"/>
    <w:rsid w:val="00171F94"/>
    <w:rsid w:val="00172155"/>
    <w:rsid w:val="00172242"/>
    <w:rsid w:val="001722F4"/>
    <w:rsid w:val="00172901"/>
    <w:rsid w:val="00173772"/>
    <w:rsid w:val="001737B4"/>
    <w:rsid w:val="0017398F"/>
    <w:rsid w:val="00176600"/>
    <w:rsid w:val="00176AC5"/>
    <w:rsid w:val="00176FDA"/>
    <w:rsid w:val="0017735F"/>
    <w:rsid w:val="0018032D"/>
    <w:rsid w:val="001806B4"/>
    <w:rsid w:val="00181A4A"/>
    <w:rsid w:val="00181A86"/>
    <w:rsid w:val="00181DAB"/>
    <w:rsid w:val="001824F5"/>
    <w:rsid w:val="0018261D"/>
    <w:rsid w:val="001828F1"/>
    <w:rsid w:val="00182D16"/>
    <w:rsid w:val="00182D7F"/>
    <w:rsid w:val="00182F41"/>
    <w:rsid w:val="00183343"/>
    <w:rsid w:val="001839AE"/>
    <w:rsid w:val="00183B4B"/>
    <w:rsid w:val="00183E99"/>
    <w:rsid w:val="001842D0"/>
    <w:rsid w:val="00184536"/>
    <w:rsid w:val="0018465C"/>
    <w:rsid w:val="00185578"/>
    <w:rsid w:val="00185EA9"/>
    <w:rsid w:val="001860BE"/>
    <w:rsid w:val="00186B29"/>
    <w:rsid w:val="0018700B"/>
    <w:rsid w:val="00187FC2"/>
    <w:rsid w:val="00191496"/>
    <w:rsid w:val="00191815"/>
    <w:rsid w:val="00191EFB"/>
    <w:rsid w:val="00192393"/>
    <w:rsid w:val="001925F4"/>
    <w:rsid w:val="001926C9"/>
    <w:rsid w:val="00192A44"/>
    <w:rsid w:val="00192ADB"/>
    <w:rsid w:val="00193896"/>
    <w:rsid w:val="00193F8D"/>
    <w:rsid w:val="001944BF"/>
    <w:rsid w:val="00195B2B"/>
    <w:rsid w:val="0019661F"/>
    <w:rsid w:val="001967E5"/>
    <w:rsid w:val="0019692F"/>
    <w:rsid w:val="00196BB7"/>
    <w:rsid w:val="00196C6B"/>
    <w:rsid w:val="00196D2B"/>
    <w:rsid w:val="00197193"/>
    <w:rsid w:val="00197577"/>
    <w:rsid w:val="00197A65"/>
    <w:rsid w:val="00197AFA"/>
    <w:rsid w:val="001A0439"/>
    <w:rsid w:val="001A0D74"/>
    <w:rsid w:val="001A1747"/>
    <w:rsid w:val="001A18C1"/>
    <w:rsid w:val="001A1E1E"/>
    <w:rsid w:val="001A1FBD"/>
    <w:rsid w:val="001A27D1"/>
    <w:rsid w:val="001A2C13"/>
    <w:rsid w:val="001A2EF7"/>
    <w:rsid w:val="001A4727"/>
    <w:rsid w:val="001A529C"/>
    <w:rsid w:val="001A549A"/>
    <w:rsid w:val="001A5D7F"/>
    <w:rsid w:val="001A6031"/>
    <w:rsid w:val="001A6093"/>
    <w:rsid w:val="001A7150"/>
    <w:rsid w:val="001A7369"/>
    <w:rsid w:val="001A7864"/>
    <w:rsid w:val="001A7956"/>
    <w:rsid w:val="001A7B07"/>
    <w:rsid w:val="001B0596"/>
    <w:rsid w:val="001B0BE4"/>
    <w:rsid w:val="001B0FF9"/>
    <w:rsid w:val="001B1484"/>
    <w:rsid w:val="001B1623"/>
    <w:rsid w:val="001B18C1"/>
    <w:rsid w:val="001B19C7"/>
    <w:rsid w:val="001B1EA4"/>
    <w:rsid w:val="001B1EB0"/>
    <w:rsid w:val="001B2264"/>
    <w:rsid w:val="001B2CBB"/>
    <w:rsid w:val="001B3272"/>
    <w:rsid w:val="001B39A7"/>
    <w:rsid w:val="001B41B6"/>
    <w:rsid w:val="001B431D"/>
    <w:rsid w:val="001B4581"/>
    <w:rsid w:val="001B45A7"/>
    <w:rsid w:val="001B47BB"/>
    <w:rsid w:val="001B4C01"/>
    <w:rsid w:val="001B575D"/>
    <w:rsid w:val="001B592E"/>
    <w:rsid w:val="001B61FA"/>
    <w:rsid w:val="001B7D83"/>
    <w:rsid w:val="001B7DCE"/>
    <w:rsid w:val="001C0016"/>
    <w:rsid w:val="001C11B9"/>
    <w:rsid w:val="001C194D"/>
    <w:rsid w:val="001C1C6C"/>
    <w:rsid w:val="001C2691"/>
    <w:rsid w:val="001C3729"/>
    <w:rsid w:val="001C373C"/>
    <w:rsid w:val="001C3E04"/>
    <w:rsid w:val="001C3E80"/>
    <w:rsid w:val="001C47AC"/>
    <w:rsid w:val="001C4ECD"/>
    <w:rsid w:val="001C5FA4"/>
    <w:rsid w:val="001C6F94"/>
    <w:rsid w:val="001C7399"/>
    <w:rsid w:val="001C73DF"/>
    <w:rsid w:val="001C74A4"/>
    <w:rsid w:val="001C7518"/>
    <w:rsid w:val="001C7BC7"/>
    <w:rsid w:val="001C7D68"/>
    <w:rsid w:val="001C7F6C"/>
    <w:rsid w:val="001D01F2"/>
    <w:rsid w:val="001D04F5"/>
    <w:rsid w:val="001D08A0"/>
    <w:rsid w:val="001D09A9"/>
    <w:rsid w:val="001D09FF"/>
    <w:rsid w:val="001D1C47"/>
    <w:rsid w:val="001D1C72"/>
    <w:rsid w:val="001D1E0C"/>
    <w:rsid w:val="001D2128"/>
    <w:rsid w:val="001D217F"/>
    <w:rsid w:val="001D245E"/>
    <w:rsid w:val="001D256D"/>
    <w:rsid w:val="001D3037"/>
    <w:rsid w:val="001D307A"/>
    <w:rsid w:val="001D3E0B"/>
    <w:rsid w:val="001D444F"/>
    <w:rsid w:val="001D4E73"/>
    <w:rsid w:val="001D4EC8"/>
    <w:rsid w:val="001D542B"/>
    <w:rsid w:val="001D5891"/>
    <w:rsid w:val="001D647D"/>
    <w:rsid w:val="001D6AB5"/>
    <w:rsid w:val="001D7241"/>
    <w:rsid w:val="001D748A"/>
    <w:rsid w:val="001E017C"/>
    <w:rsid w:val="001E02FE"/>
    <w:rsid w:val="001E03A8"/>
    <w:rsid w:val="001E076E"/>
    <w:rsid w:val="001E0C6E"/>
    <w:rsid w:val="001E12A7"/>
    <w:rsid w:val="001E1485"/>
    <w:rsid w:val="001E2285"/>
    <w:rsid w:val="001E24FF"/>
    <w:rsid w:val="001E3137"/>
    <w:rsid w:val="001E40ED"/>
    <w:rsid w:val="001E43FC"/>
    <w:rsid w:val="001E44A9"/>
    <w:rsid w:val="001E4FFF"/>
    <w:rsid w:val="001E5A58"/>
    <w:rsid w:val="001E5B41"/>
    <w:rsid w:val="001E605F"/>
    <w:rsid w:val="001E6325"/>
    <w:rsid w:val="001E734F"/>
    <w:rsid w:val="001E7527"/>
    <w:rsid w:val="001F06BB"/>
    <w:rsid w:val="001F08A6"/>
    <w:rsid w:val="001F08E9"/>
    <w:rsid w:val="001F0C8F"/>
    <w:rsid w:val="001F10FD"/>
    <w:rsid w:val="001F12E2"/>
    <w:rsid w:val="001F13C6"/>
    <w:rsid w:val="001F151F"/>
    <w:rsid w:val="001F19C4"/>
    <w:rsid w:val="001F1E59"/>
    <w:rsid w:val="001F20A6"/>
    <w:rsid w:val="001F21A6"/>
    <w:rsid w:val="001F2332"/>
    <w:rsid w:val="001F256E"/>
    <w:rsid w:val="001F2BC3"/>
    <w:rsid w:val="001F2DF3"/>
    <w:rsid w:val="001F2EBF"/>
    <w:rsid w:val="001F3009"/>
    <w:rsid w:val="001F311E"/>
    <w:rsid w:val="001F3290"/>
    <w:rsid w:val="001F38BF"/>
    <w:rsid w:val="001F45DF"/>
    <w:rsid w:val="001F5556"/>
    <w:rsid w:val="001F6051"/>
    <w:rsid w:val="001F6287"/>
    <w:rsid w:val="001F6484"/>
    <w:rsid w:val="001F6F55"/>
    <w:rsid w:val="001F70D2"/>
    <w:rsid w:val="001F7226"/>
    <w:rsid w:val="001F77DE"/>
    <w:rsid w:val="00200371"/>
    <w:rsid w:val="002003CF"/>
    <w:rsid w:val="00200A24"/>
    <w:rsid w:val="00200B6A"/>
    <w:rsid w:val="00201299"/>
    <w:rsid w:val="00201566"/>
    <w:rsid w:val="00201865"/>
    <w:rsid w:val="002023BE"/>
    <w:rsid w:val="00202D83"/>
    <w:rsid w:val="00202ECC"/>
    <w:rsid w:val="00203310"/>
    <w:rsid w:val="00203592"/>
    <w:rsid w:val="00203819"/>
    <w:rsid w:val="00203DB1"/>
    <w:rsid w:val="00203E3D"/>
    <w:rsid w:val="00203F9A"/>
    <w:rsid w:val="0020457C"/>
    <w:rsid w:val="00204B0A"/>
    <w:rsid w:val="002051FC"/>
    <w:rsid w:val="00205377"/>
    <w:rsid w:val="0020549C"/>
    <w:rsid w:val="00205CCF"/>
    <w:rsid w:val="002061C1"/>
    <w:rsid w:val="002063E0"/>
    <w:rsid w:val="00206ED8"/>
    <w:rsid w:val="002072B2"/>
    <w:rsid w:val="00207F4D"/>
    <w:rsid w:val="00210D4C"/>
    <w:rsid w:val="00210DF9"/>
    <w:rsid w:val="002112CB"/>
    <w:rsid w:val="00211353"/>
    <w:rsid w:val="00211576"/>
    <w:rsid w:val="002118A9"/>
    <w:rsid w:val="00211E1D"/>
    <w:rsid w:val="00212711"/>
    <w:rsid w:val="00212A85"/>
    <w:rsid w:val="00213308"/>
    <w:rsid w:val="00213947"/>
    <w:rsid w:val="002140D2"/>
    <w:rsid w:val="00214C7D"/>
    <w:rsid w:val="0021520B"/>
    <w:rsid w:val="002157B6"/>
    <w:rsid w:val="00216D6B"/>
    <w:rsid w:val="00216E88"/>
    <w:rsid w:val="00216ED6"/>
    <w:rsid w:val="002178E4"/>
    <w:rsid w:val="002205AB"/>
    <w:rsid w:val="00220AE5"/>
    <w:rsid w:val="00220DD8"/>
    <w:rsid w:val="00221807"/>
    <w:rsid w:val="00221CB7"/>
    <w:rsid w:val="002221F0"/>
    <w:rsid w:val="00222C3A"/>
    <w:rsid w:val="0022306A"/>
    <w:rsid w:val="00223796"/>
    <w:rsid w:val="00223847"/>
    <w:rsid w:val="002242FA"/>
    <w:rsid w:val="0022481B"/>
    <w:rsid w:val="002248BC"/>
    <w:rsid w:val="00224C08"/>
    <w:rsid w:val="00224C73"/>
    <w:rsid w:val="00225A07"/>
    <w:rsid w:val="002268DA"/>
    <w:rsid w:val="00226D90"/>
    <w:rsid w:val="00227F5D"/>
    <w:rsid w:val="00230892"/>
    <w:rsid w:val="002311BC"/>
    <w:rsid w:val="00231449"/>
    <w:rsid w:val="00231B47"/>
    <w:rsid w:val="00231CEC"/>
    <w:rsid w:val="00232AB8"/>
    <w:rsid w:val="002334C3"/>
    <w:rsid w:val="00233638"/>
    <w:rsid w:val="0023375A"/>
    <w:rsid w:val="00234334"/>
    <w:rsid w:val="002348FB"/>
    <w:rsid w:val="00234C1B"/>
    <w:rsid w:val="00234F77"/>
    <w:rsid w:val="002359B0"/>
    <w:rsid w:val="0023677F"/>
    <w:rsid w:val="002368ED"/>
    <w:rsid w:val="00236A7A"/>
    <w:rsid w:val="00236BE1"/>
    <w:rsid w:val="00236E23"/>
    <w:rsid w:val="00240436"/>
    <w:rsid w:val="00240D70"/>
    <w:rsid w:val="002411F9"/>
    <w:rsid w:val="00241FE7"/>
    <w:rsid w:val="00242398"/>
    <w:rsid w:val="00242472"/>
    <w:rsid w:val="00242788"/>
    <w:rsid w:val="002435F6"/>
    <w:rsid w:val="00243711"/>
    <w:rsid w:val="00243D32"/>
    <w:rsid w:val="002448CF"/>
    <w:rsid w:val="00244E81"/>
    <w:rsid w:val="00245521"/>
    <w:rsid w:val="002455AD"/>
    <w:rsid w:val="00245D11"/>
    <w:rsid w:val="00246327"/>
    <w:rsid w:val="00246983"/>
    <w:rsid w:val="00246BC8"/>
    <w:rsid w:val="00246C10"/>
    <w:rsid w:val="00246D78"/>
    <w:rsid w:val="00247229"/>
    <w:rsid w:val="00247567"/>
    <w:rsid w:val="00247C86"/>
    <w:rsid w:val="002500C0"/>
    <w:rsid w:val="002501B1"/>
    <w:rsid w:val="002504E5"/>
    <w:rsid w:val="002506CD"/>
    <w:rsid w:val="00250AFF"/>
    <w:rsid w:val="00250FAF"/>
    <w:rsid w:val="002510F5"/>
    <w:rsid w:val="00251371"/>
    <w:rsid w:val="00251C8B"/>
    <w:rsid w:val="002526CB"/>
    <w:rsid w:val="002527B9"/>
    <w:rsid w:val="00252CEE"/>
    <w:rsid w:val="002531E2"/>
    <w:rsid w:val="002535F8"/>
    <w:rsid w:val="00253E1C"/>
    <w:rsid w:val="002548DA"/>
    <w:rsid w:val="00254A8C"/>
    <w:rsid w:val="00255941"/>
    <w:rsid w:val="00255951"/>
    <w:rsid w:val="00255BEA"/>
    <w:rsid w:val="00255D6A"/>
    <w:rsid w:val="0025624D"/>
    <w:rsid w:val="0025631B"/>
    <w:rsid w:val="002569BA"/>
    <w:rsid w:val="00257168"/>
    <w:rsid w:val="00257259"/>
    <w:rsid w:val="002575D6"/>
    <w:rsid w:val="00257AD8"/>
    <w:rsid w:val="00257D94"/>
    <w:rsid w:val="00260631"/>
    <w:rsid w:val="0026148C"/>
    <w:rsid w:val="002615EF"/>
    <w:rsid w:val="00261729"/>
    <w:rsid w:val="002617C4"/>
    <w:rsid w:val="00261A34"/>
    <w:rsid w:val="00261CAC"/>
    <w:rsid w:val="00261CC3"/>
    <w:rsid w:val="0026251E"/>
    <w:rsid w:val="00262972"/>
    <w:rsid w:val="00262A3D"/>
    <w:rsid w:val="00262BE9"/>
    <w:rsid w:val="00263B24"/>
    <w:rsid w:val="00263C5F"/>
    <w:rsid w:val="00263DFB"/>
    <w:rsid w:val="0026400F"/>
    <w:rsid w:val="002651FA"/>
    <w:rsid w:val="002657B1"/>
    <w:rsid w:val="00265836"/>
    <w:rsid w:val="002658CC"/>
    <w:rsid w:val="00265D3A"/>
    <w:rsid w:val="00265F0B"/>
    <w:rsid w:val="00266733"/>
    <w:rsid w:val="002671DE"/>
    <w:rsid w:val="002673B8"/>
    <w:rsid w:val="002675D1"/>
    <w:rsid w:val="00267FEB"/>
    <w:rsid w:val="00270B7A"/>
    <w:rsid w:val="00270BA2"/>
    <w:rsid w:val="00270FD4"/>
    <w:rsid w:val="00271139"/>
    <w:rsid w:val="002711B3"/>
    <w:rsid w:val="00271720"/>
    <w:rsid w:val="00271762"/>
    <w:rsid w:val="0027186E"/>
    <w:rsid w:val="00272166"/>
    <w:rsid w:val="00272746"/>
    <w:rsid w:val="002727C9"/>
    <w:rsid w:val="00272B13"/>
    <w:rsid w:val="00272E4E"/>
    <w:rsid w:val="00273220"/>
    <w:rsid w:val="002733B1"/>
    <w:rsid w:val="00273700"/>
    <w:rsid w:val="002738E2"/>
    <w:rsid w:val="00273BFA"/>
    <w:rsid w:val="00273EC4"/>
    <w:rsid w:val="002747C8"/>
    <w:rsid w:val="00274FBD"/>
    <w:rsid w:val="00275457"/>
    <w:rsid w:val="0027556D"/>
    <w:rsid w:val="00275887"/>
    <w:rsid w:val="00276248"/>
    <w:rsid w:val="00276EF7"/>
    <w:rsid w:val="002772E3"/>
    <w:rsid w:val="0027768F"/>
    <w:rsid w:val="00277E29"/>
    <w:rsid w:val="00277E9B"/>
    <w:rsid w:val="00277F64"/>
    <w:rsid w:val="002804E0"/>
    <w:rsid w:val="0028077C"/>
    <w:rsid w:val="00281024"/>
    <w:rsid w:val="002814CA"/>
    <w:rsid w:val="00281841"/>
    <w:rsid w:val="00281BA5"/>
    <w:rsid w:val="00282180"/>
    <w:rsid w:val="002822DE"/>
    <w:rsid w:val="002823C4"/>
    <w:rsid w:val="002827A1"/>
    <w:rsid w:val="00282988"/>
    <w:rsid w:val="00282F75"/>
    <w:rsid w:val="0028382D"/>
    <w:rsid w:val="00284AC5"/>
    <w:rsid w:val="002857EF"/>
    <w:rsid w:val="002858D6"/>
    <w:rsid w:val="00285B7F"/>
    <w:rsid w:val="00285F10"/>
    <w:rsid w:val="00285F5A"/>
    <w:rsid w:val="00286DE8"/>
    <w:rsid w:val="00287848"/>
    <w:rsid w:val="002902BF"/>
    <w:rsid w:val="00290D83"/>
    <w:rsid w:val="002913E7"/>
    <w:rsid w:val="00291AB4"/>
    <w:rsid w:val="00291B7D"/>
    <w:rsid w:val="00292178"/>
    <w:rsid w:val="00293B66"/>
    <w:rsid w:val="00293C47"/>
    <w:rsid w:val="00294311"/>
    <w:rsid w:val="002945A5"/>
    <w:rsid w:val="00294BAD"/>
    <w:rsid w:val="00294C55"/>
    <w:rsid w:val="00294CEF"/>
    <w:rsid w:val="0029541F"/>
    <w:rsid w:val="00295572"/>
    <w:rsid w:val="002959A6"/>
    <w:rsid w:val="002960E6"/>
    <w:rsid w:val="0029702C"/>
    <w:rsid w:val="00297D16"/>
    <w:rsid w:val="002A0819"/>
    <w:rsid w:val="002A0AE5"/>
    <w:rsid w:val="002A0CE7"/>
    <w:rsid w:val="002A1238"/>
    <w:rsid w:val="002A1702"/>
    <w:rsid w:val="002A1A9A"/>
    <w:rsid w:val="002A2313"/>
    <w:rsid w:val="002A28B3"/>
    <w:rsid w:val="002A314C"/>
    <w:rsid w:val="002A3473"/>
    <w:rsid w:val="002A3592"/>
    <w:rsid w:val="002A3909"/>
    <w:rsid w:val="002A3C5A"/>
    <w:rsid w:val="002A5302"/>
    <w:rsid w:val="002A5682"/>
    <w:rsid w:val="002A5F41"/>
    <w:rsid w:val="002A603F"/>
    <w:rsid w:val="002A6764"/>
    <w:rsid w:val="002A6B33"/>
    <w:rsid w:val="002A6CCD"/>
    <w:rsid w:val="002A7BBF"/>
    <w:rsid w:val="002A7DF2"/>
    <w:rsid w:val="002B0024"/>
    <w:rsid w:val="002B002F"/>
    <w:rsid w:val="002B04BA"/>
    <w:rsid w:val="002B0820"/>
    <w:rsid w:val="002B1892"/>
    <w:rsid w:val="002B1E5D"/>
    <w:rsid w:val="002B25B4"/>
    <w:rsid w:val="002B26FA"/>
    <w:rsid w:val="002B2B3C"/>
    <w:rsid w:val="002B329F"/>
    <w:rsid w:val="002B3897"/>
    <w:rsid w:val="002B3AA9"/>
    <w:rsid w:val="002B3AB1"/>
    <w:rsid w:val="002B413D"/>
    <w:rsid w:val="002B4315"/>
    <w:rsid w:val="002B48A0"/>
    <w:rsid w:val="002B48CA"/>
    <w:rsid w:val="002B4A0D"/>
    <w:rsid w:val="002B4A84"/>
    <w:rsid w:val="002B50E7"/>
    <w:rsid w:val="002B5219"/>
    <w:rsid w:val="002B5E95"/>
    <w:rsid w:val="002B6B70"/>
    <w:rsid w:val="002B729E"/>
    <w:rsid w:val="002C05BD"/>
    <w:rsid w:val="002C0B86"/>
    <w:rsid w:val="002C16D9"/>
    <w:rsid w:val="002C2930"/>
    <w:rsid w:val="002C2D56"/>
    <w:rsid w:val="002C331D"/>
    <w:rsid w:val="002C3DFD"/>
    <w:rsid w:val="002C4562"/>
    <w:rsid w:val="002C4B69"/>
    <w:rsid w:val="002C4D19"/>
    <w:rsid w:val="002C52D8"/>
    <w:rsid w:val="002C5575"/>
    <w:rsid w:val="002C60EE"/>
    <w:rsid w:val="002C62B0"/>
    <w:rsid w:val="002C64BF"/>
    <w:rsid w:val="002C6866"/>
    <w:rsid w:val="002C748A"/>
    <w:rsid w:val="002C7DE7"/>
    <w:rsid w:val="002C7E88"/>
    <w:rsid w:val="002D00FD"/>
    <w:rsid w:val="002D023D"/>
    <w:rsid w:val="002D04A9"/>
    <w:rsid w:val="002D04D9"/>
    <w:rsid w:val="002D0BAC"/>
    <w:rsid w:val="002D0E36"/>
    <w:rsid w:val="002D0E78"/>
    <w:rsid w:val="002D0F20"/>
    <w:rsid w:val="002D1747"/>
    <w:rsid w:val="002D1B28"/>
    <w:rsid w:val="002D1BF1"/>
    <w:rsid w:val="002D1E42"/>
    <w:rsid w:val="002D2CE9"/>
    <w:rsid w:val="002D2E73"/>
    <w:rsid w:val="002D316C"/>
    <w:rsid w:val="002D3996"/>
    <w:rsid w:val="002D399F"/>
    <w:rsid w:val="002D40F7"/>
    <w:rsid w:val="002D4842"/>
    <w:rsid w:val="002D53E8"/>
    <w:rsid w:val="002D543E"/>
    <w:rsid w:val="002D62F8"/>
    <w:rsid w:val="002D6346"/>
    <w:rsid w:val="002D6DAE"/>
    <w:rsid w:val="002D7672"/>
    <w:rsid w:val="002D78FC"/>
    <w:rsid w:val="002D7979"/>
    <w:rsid w:val="002D7F4D"/>
    <w:rsid w:val="002E0067"/>
    <w:rsid w:val="002E0438"/>
    <w:rsid w:val="002E07E7"/>
    <w:rsid w:val="002E0C8A"/>
    <w:rsid w:val="002E137F"/>
    <w:rsid w:val="002E1458"/>
    <w:rsid w:val="002E174B"/>
    <w:rsid w:val="002E1D0A"/>
    <w:rsid w:val="002E31E8"/>
    <w:rsid w:val="002E3309"/>
    <w:rsid w:val="002E368C"/>
    <w:rsid w:val="002E39AA"/>
    <w:rsid w:val="002E3D1C"/>
    <w:rsid w:val="002E4759"/>
    <w:rsid w:val="002E4F5F"/>
    <w:rsid w:val="002E539C"/>
    <w:rsid w:val="002E5521"/>
    <w:rsid w:val="002E58CD"/>
    <w:rsid w:val="002E680A"/>
    <w:rsid w:val="002E6922"/>
    <w:rsid w:val="002E6E68"/>
    <w:rsid w:val="002F05CD"/>
    <w:rsid w:val="002F06F6"/>
    <w:rsid w:val="002F079E"/>
    <w:rsid w:val="002F16DC"/>
    <w:rsid w:val="002F1764"/>
    <w:rsid w:val="002F1B65"/>
    <w:rsid w:val="002F1D3E"/>
    <w:rsid w:val="002F255A"/>
    <w:rsid w:val="002F35F6"/>
    <w:rsid w:val="002F4194"/>
    <w:rsid w:val="002F4378"/>
    <w:rsid w:val="002F4690"/>
    <w:rsid w:val="002F4ACD"/>
    <w:rsid w:val="002F4EEE"/>
    <w:rsid w:val="002F5371"/>
    <w:rsid w:val="002F6B4A"/>
    <w:rsid w:val="002F6D36"/>
    <w:rsid w:val="002F7243"/>
    <w:rsid w:val="002F72A3"/>
    <w:rsid w:val="002F7391"/>
    <w:rsid w:val="002F7908"/>
    <w:rsid w:val="002F7A2A"/>
    <w:rsid w:val="002F7E83"/>
    <w:rsid w:val="0030078F"/>
    <w:rsid w:val="00300DC6"/>
    <w:rsid w:val="00300ED6"/>
    <w:rsid w:val="00301740"/>
    <w:rsid w:val="0030187B"/>
    <w:rsid w:val="00301BD7"/>
    <w:rsid w:val="003024B5"/>
    <w:rsid w:val="00302709"/>
    <w:rsid w:val="00302F79"/>
    <w:rsid w:val="00303FB3"/>
    <w:rsid w:val="003042BE"/>
    <w:rsid w:val="0030640B"/>
    <w:rsid w:val="003068FB"/>
    <w:rsid w:val="00306AC8"/>
    <w:rsid w:val="00307010"/>
    <w:rsid w:val="0030721F"/>
    <w:rsid w:val="003075E0"/>
    <w:rsid w:val="00310334"/>
    <w:rsid w:val="0031071A"/>
    <w:rsid w:val="00310725"/>
    <w:rsid w:val="00310A4E"/>
    <w:rsid w:val="00310D95"/>
    <w:rsid w:val="00310F84"/>
    <w:rsid w:val="003111B2"/>
    <w:rsid w:val="00311724"/>
    <w:rsid w:val="00311A61"/>
    <w:rsid w:val="00311E52"/>
    <w:rsid w:val="00311F5D"/>
    <w:rsid w:val="003125A9"/>
    <w:rsid w:val="00312756"/>
    <w:rsid w:val="00312D59"/>
    <w:rsid w:val="00313241"/>
    <w:rsid w:val="003136AF"/>
    <w:rsid w:val="003136CC"/>
    <w:rsid w:val="003138D2"/>
    <w:rsid w:val="00314043"/>
    <w:rsid w:val="003142A1"/>
    <w:rsid w:val="0031458E"/>
    <w:rsid w:val="00315603"/>
    <w:rsid w:val="003156C7"/>
    <w:rsid w:val="00315C05"/>
    <w:rsid w:val="00316328"/>
    <w:rsid w:val="00316AB9"/>
    <w:rsid w:val="00316BA9"/>
    <w:rsid w:val="00316FE8"/>
    <w:rsid w:val="00317919"/>
    <w:rsid w:val="00317E96"/>
    <w:rsid w:val="00320BAB"/>
    <w:rsid w:val="0032127E"/>
    <w:rsid w:val="0032150F"/>
    <w:rsid w:val="00321FEA"/>
    <w:rsid w:val="003225E8"/>
    <w:rsid w:val="0032396D"/>
    <w:rsid w:val="00323D63"/>
    <w:rsid w:val="00323DC6"/>
    <w:rsid w:val="00323F75"/>
    <w:rsid w:val="00323F8B"/>
    <w:rsid w:val="003243E3"/>
    <w:rsid w:val="0032455E"/>
    <w:rsid w:val="00324B71"/>
    <w:rsid w:val="00325666"/>
    <w:rsid w:val="00325679"/>
    <w:rsid w:val="003267BB"/>
    <w:rsid w:val="00326800"/>
    <w:rsid w:val="0032681F"/>
    <w:rsid w:val="00326F70"/>
    <w:rsid w:val="0032717F"/>
    <w:rsid w:val="00327603"/>
    <w:rsid w:val="00327748"/>
    <w:rsid w:val="00327AE6"/>
    <w:rsid w:val="00327EEA"/>
    <w:rsid w:val="0033032E"/>
    <w:rsid w:val="00330E8C"/>
    <w:rsid w:val="0033135A"/>
    <w:rsid w:val="00331BD0"/>
    <w:rsid w:val="00331BEA"/>
    <w:rsid w:val="00331C42"/>
    <w:rsid w:val="00331D2E"/>
    <w:rsid w:val="003339D1"/>
    <w:rsid w:val="003349FF"/>
    <w:rsid w:val="00334FC6"/>
    <w:rsid w:val="00334FD5"/>
    <w:rsid w:val="0033578D"/>
    <w:rsid w:val="00335D9C"/>
    <w:rsid w:val="00336452"/>
    <w:rsid w:val="00336777"/>
    <w:rsid w:val="003369A6"/>
    <w:rsid w:val="00336AC5"/>
    <w:rsid w:val="00337401"/>
    <w:rsid w:val="00337B52"/>
    <w:rsid w:val="00337F3F"/>
    <w:rsid w:val="003403C6"/>
    <w:rsid w:val="00340763"/>
    <w:rsid w:val="0034176C"/>
    <w:rsid w:val="003418E5"/>
    <w:rsid w:val="00341EC9"/>
    <w:rsid w:val="00342646"/>
    <w:rsid w:val="003426CA"/>
    <w:rsid w:val="00342A4F"/>
    <w:rsid w:val="00342BE1"/>
    <w:rsid w:val="003437A5"/>
    <w:rsid w:val="00343E94"/>
    <w:rsid w:val="003442E6"/>
    <w:rsid w:val="00344602"/>
    <w:rsid w:val="003449A7"/>
    <w:rsid w:val="00344A7E"/>
    <w:rsid w:val="00344BBB"/>
    <w:rsid w:val="00345630"/>
    <w:rsid w:val="003458BB"/>
    <w:rsid w:val="00346860"/>
    <w:rsid w:val="00346ADC"/>
    <w:rsid w:val="0034744D"/>
    <w:rsid w:val="00347C90"/>
    <w:rsid w:val="00347E1F"/>
    <w:rsid w:val="00347F2E"/>
    <w:rsid w:val="003502D1"/>
    <w:rsid w:val="003506B7"/>
    <w:rsid w:val="00350917"/>
    <w:rsid w:val="00350951"/>
    <w:rsid w:val="00350D31"/>
    <w:rsid w:val="00351050"/>
    <w:rsid w:val="0035127C"/>
    <w:rsid w:val="00351403"/>
    <w:rsid w:val="0035152F"/>
    <w:rsid w:val="003518DF"/>
    <w:rsid w:val="00351AE6"/>
    <w:rsid w:val="003520D7"/>
    <w:rsid w:val="003521B0"/>
    <w:rsid w:val="0035246C"/>
    <w:rsid w:val="0035248A"/>
    <w:rsid w:val="003527FD"/>
    <w:rsid w:val="00352A6F"/>
    <w:rsid w:val="00352CDA"/>
    <w:rsid w:val="003539C2"/>
    <w:rsid w:val="0035411A"/>
    <w:rsid w:val="00354948"/>
    <w:rsid w:val="00354D37"/>
    <w:rsid w:val="00354F1B"/>
    <w:rsid w:val="00355CE4"/>
    <w:rsid w:val="00356980"/>
    <w:rsid w:val="00356B89"/>
    <w:rsid w:val="00356ED7"/>
    <w:rsid w:val="00357C84"/>
    <w:rsid w:val="00357CEC"/>
    <w:rsid w:val="0036093E"/>
    <w:rsid w:val="00360C7E"/>
    <w:rsid w:val="00360E83"/>
    <w:rsid w:val="003620BE"/>
    <w:rsid w:val="00362B4B"/>
    <w:rsid w:val="0036407F"/>
    <w:rsid w:val="003647C3"/>
    <w:rsid w:val="00364A5F"/>
    <w:rsid w:val="00364FAE"/>
    <w:rsid w:val="003651F1"/>
    <w:rsid w:val="0036546F"/>
    <w:rsid w:val="00365D65"/>
    <w:rsid w:val="003660C7"/>
    <w:rsid w:val="0036621D"/>
    <w:rsid w:val="00366562"/>
    <w:rsid w:val="00366971"/>
    <w:rsid w:val="00366B94"/>
    <w:rsid w:val="00367C9C"/>
    <w:rsid w:val="00367F6A"/>
    <w:rsid w:val="003705AB"/>
    <w:rsid w:val="00370A55"/>
    <w:rsid w:val="00370C2C"/>
    <w:rsid w:val="00371D1D"/>
    <w:rsid w:val="003720ED"/>
    <w:rsid w:val="003723BD"/>
    <w:rsid w:val="00372A73"/>
    <w:rsid w:val="0037323C"/>
    <w:rsid w:val="003748DD"/>
    <w:rsid w:val="00374F7D"/>
    <w:rsid w:val="0037567F"/>
    <w:rsid w:val="0037584E"/>
    <w:rsid w:val="00375DAE"/>
    <w:rsid w:val="0037689F"/>
    <w:rsid w:val="00376AF9"/>
    <w:rsid w:val="0037777B"/>
    <w:rsid w:val="00380135"/>
    <w:rsid w:val="003801B2"/>
    <w:rsid w:val="003815DA"/>
    <w:rsid w:val="00381CB4"/>
    <w:rsid w:val="003820B2"/>
    <w:rsid w:val="0038216E"/>
    <w:rsid w:val="00382661"/>
    <w:rsid w:val="00382F10"/>
    <w:rsid w:val="00383056"/>
    <w:rsid w:val="003835C4"/>
    <w:rsid w:val="00383A03"/>
    <w:rsid w:val="0038461B"/>
    <w:rsid w:val="003846B5"/>
    <w:rsid w:val="00384CC6"/>
    <w:rsid w:val="00384D28"/>
    <w:rsid w:val="00384E69"/>
    <w:rsid w:val="003850FD"/>
    <w:rsid w:val="0038553E"/>
    <w:rsid w:val="00385CBD"/>
    <w:rsid w:val="00385F50"/>
    <w:rsid w:val="00386648"/>
    <w:rsid w:val="00386B41"/>
    <w:rsid w:val="00387570"/>
    <w:rsid w:val="003876EB"/>
    <w:rsid w:val="00387A0B"/>
    <w:rsid w:val="00387D3B"/>
    <w:rsid w:val="00390547"/>
    <w:rsid w:val="0039073B"/>
    <w:rsid w:val="003909C3"/>
    <w:rsid w:val="003912EF"/>
    <w:rsid w:val="00391DEB"/>
    <w:rsid w:val="00391FF5"/>
    <w:rsid w:val="00392479"/>
    <w:rsid w:val="00392F23"/>
    <w:rsid w:val="0039307F"/>
    <w:rsid w:val="0039361D"/>
    <w:rsid w:val="0039362D"/>
    <w:rsid w:val="0039471D"/>
    <w:rsid w:val="00394C14"/>
    <w:rsid w:val="00394DC9"/>
    <w:rsid w:val="00394F2D"/>
    <w:rsid w:val="00394FC5"/>
    <w:rsid w:val="003958EA"/>
    <w:rsid w:val="00395EDF"/>
    <w:rsid w:val="003967B8"/>
    <w:rsid w:val="00396F56"/>
    <w:rsid w:val="00397B9A"/>
    <w:rsid w:val="003A087E"/>
    <w:rsid w:val="003A0B11"/>
    <w:rsid w:val="003A0B5B"/>
    <w:rsid w:val="003A0E29"/>
    <w:rsid w:val="003A1812"/>
    <w:rsid w:val="003A1D82"/>
    <w:rsid w:val="003A1E3C"/>
    <w:rsid w:val="003A1E65"/>
    <w:rsid w:val="003A2179"/>
    <w:rsid w:val="003A227C"/>
    <w:rsid w:val="003A22EB"/>
    <w:rsid w:val="003A3005"/>
    <w:rsid w:val="003A31EF"/>
    <w:rsid w:val="003A335F"/>
    <w:rsid w:val="003A3584"/>
    <w:rsid w:val="003A37DF"/>
    <w:rsid w:val="003A4BA7"/>
    <w:rsid w:val="003A4CA7"/>
    <w:rsid w:val="003A4CD6"/>
    <w:rsid w:val="003A5179"/>
    <w:rsid w:val="003A53FA"/>
    <w:rsid w:val="003A56E3"/>
    <w:rsid w:val="003A5BFE"/>
    <w:rsid w:val="003A6A4B"/>
    <w:rsid w:val="003A7890"/>
    <w:rsid w:val="003A7E86"/>
    <w:rsid w:val="003B0411"/>
    <w:rsid w:val="003B0981"/>
    <w:rsid w:val="003B0990"/>
    <w:rsid w:val="003B09BC"/>
    <w:rsid w:val="003B0A5B"/>
    <w:rsid w:val="003B12AD"/>
    <w:rsid w:val="003B1631"/>
    <w:rsid w:val="003B2029"/>
    <w:rsid w:val="003B246F"/>
    <w:rsid w:val="003B2C32"/>
    <w:rsid w:val="003B314E"/>
    <w:rsid w:val="003B31D9"/>
    <w:rsid w:val="003B33B1"/>
    <w:rsid w:val="003B372C"/>
    <w:rsid w:val="003B3914"/>
    <w:rsid w:val="003B3EE9"/>
    <w:rsid w:val="003B3F60"/>
    <w:rsid w:val="003B4E10"/>
    <w:rsid w:val="003B4EF2"/>
    <w:rsid w:val="003B53E8"/>
    <w:rsid w:val="003B585B"/>
    <w:rsid w:val="003B5D04"/>
    <w:rsid w:val="003B6827"/>
    <w:rsid w:val="003B68B9"/>
    <w:rsid w:val="003B693F"/>
    <w:rsid w:val="003B6BFB"/>
    <w:rsid w:val="003B6C43"/>
    <w:rsid w:val="003B6E53"/>
    <w:rsid w:val="003B6E81"/>
    <w:rsid w:val="003B780F"/>
    <w:rsid w:val="003B7914"/>
    <w:rsid w:val="003B7B9B"/>
    <w:rsid w:val="003B7C72"/>
    <w:rsid w:val="003C068C"/>
    <w:rsid w:val="003C0690"/>
    <w:rsid w:val="003C0D2B"/>
    <w:rsid w:val="003C0E33"/>
    <w:rsid w:val="003C179D"/>
    <w:rsid w:val="003C1918"/>
    <w:rsid w:val="003C197D"/>
    <w:rsid w:val="003C1BF7"/>
    <w:rsid w:val="003C2039"/>
    <w:rsid w:val="003C2278"/>
    <w:rsid w:val="003C2C8F"/>
    <w:rsid w:val="003C31EB"/>
    <w:rsid w:val="003C3299"/>
    <w:rsid w:val="003C5379"/>
    <w:rsid w:val="003C53E5"/>
    <w:rsid w:val="003C5A02"/>
    <w:rsid w:val="003C5C5F"/>
    <w:rsid w:val="003C5D55"/>
    <w:rsid w:val="003C613E"/>
    <w:rsid w:val="003C6267"/>
    <w:rsid w:val="003C6433"/>
    <w:rsid w:val="003C64BB"/>
    <w:rsid w:val="003C65CD"/>
    <w:rsid w:val="003C67AD"/>
    <w:rsid w:val="003C6BEE"/>
    <w:rsid w:val="003C73D8"/>
    <w:rsid w:val="003C77B0"/>
    <w:rsid w:val="003C7B6E"/>
    <w:rsid w:val="003D05E0"/>
    <w:rsid w:val="003D0991"/>
    <w:rsid w:val="003D15C1"/>
    <w:rsid w:val="003D1A17"/>
    <w:rsid w:val="003D265C"/>
    <w:rsid w:val="003D2F15"/>
    <w:rsid w:val="003D33D4"/>
    <w:rsid w:val="003D3416"/>
    <w:rsid w:val="003D38AE"/>
    <w:rsid w:val="003D3908"/>
    <w:rsid w:val="003D3C06"/>
    <w:rsid w:val="003D41D5"/>
    <w:rsid w:val="003D4243"/>
    <w:rsid w:val="003D4355"/>
    <w:rsid w:val="003D4FF9"/>
    <w:rsid w:val="003D53ED"/>
    <w:rsid w:val="003D5EFA"/>
    <w:rsid w:val="003D6D5A"/>
    <w:rsid w:val="003D6DA0"/>
    <w:rsid w:val="003D7962"/>
    <w:rsid w:val="003E01CD"/>
    <w:rsid w:val="003E0454"/>
    <w:rsid w:val="003E0D4D"/>
    <w:rsid w:val="003E0E8F"/>
    <w:rsid w:val="003E164D"/>
    <w:rsid w:val="003E1A09"/>
    <w:rsid w:val="003E1B2E"/>
    <w:rsid w:val="003E24E8"/>
    <w:rsid w:val="003E2510"/>
    <w:rsid w:val="003E28F5"/>
    <w:rsid w:val="003E2A83"/>
    <w:rsid w:val="003E2ECE"/>
    <w:rsid w:val="003E2FA1"/>
    <w:rsid w:val="003E33F5"/>
    <w:rsid w:val="003E54B2"/>
    <w:rsid w:val="003E5F00"/>
    <w:rsid w:val="003E62AA"/>
    <w:rsid w:val="003E6482"/>
    <w:rsid w:val="003E6C5D"/>
    <w:rsid w:val="003E6EA6"/>
    <w:rsid w:val="003E76A6"/>
    <w:rsid w:val="003E7B6E"/>
    <w:rsid w:val="003E7E66"/>
    <w:rsid w:val="003F03FB"/>
    <w:rsid w:val="003F08FD"/>
    <w:rsid w:val="003F0CD3"/>
    <w:rsid w:val="003F10A1"/>
    <w:rsid w:val="003F19EC"/>
    <w:rsid w:val="003F1AB4"/>
    <w:rsid w:val="003F1F80"/>
    <w:rsid w:val="003F2A19"/>
    <w:rsid w:val="003F2D92"/>
    <w:rsid w:val="003F2EB4"/>
    <w:rsid w:val="003F2F5C"/>
    <w:rsid w:val="003F3462"/>
    <w:rsid w:val="003F3822"/>
    <w:rsid w:val="003F386A"/>
    <w:rsid w:val="003F39D0"/>
    <w:rsid w:val="003F40F2"/>
    <w:rsid w:val="003F4232"/>
    <w:rsid w:val="003F448C"/>
    <w:rsid w:val="003F4C43"/>
    <w:rsid w:val="003F4E9D"/>
    <w:rsid w:val="003F56B4"/>
    <w:rsid w:val="003F59BE"/>
    <w:rsid w:val="003F5DDA"/>
    <w:rsid w:val="003F63F8"/>
    <w:rsid w:val="003F76C0"/>
    <w:rsid w:val="003F7D0B"/>
    <w:rsid w:val="00400B1E"/>
    <w:rsid w:val="0040216A"/>
    <w:rsid w:val="00402644"/>
    <w:rsid w:val="0040295C"/>
    <w:rsid w:val="004034CD"/>
    <w:rsid w:val="00403C34"/>
    <w:rsid w:val="004047FE"/>
    <w:rsid w:val="00404C8C"/>
    <w:rsid w:val="00404E31"/>
    <w:rsid w:val="00405ED4"/>
    <w:rsid w:val="00406A4E"/>
    <w:rsid w:val="004070A8"/>
    <w:rsid w:val="004079C2"/>
    <w:rsid w:val="00407BCF"/>
    <w:rsid w:val="004101A0"/>
    <w:rsid w:val="00410367"/>
    <w:rsid w:val="00410F1E"/>
    <w:rsid w:val="00411041"/>
    <w:rsid w:val="004110AF"/>
    <w:rsid w:val="004111B1"/>
    <w:rsid w:val="00411501"/>
    <w:rsid w:val="00411DE8"/>
    <w:rsid w:val="004125FF"/>
    <w:rsid w:val="00412B17"/>
    <w:rsid w:val="00412BD5"/>
    <w:rsid w:val="00412FF0"/>
    <w:rsid w:val="004133E6"/>
    <w:rsid w:val="00413A89"/>
    <w:rsid w:val="00413B2A"/>
    <w:rsid w:val="00413F28"/>
    <w:rsid w:val="004157F6"/>
    <w:rsid w:val="0041606C"/>
    <w:rsid w:val="00416B8E"/>
    <w:rsid w:val="0041765F"/>
    <w:rsid w:val="0041769C"/>
    <w:rsid w:val="004176BF"/>
    <w:rsid w:val="00417787"/>
    <w:rsid w:val="004179E6"/>
    <w:rsid w:val="00421491"/>
    <w:rsid w:val="00421510"/>
    <w:rsid w:val="004215A8"/>
    <w:rsid w:val="004217E6"/>
    <w:rsid w:val="00421B31"/>
    <w:rsid w:val="00421DC6"/>
    <w:rsid w:val="004226AF"/>
    <w:rsid w:val="0042290D"/>
    <w:rsid w:val="00422C51"/>
    <w:rsid w:val="00423289"/>
    <w:rsid w:val="00424059"/>
    <w:rsid w:val="00424562"/>
    <w:rsid w:val="004247B9"/>
    <w:rsid w:val="00424A5C"/>
    <w:rsid w:val="004252CD"/>
    <w:rsid w:val="004258A8"/>
    <w:rsid w:val="00425C5E"/>
    <w:rsid w:val="004261A8"/>
    <w:rsid w:val="00426352"/>
    <w:rsid w:val="0042707E"/>
    <w:rsid w:val="00427737"/>
    <w:rsid w:val="004278D8"/>
    <w:rsid w:val="00430FD3"/>
    <w:rsid w:val="0043133B"/>
    <w:rsid w:val="0043157E"/>
    <w:rsid w:val="00431F0D"/>
    <w:rsid w:val="004322E9"/>
    <w:rsid w:val="0043234D"/>
    <w:rsid w:val="004323A4"/>
    <w:rsid w:val="00432C00"/>
    <w:rsid w:val="00432D1D"/>
    <w:rsid w:val="00432FC8"/>
    <w:rsid w:val="0043343B"/>
    <w:rsid w:val="004337E2"/>
    <w:rsid w:val="00433C29"/>
    <w:rsid w:val="00433D75"/>
    <w:rsid w:val="004340E6"/>
    <w:rsid w:val="004340E7"/>
    <w:rsid w:val="0043452A"/>
    <w:rsid w:val="00434A39"/>
    <w:rsid w:val="004351D2"/>
    <w:rsid w:val="004353CE"/>
    <w:rsid w:val="004357CC"/>
    <w:rsid w:val="00436342"/>
    <w:rsid w:val="0043658F"/>
    <w:rsid w:val="00436BC7"/>
    <w:rsid w:val="00436CEB"/>
    <w:rsid w:val="00436EA5"/>
    <w:rsid w:val="00437213"/>
    <w:rsid w:val="00437322"/>
    <w:rsid w:val="0043765F"/>
    <w:rsid w:val="0044032B"/>
    <w:rsid w:val="0044033A"/>
    <w:rsid w:val="004408A1"/>
    <w:rsid w:val="0044095F"/>
    <w:rsid w:val="00441A56"/>
    <w:rsid w:val="004425EC"/>
    <w:rsid w:val="004428C9"/>
    <w:rsid w:val="00442915"/>
    <w:rsid w:val="004433A3"/>
    <w:rsid w:val="00443617"/>
    <w:rsid w:val="00443969"/>
    <w:rsid w:val="004443E3"/>
    <w:rsid w:val="004444C9"/>
    <w:rsid w:val="00444E10"/>
    <w:rsid w:val="00444EAD"/>
    <w:rsid w:val="004455A8"/>
    <w:rsid w:val="00445750"/>
    <w:rsid w:val="00446530"/>
    <w:rsid w:val="004467B2"/>
    <w:rsid w:val="00446B41"/>
    <w:rsid w:val="00447401"/>
    <w:rsid w:val="00447569"/>
    <w:rsid w:val="00447811"/>
    <w:rsid w:val="00447BC6"/>
    <w:rsid w:val="004503A6"/>
    <w:rsid w:val="004504F5"/>
    <w:rsid w:val="004505BA"/>
    <w:rsid w:val="0045220B"/>
    <w:rsid w:val="004522BF"/>
    <w:rsid w:val="004522DB"/>
    <w:rsid w:val="00452629"/>
    <w:rsid w:val="00452C08"/>
    <w:rsid w:val="00452F5E"/>
    <w:rsid w:val="00452F8F"/>
    <w:rsid w:val="00453000"/>
    <w:rsid w:val="00453E44"/>
    <w:rsid w:val="00453EB4"/>
    <w:rsid w:val="004542A9"/>
    <w:rsid w:val="00454530"/>
    <w:rsid w:val="004546B2"/>
    <w:rsid w:val="00454846"/>
    <w:rsid w:val="00454CCA"/>
    <w:rsid w:val="00454EAD"/>
    <w:rsid w:val="00455107"/>
    <w:rsid w:val="0045554D"/>
    <w:rsid w:val="00455A7A"/>
    <w:rsid w:val="004562E2"/>
    <w:rsid w:val="00456763"/>
    <w:rsid w:val="004568CF"/>
    <w:rsid w:val="00456974"/>
    <w:rsid w:val="004569B3"/>
    <w:rsid w:val="004570FB"/>
    <w:rsid w:val="00457222"/>
    <w:rsid w:val="004577A0"/>
    <w:rsid w:val="0045780C"/>
    <w:rsid w:val="00457DF6"/>
    <w:rsid w:val="004604B6"/>
    <w:rsid w:val="004630E0"/>
    <w:rsid w:val="00463167"/>
    <w:rsid w:val="0046358F"/>
    <w:rsid w:val="00464685"/>
    <w:rsid w:val="00464914"/>
    <w:rsid w:val="00464DA0"/>
    <w:rsid w:val="00465328"/>
    <w:rsid w:val="00465E52"/>
    <w:rsid w:val="00466B97"/>
    <w:rsid w:val="00466C75"/>
    <w:rsid w:val="00467428"/>
    <w:rsid w:val="00467711"/>
    <w:rsid w:val="00467E3A"/>
    <w:rsid w:val="0047084E"/>
    <w:rsid w:val="00471A4C"/>
    <w:rsid w:val="00471D25"/>
    <w:rsid w:val="00471D7A"/>
    <w:rsid w:val="004726EC"/>
    <w:rsid w:val="00472D60"/>
    <w:rsid w:val="00472D83"/>
    <w:rsid w:val="00474061"/>
    <w:rsid w:val="004744D8"/>
    <w:rsid w:val="00474A42"/>
    <w:rsid w:val="00474BE0"/>
    <w:rsid w:val="00474D13"/>
    <w:rsid w:val="00474D24"/>
    <w:rsid w:val="004752A5"/>
    <w:rsid w:val="0047540E"/>
    <w:rsid w:val="00475CE9"/>
    <w:rsid w:val="00475F88"/>
    <w:rsid w:val="0047650E"/>
    <w:rsid w:val="00476665"/>
    <w:rsid w:val="0047689E"/>
    <w:rsid w:val="0047760E"/>
    <w:rsid w:val="004777D4"/>
    <w:rsid w:val="0048032A"/>
    <w:rsid w:val="00480902"/>
    <w:rsid w:val="00480A5E"/>
    <w:rsid w:val="00480A7E"/>
    <w:rsid w:val="00480AEC"/>
    <w:rsid w:val="00481288"/>
    <w:rsid w:val="004813F1"/>
    <w:rsid w:val="00481E24"/>
    <w:rsid w:val="00483CED"/>
    <w:rsid w:val="00484366"/>
    <w:rsid w:val="00484638"/>
    <w:rsid w:val="004849FB"/>
    <w:rsid w:val="00484BC0"/>
    <w:rsid w:val="00485376"/>
    <w:rsid w:val="00485658"/>
    <w:rsid w:val="00485CE7"/>
    <w:rsid w:val="00486475"/>
    <w:rsid w:val="00486D01"/>
    <w:rsid w:val="00487301"/>
    <w:rsid w:val="00487F63"/>
    <w:rsid w:val="0049000A"/>
    <w:rsid w:val="00490310"/>
    <w:rsid w:val="00490431"/>
    <w:rsid w:val="00490453"/>
    <w:rsid w:val="00490AAD"/>
    <w:rsid w:val="00491DBB"/>
    <w:rsid w:val="00491DE1"/>
    <w:rsid w:val="00491EA9"/>
    <w:rsid w:val="00491F88"/>
    <w:rsid w:val="004920CB"/>
    <w:rsid w:val="004920CE"/>
    <w:rsid w:val="00492123"/>
    <w:rsid w:val="004921C7"/>
    <w:rsid w:val="00492711"/>
    <w:rsid w:val="004930CC"/>
    <w:rsid w:val="004937E6"/>
    <w:rsid w:val="00493951"/>
    <w:rsid w:val="00493FF9"/>
    <w:rsid w:val="004942B2"/>
    <w:rsid w:val="00494899"/>
    <w:rsid w:val="004959B6"/>
    <w:rsid w:val="00495A04"/>
    <w:rsid w:val="00495BF1"/>
    <w:rsid w:val="00495FBD"/>
    <w:rsid w:val="0049640B"/>
    <w:rsid w:val="00496A18"/>
    <w:rsid w:val="00496BD4"/>
    <w:rsid w:val="00497179"/>
    <w:rsid w:val="00497537"/>
    <w:rsid w:val="00497711"/>
    <w:rsid w:val="004A0DBA"/>
    <w:rsid w:val="004A156F"/>
    <w:rsid w:val="004A2191"/>
    <w:rsid w:val="004A2326"/>
    <w:rsid w:val="004A2971"/>
    <w:rsid w:val="004A2B8A"/>
    <w:rsid w:val="004A31A6"/>
    <w:rsid w:val="004A3F49"/>
    <w:rsid w:val="004A41A0"/>
    <w:rsid w:val="004A488D"/>
    <w:rsid w:val="004A4D9C"/>
    <w:rsid w:val="004A5618"/>
    <w:rsid w:val="004A617D"/>
    <w:rsid w:val="004A6319"/>
    <w:rsid w:val="004A677F"/>
    <w:rsid w:val="004A71F0"/>
    <w:rsid w:val="004A74B4"/>
    <w:rsid w:val="004A7B0F"/>
    <w:rsid w:val="004A7C27"/>
    <w:rsid w:val="004A7D89"/>
    <w:rsid w:val="004A7FB5"/>
    <w:rsid w:val="004B0F75"/>
    <w:rsid w:val="004B11FC"/>
    <w:rsid w:val="004B1C8B"/>
    <w:rsid w:val="004B1F4F"/>
    <w:rsid w:val="004B2292"/>
    <w:rsid w:val="004B22CD"/>
    <w:rsid w:val="004B304A"/>
    <w:rsid w:val="004B3B90"/>
    <w:rsid w:val="004B431D"/>
    <w:rsid w:val="004B45EC"/>
    <w:rsid w:val="004B4A54"/>
    <w:rsid w:val="004B5B97"/>
    <w:rsid w:val="004B6A0D"/>
    <w:rsid w:val="004B6CD7"/>
    <w:rsid w:val="004B7BDB"/>
    <w:rsid w:val="004B7DB7"/>
    <w:rsid w:val="004B7EBB"/>
    <w:rsid w:val="004C0390"/>
    <w:rsid w:val="004C03B3"/>
    <w:rsid w:val="004C0555"/>
    <w:rsid w:val="004C0FA7"/>
    <w:rsid w:val="004C1717"/>
    <w:rsid w:val="004C180B"/>
    <w:rsid w:val="004C19F4"/>
    <w:rsid w:val="004C1C68"/>
    <w:rsid w:val="004C31B6"/>
    <w:rsid w:val="004C3D15"/>
    <w:rsid w:val="004C412B"/>
    <w:rsid w:val="004C457D"/>
    <w:rsid w:val="004C5631"/>
    <w:rsid w:val="004C6930"/>
    <w:rsid w:val="004C779E"/>
    <w:rsid w:val="004C7A94"/>
    <w:rsid w:val="004D0836"/>
    <w:rsid w:val="004D0A3C"/>
    <w:rsid w:val="004D0A3E"/>
    <w:rsid w:val="004D0CAE"/>
    <w:rsid w:val="004D1820"/>
    <w:rsid w:val="004D18BC"/>
    <w:rsid w:val="004D1E02"/>
    <w:rsid w:val="004D200D"/>
    <w:rsid w:val="004D24B2"/>
    <w:rsid w:val="004D2612"/>
    <w:rsid w:val="004D2995"/>
    <w:rsid w:val="004D2B42"/>
    <w:rsid w:val="004D2D78"/>
    <w:rsid w:val="004D2E3F"/>
    <w:rsid w:val="004D2E88"/>
    <w:rsid w:val="004D2E96"/>
    <w:rsid w:val="004D31B5"/>
    <w:rsid w:val="004D359F"/>
    <w:rsid w:val="004D379B"/>
    <w:rsid w:val="004D395A"/>
    <w:rsid w:val="004D41D8"/>
    <w:rsid w:val="004D499B"/>
    <w:rsid w:val="004D52F6"/>
    <w:rsid w:val="004D563A"/>
    <w:rsid w:val="004D59C8"/>
    <w:rsid w:val="004D5D4F"/>
    <w:rsid w:val="004D6321"/>
    <w:rsid w:val="004D6596"/>
    <w:rsid w:val="004D66A8"/>
    <w:rsid w:val="004D6A0A"/>
    <w:rsid w:val="004D6A50"/>
    <w:rsid w:val="004D7123"/>
    <w:rsid w:val="004D73D9"/>
    <w:rsid w:val="004D7AEF"/>
    <w:rsid w:val="004E093A"/>
    <w:rsid w:val="004E0AE4"/>
    <w:rsid w:val="004E0B9A"/>
    <w:rsid w:val="004E1921"/>
    <w:rsid w:val="004E19E2"/>
    <w:rsid w:val="004E2976"/>
    <w:rsid w:val="004E4194"/>
    <w:rsid w:val="004E41BC"/>
    <w:rsid w:val="004E42DE"/>
    <w:rsid w:val="004E4B23"/>
    <w:rsid w:val="004E5184"/>
    <w:rsid w:val="004E57A4"/>
    <w:rsid w:val="004E5ED0"/>
    <w:rsid w:val="004E5FA6"/>
    <w:rsid w:val="004E6123"/>
    <w:rsid w:val="004E6314"/>
    <w:rsid w:val="004E7D39"/>
    <w:rsid w:val="004E7EBB"/>
    <w:rsid w:val="004F008A"/>
    <w:rsid w:val="004F03FB"/>
    <w:rsid w:val="004F07C9"/>
    <w:rsid w:val="004F133A"/>
    <w:rsid w:val="004F189A"/>
    <w:rsid w:val="004F1EB8"/>
    <w:rsid w:val="004F2254"/>
    <w:rsid w:val="004F2EB0"/>
    <w:rsid w:val="004F3CF9"/>
    <w:rsid w:val="004F3E8E"/>
    <w:rsid w:val="004F4233"/>
    <w:rsid w:val="004F4386"/>
    <w:rsid w:val="004F4B96"/>
    <w:rsid w:val="004F54B1"/>
    <w:rsid w:val="004F61FB"/>
    <w:rsid w:val="004F68E9"/>
    <w:rsid w:val="004F6DD5"/>
    <w:rsid w:val="004F6F5A"/>
    <w:rsid w:val="004F734C"/>
    <w:rsid w:val="004F79CE"/>
    <w:rsid w:val="00500656"/>
    <w:rsid w:val="00501C1F"/>
    <w:rsid w:val="00502E01"/>
    <w:rsid w:val="005034C8"/>
    <w:rsid w:val="005046D8"/>
    <w:rsid w:val="00505069"/>
    <w:rsid w:val="00505627"/>
    <w:rsid w:val="005056C4"/>
    <w:rsid w:val="00505AFA"/>
    <w:rsid w:val="005063E8"/>
    <w:rsid w:val="005066A7"/>
    <w:rsid w:val="00506857"/>
    <w:rsid w:val="00506CA0"/>
    <w:rsid w:val="005077BC"/>
    <w:rsid w:val="00510202"/>
    <w:rsid w:val="00510402"/>
    <w:rsid w:val="005106D7"/>
    <w:rsid w:val="00510ECD"/>
    <w:rsid w:val="005116FB"/>
    <w:rsid w:val="00512107"/>
    <w:rsid w:val="00512489"/>
    <w:rsid w:val="00512ACE"/>
    <w:rsid w:val="005136EB"/>
    <w:rsid w:val="005143FD"/>
    <w:rsid w:val="005150A5"/>
    <w:rsid w:val="005155EF"/>
    <w:rsid w:val="00515694"/>
    <w:rsid w:val="005159BD"/>
    <w:rsid w:val="005161DC"/>
    <w:rsid w:val="005162D8"/>
    <w:rsid w:val="00516563"/>
    <w:rsid w:val="00516B41"/>
    <w:rsid w:val="005170E4"/>
    <w:rsid w:val="00517224"/>
    <w:rsid w:val="0051744A"/>
    <w:rsid w:val="00517749"/>
    <w:rsid w:val="005177B3"/>
    <w:rsid w:val="00520E01"/>
    <w:rsid w:val="00520F25"/>
    <w:rsid w:val="00522131"/>
    <w:rsid w:val="0052233E"/>
    <w:rsid w:val="00522459"/>
    <w:rsid w:val="00522D60"/>
    <w:rsid w:val="00522E92"/>
    <w:rsid w:val="00523725"/>
    <w:rsid w:val="00523A72"/>
    <w:rsid w:val="00523BF7"/>
    <w:rsid w:val="0052425C"/>
    <w:rsid w:val="00524780"/>
    <w:rsid w:val="00524798"/>
    <w:rsid w:val="00525056"/>
    <w:rsid w:val="0052532B"/>
    <w:rsid w:val="005254C6"/>
    <w:rsid w:val="00525B9F"/>
    <w:rsid w:val="00526245"/>
    <w:rsid w:val="00526D2F"/>
    <w:rsid w:val="00527213"/>
    <w:rsid w:val="0052723E"/>
    <w:rsid w:val="005272BF"/>
    <w:rsid w:val="005300B5"/>
    <w:rsid w:val="005320CC"/>
    <w:rsid w:val="00532BB7"/>
    <w:rsid w:val="005331D4"/>
    <w:rsid w:val="00533B80"/>
    <w:rsid w:val="00534273"/>
    <w:rsid w:val="0053439F"/>
    <w:rsid w:val="005346DF"/>
    <w:rsid w:val="005347D2"/>
    <w:rsid w:val="005347DC"/>
    <w:rsid w:val="00535248"/>
    <w:rsid w:val="00536392"/>
    <w:rsid w:val="005369EC"/>
    <w:rsid w:val="00536B8B"/>
    <w:rsid w:val="005374DB"/>
    <w:rsid w:val="00537FD2"/>
    <w:rsid w:val="005403C0"/>
    <w:rsid w:val="00540437"/>
    <w:rsid w:val="00540C1A"/>
    <w:rsid w:val="00540F7F"/>
    <w:rsid w:val="00540FA6"/>
    <w:rsid w:val="00541060"/>
    <w:rsid w:val="0054110A"/>
    <w:rsid w:val="00541C15"/>
    <w:rsid w:val="00541EC4"/>
    <w:rsid w:val="0054407B"/>
    <w:rsid w:val="00544196"/>
    <w:rsid w:val="00544430"/>
    <w:rsid w:val="0054443C"/>
    <w:rsid w:val="00544FE8"/>
    <w:rsid w:val="0054509D"/>
    <w:rsid w:val="005454EA"/>
    <w:rsid w:val="005465FB"/>
    <w:rsid w:val="005467DB"/>
    <w:rsid w:val="005469C3"/>
    <w:rsid w:val="00547752"/>
    <w:rsid w:val="00547959"/>
    <w:rsid w:val="005479EA"/>
    <w:rsid w:val="00547FAA"/>
    <w:rsid w:val="00550794"/>
    <w:rsid w:val="00550C91"/>
    <w:rsid w:val="005512E3"/>
    <w:rsid w:val="0055136B"/>
    <w:rsid w:val="00551CE4"/>
    <w:rsid w:val="00552141"/>
    <w:rsid w:val="0055220D"/>
    <w:rsid w:val="005523C3"/>
    <w:rsid w:val="00552ACF"/>
    <w:rsid w:val="00552C3E"/>
    <w:rsid w:val="00553C29"/>
    <w:rsid w:val="00553CD6"/>
    <w:rsid w:val="00554279"/>
    <w:rsid w:val="00554406"/>
    <w:rsid w:val="00554C40"/>
    <w:rsid w:val="0055513C"/>
    <w:rsid w:val="00555351"/>
    <w:rsid w:val="00555622"/>
    <w:rsid w:val="005556F6"/>
    <w:rsid w:val="00556B10"/>
    <w:rsid w:val="00556DF5"/>
    <w:rsid w:val="005576E5"/>
    <w:rsid w:val="00557A05"/>
    <w:rsid w:val="00557AF9"/>
    <w:rsid w:val="00557B8C"/>
    <w:rsid w:val="005603DF"/>
    <w:rsid w:val="00560545"/>
    <w:rsid w:val="00560588"/>
    <w:rsid w:val="00560B20"/>
    <w:rsid w:val="00561409"/>
    <w:rsid w:val="00561B47"/>
    <w:rsid w:val="00561BAA"/>
    <w:rsid w:val="00561D0D"/>
    <w:rsid w:val="00563D4C"/>
    <w:rsid w:val="005647BF"/>
    <w:rsid w:val="00564CAB"/>
    <w:rsid w:val="00564FC9"/>
    <w:rsid w:val="0056546B"/>
    <w:rsid w:val="00565893"/>
    <w:rsid w:val="00565A55"/>
    <w:rsid w:val="00565FB3"/>
    <w:rsid w:val="00566173"/>
    <w:rsid w:val="00566265"/>
    <w:rsid w:val="00566644"/>
    <w:rsid w:val="0056682C"/>
    <w:rsid w:val="005668F5"/>
    <w:rsid w:val="00566BA7"/>
    <w:rsid w:val="00566C0D"/>
    <w:rsid w:val="00567197"/>
    <w:rsid w:val="00567562"/>
    <w:rsid w:val="005676DD"/>
    <w:rsid w:val="005677BA"/>
    <w:rsid w:val="00567D4C"/>
    <w:rsid w:val="00570045"/>
    <w:rsid w:val="0057036B"/>
    <w:rsid w:val="005706AC"/>
    <w:rsid w:val="00570A66"/>
    <w:rsid w:val="00570D65"/>
    <w:rsid w:val="005714B7"/>
    <w:rsid w:val="00572350"/>
    <w:rsid w:val="0057273E"/>
    <w:rsid w:val="005728FF"/>
    <w:rsid w:val="00573209"/>
    <w:rsid w:val="00573C9D"/>
    <w:rsid w:val="00573FF0"/>
    <w:rsid w:val="00574344"/>
    <w:rsid w:val="005745BC"/>
    <w:rsid w:val="00575F34"/>
    <w:rsid w:val="00576A8E"/>
    <w:rsid w:val="0057738B"/>
    <w:rsid w:val="005775A4"/>
    <w:rsid w:val="00577CE4"/>
    <w:rsid w:val="00580149"/>
    <w:rsid w:val="0058039A"/>
    <w:rsid w:val="0058073A"/>
    <w:rsid w:val="0058088E"/>
    <w:rsid w:val="00580F15"/>
    <w:rsid w:val="005811B2"/>
    <w:rsid w:val="00581E8E"/>
    <w:rsid w:val="00581FD7"/>
    <w:rsid w:val="00582011"/>
    <w:rsid w:val="00582347"/>
    <w:rsid w:val="00582CCA"/>
    <w:rsid w:val="00582FA4"/>
    <w:rsid w:val="00583D35"/>
    <w:rsid w:val="005847BB"/>
    <w:rsid w:val="00584804"/>
    <w:rsid w:val="00584A3D"/>
    <w:rsid w:val="00584BC9"/>
    <w:rsid w:val="00584F25"/>
    <w:rsid w:val="005855C2"/>
    <w:rsid w:val="0058658D"/>
    <w:rsid w:val="00586CD0"/>
    <w:rsid w:val="00586D93"/>
    <w:rsid w:val="00587BD0"/>
    <w:rsid w:val="00590F88"/>
    <w:rsid w:val="00591856"/>
    <w:rsid w:val="0059190B"/>
    <w:rsid w:val="00592057"/>
    <w:rsid w:val="00592090"/>
    <w:rsid w:val="00592924"/>
    <w:rsid w:val="00592E52"/>
    <w:rsid w:val="0059352E"/>
    <w:rsid w:val="0059361E"/>
    <w:rsid w:val="0059422E"/>
    <w:rsid w:val="00594294"/>
    <w:rsid w:val="005942D7"/>
    <w:rsid w:val="005946DC"/>
    <w:rsid w:val="00595A99"/>
    <w:rsid w:val="00596096"/>
    <w:rsid w:val="00596A0A"/>
    <w:rsid w:val="00596C4E"/>
    <w:rsid w:val="00596F88"/>
    <w:rsid w:val="0059721B"/>
    <w:rsid w:val="005973ED"/>
    <w:rsid w:val="005977A7"/>
    <w:rsid w:val="005977F3"/>
    <w:rsid w:val="00597A38"/>
    <w:rsid w:val="00597B10"/>
    <w:rsid w:val="00597C3E"/>
    <w:rsid w:val="005A003D"/>
    <w:rsid w:val="005A0658"/>
    <w:rsid w:val="005A0BA6"/>
    <w:rsid w:val="005A11C0"/>
    <w:rsid w:val="005A1298"/>
    <w:rsid w:val="005A1703"/>
    <w:rsid w:val="005A1A5B"/>
    <w:rsid w:val="005A1D94"/>
    <w:rsid w:val="005A1FED"/>
    <w:rsid w:val="005A207D"/>
    <w:rsid w:val="005A2174"/>
    <w:rsid w:val="005A2742"/>
    <w:rsid w:val="005A2779"/>
    <w:rsid w:val="005A28E0"/>
    <w:rsid w:val="005A3092"/>
    <w:rsid w:val="005A3408"/>
    <w:rsid w:val="005A37F5"/>
    <w:rsid w:val="005A3DAB"/>
    <w:rsid w:val="005A44D7"/>
    <w:rsid w:val="005A46B1"/>
    <w:rsid w:val="005A53E4"/>
    <w:rsid w:val="005A5563"/>
    <w:rsid w:val="005A55F9"/>
    <w:rsid w:val="005A6658"/>
    <w:rsid w:val="005A6C21"/>
    <w:rsid w:val="005A6F21"/>
    <w:rsid w:val="005A70D2"/>
    <w:rsid w:val="005B0203"/>
    <w:rsid w:val="005B06E3"/>
    <w:rsid w:val="005B09AC"/>
    <w:rsid w:val="005B0B6F"/>
    <w:rsid w:val="005B1266"/>
    <w:rsid w:val="005B18F6"/>
    <w:rsid w:val="005B1958"/>
    <w:rsid w:val="005B22EB"/>
    <w:rsid w:val="005B26C1"/>
    <w:rsid w:val="005B298E"/>
    <w:rsid w:val="005B384B"/>
    <w:rsid w:val="005B40DC"/>
    <w:rsid w:val="005B40E8"/>
    <w:rsid w:val="005B480B"/>
    <w:rsid w:val="005B4A7B"/>
    <w:rsid w:val="005B4C5D"/>
    <w:rsid w:val="005B5567"/>
    <w:rsid w:val="005B5866"/>
    <w:rsid w:val="005B5BB6"/>
    <w:rsid w:val="005B5D37"/>
    <w:rsid w:val="005B6919"/>
    <w:rsid w:val="005B75CF"/>
    <w:rsid w:val="005C09BD"/>
    <w:rsid w:val="005C13CB"/>
    <w:rsid w:val="005C1CC3"/>
    <w:rsid w:val="005C1E15"/>
    <w:rsid w:val="005C2183"/>
    <w:rsid w:val="005C2434"/>
    <w:rsid w:val="005C24F6"/>
    <w:rsid w:val="005C2AAF"/>
    <w:rsid w:val="005C2BF3"/>
    <w:rsid w:val="005C30C7"/>
    <w:rsid w:val="005C33C8"/>
    <w:rsid w:val="005C33F6"/>
    <w:rsid w:val="005C3912"/>
    <w:rsid w:val="005C3EB4"/>
    <w:rsid w:val="005C4430"/>
    <w:rsid w:val="005C498A"/>
    <w:rsid w:val="005C56B3"/>
    <w:rsid w:val="005C58A8"/>
    <w:rsid w:val="005C58DC"/>
    <w:rsid w:val="005C5A9A"/>
    <w:rsid w:val="005C5D9D"/>
    <w:rsid w:val="005C5DC5"/>
    <w:rsid w:val="005C6500"/>
    <w:rsid w:val="005C65F3"/>
    <w:rsid w:val="005C7038"/>
    <w:rsid w:val="005D050C"/>
    <w:rsid w:val="005D1AA6"/>
    <w:rsid w:val="005D1ED7"/>
    <w:rsid w:val="005D29CE"/>
    <w:rsid w:val="005D2B3D"/>
    <w:rsid w:val="005D3920"/>
    <w:rsid w:val="005D3E47"/>
    <w:rsid w:val="005D404D"/>
    <w:rsid w:val="005D49A0"/>
    <w:rsid w:val="005D4C71"/>
    <w:rsid w:val="005D4D7F"/>
    <w:rsid w:val="005D4FBC"/>
    <w:rsid w:val="005D5830"/>
    <w:rsid w:val="005D63F5"/>
    <w:rsid w:val="005D6AF6"/>
    <w:rsid w:val="005D7182"/>
    <w:rsid w:val="005D75AF"/>
    <w:rsid w:val="005E0C01"/>
    <w:rsid w:val="005E0E23"/>
    <w:rsid w:val="005E18EB"/>
    <w:rsid w:val="005E2EF4"/>
    <w:rsid w:val="005E3187"/>
    <w:rsid w:val="005E3344"/>
    <w:rsid w:val="005E3C1E"/>
    <w:rsid w:val="005E4083"/>
    <w:rsid w:val="005E44D5"/>
    <w:rsid w:val="005E47E1"/>
    <w:rsid w:val="005E4EED"/>
    <w:rsid w:val="005E5A87"/>
    <w:rsid w:val="005E5DEE"/>
    <w:rsid w:val="005E5E5D"/>
    <w:rsid w:val="005E61B4"/>
    <w:rsid w:val="005E61F7"/>
    <w:rsid w:val="005E652F"/>
    <w:rsid w:val="005E673F"/>
    <w:rsid w:val="005E6A17"/>
    <w:rsid w:val="005E6FAA"/>
    <w:rsid w:val="005E70A1"/>
    <w:rsid w:val="005E7B23"/>
    <w:rsid w:val="005F0261"/>
    <w:rsid w:val="005F05D2"/>
    <w:rsid w:val="005F0949"/>
    <w:rsid w:val="005F194D"/>
    <w:rsid w:val="005F1BE1"/>
    <w:rsid w:val="005F1D39"/>
    <w:rsid w:val="005F1E94"/>
    <w:rsid w:val="005F2362"/>
    <w:rsid w:val="005F2B1B"/>
    <w:rsid w:val="005F31B6"/>
    <w:rsid w:val="005F3BEB"/>
    <w:rsid w:val="005F41A0"/>
    <w:rsid w:val="005F454A"/>
    <w:rsid w:val="005F45C2"/>
    <w:rsid w:val="005F4792"/>
    <w:rsid w:val="005F5060"/>
    <w:rsid w:val="005F579B"/>
    <w:rsid w:val="005F5F40"/>
    <w:rsid w:val="005F68BA"/>
    <w:rsid w:val="005F69E4"/>
    <w:rsid w:val="005F7257"/>
    <w:rsid w:val="00600977"/>
    <w:rsid w:val="00600C65"/>
    <w:rsid w:val="00600D0A"/>
    <w:rsid w:val="00600DE8"/>
    <w:rsid w:val="006011E6"/>
    <w:rsid w:val="00601409"/>
    <w:rsid w:val="00602343"/>
    <w:rsid w:val="00602724"/>
    <w:rsid w:val="0060280F"/>
    <w:rsid w:val="00602AC3"/>
    <w:rsid w:val="00602F84"/>
    <w:rsid w:val="0060351C"/>
    <w:rsid w:val="0060439B"/>
    <w:rsid w:val="00604D29"/>
    <w:rsid w:val="00605918"/>
    <w:rsid w:val="00605E7A"/>
    <w:rsid w:val="00605FCB"/>
    <w:rsid w:val="006066AB"/>
    <w:rsid w:val="006066D9"/>
    <w:rsid w:val="00606D47"/>
    <w:rsid w:val="00607045"/>
    <w:rsid w:val="00607085"/>
    <w:rsid w:val="0060727A"/>
    <w:rsid w:val="006075C1"/>
    <w:rsid w:val="00607C43"/>
    <w:rsid w:val="00607F5F"/>
    <w:rsid w:val="00610B66"/>
    <w:rsid w:val="00612C2B"/>
    <w:rsid w:val="00613162"/>
    <w:rsid w:val="00613430"/>
    <w:rsid w:val="006139AA"/>
    <w:rsid w:val="006150F5"/>
    <w:rsid w:val="0061532D"/>
    <w:rsid w:val="0061585A"/>
    <w:rsid w:val="0061630A"/>
    <w:rsid w:val="00616326"/>
    <w:rsid w:val="00616394"/>
    <w:rsid w:val="006167BC"/>
    <w:rsid w:val="0061684F"/>
    <w:rsid w:val="00616BDA"/>
    <w:rsid w:val="00616D44"/>
    <w:rsid w:val="00617685"/>
    <w:rsid w:val="00617CC9"/>
    <w:rsid w:val="006206BF"/>
    <w:rsid w:val="006214F4"/>
    <w:rsid w:val="0062174B"/>
    <w:rsid w:val="00621F8C"/>
    <w:rsid w:val="00622662"/>
    <w:rsid w:val="006226A7"/>
    <w:rsid w:val="0062272A"/>
    <w:rsid w:val="00624324"/>
    <w:rsid w:val="00624BA2"/>
    <w:rsid w:val="00624D39"/>
    <w:rsid w:val="00624E00"/>
    <w:rsid w:val="00625967"/>
    <w:rsid w:val="00625CDF"/>
    <w:rsid w:val="00625F6E"/>
    <w:rsid w:val="00625F9B"/>
    <w:rsid w:val="00625FC2"/>
    <w:rsid w:val="00626275"/>
    <w:rsid w:val="006262C7"/>
    <w:rsid w:val="0062630A"/>
    <w:rsid w:val="006306FB"/>
    <w:rsid w:val="00630914"/>
    <w:rsid w:val="00630A51"/>
    <w:rsid w:val="00630ABB"/>
    <w:rsid w:val="00630BF9"/>
    <w:rsid w:val="00630D0D"/>
    <w:rsid w:val="00631220"/>
    <w:rsid w:val="00631230"/>
    <w:rsid w:val="00631409"/>
    <w:rsid w:val="006317C6"/>
    <w:rsid w:val="00631D2E"/>
    <w:rsid w:val="00631E57"/>
    <w:rsid w:val="006338C6"/>
    <w:rsid w:val="00633D3A"/>
    <w:rsid w:val="006342F6"/>
    <w:rsid w:val="00634377"/>
    <w:rsid w:val="00634843"/>
    <w:rsid w:val="0063511D"/>
    <w:rsid w:val="006353D1"/>
    <w:rsid w:val="0063593A"/>
    <w:rsid w:val="006359AD"/>
    <w:rsid w:val="00635B46"/>
    <w:rsid w:val="006373A8"/>
    <w:rsid w:val="00637B01"/>
    <w:rsid w:val="00637CF9"/>
    <w:rsid w:val="00637D4B"/>
    <w:rsid w:val="00637DE9"/>
    <w:rsid w:val="006401AF"/>
    <w:rsid w:val="006406FD"/>
    <w:rsid w:val="006407F3"/>
    <w:rsid w:val="006417D9"/>
    <w:rsid w:val="00641C2E"/>
    <w:rsid w:val="00641D80"/>
    <w:rsid w:val="00642132"/>
    <w:rsid w:val="0064283E"/>
    <w:rsid w:val="00642B12"/>
    <w:rsid w:val="00642DCA"/>
    <w:rsid w:val="00643BCB"/>
    <w:rsid w:val="0064447F"/>
    <w:rsid w:val="0064485B"/>
    <w:rsid w:val="00644D0D"/>
    <w:rsid w:val="00644FE3"/>
    <w:rsid w:val="00645B92"/>
    <w:rsid w:val="00645C51"/>
    <w:rsid w:val="00645D59"/>
    <w:rsid w:val="0064610A"/>
    <w:rsid w:val="006466F1"/>
    <w:rsid w:val="00646A12"/>
    <w:rsid w:val="00646EAC"/>
    <w:rsid w:val="00646F93"/>
    <w:rsid w:val="006504CD"/>
    <w:rsid w:val="00650BCE"/>
    <w:rsid w:val="00650D73"/>
    <w:rsid w:val="00651530"/>
    <w:rsid w:val="0065237F"/>
    <w:rsid w:val="00653011"/>
    <w:rsid w:val="006530BF"/>
    <w:rsid w:val="00653365"/>
    <w:rsid w:val="006533DF"/>
    <w:rsid w:val="00653D54"/>
    <w:rsid w:val="006549E4"/>
    <w:rsid w:val="00655814"/>
    <w:rsid w:val="00655F01"/>
    <w:rsid w:val="00656958"/>
    <w:rsid w:val="006569E9"/>
    <w:rsid w:val="00656AC1"/>
    <w:rsid w:val="006578CC"/>
    <w:rsid w:val="00657F2B"/>
    <w:rsid w:val="0066036C"/>
    <w:rsid w:val="006603A0"/>
    <w:rsid w:val="00660B7F"/>
    <w:rsid w:val="00661A6C"/>
    <w:rsid w:val="00661D0C"/>
    <w:rsid w:val="006628B2"/>
    <w:rsid w:val="0066321F"/>
    <w:rsid w:val="006635C6"/>
    <w:rsid w:val="006637EF"/>
    <w:rsid w:val="00663BD0"/>
    <w:rsid w:val="00665285"/>
    <w:rsid w:val="006654D6"/>
    <w:rsid w:val="0066591F"/>
    <w:rsid w:val="006674C4"/>
    <w:rsid w:val="00667582"/>
    <w:rsid w:val="006676A3"/>
    <w:rsid w:val="00670202"/>
    <w:rsid w:val="0067021A"/>
    <w:rsid w:val="00670231"/>
    <w:rsid w:val="006707B2"/>
    <w:rsid w:val="00671B2F"/>
    <w:rsid w:val="00671BEB"/>
    <w:rsid w:val="00671D81"/>
    <w:rsid w:val="00671E40"/>
    <w:rsid w:val="0067206B"/>
    <w:rsid w:val="00673424"/>
    <w:rsid w:val="0067354B"/>
    <w:rsid w:val="00673C16"/>
    <w:rsid w:val="006742C1"/>
    <w:rsid w:val="006745E5"/>
    <w:rsid w:val="00674EE0"/>
    <w:rsid w:val="006755EC"/>
    <w:rsid w:val="00675ED7"/>
    <w:rsid w:val="006761C2"/>
    <w:rsid w:val="006774AF"/>
    <w:rsid w:val="006775D5"/>
    <w:rsid w:val="00680212"/>
    <w:rsid w:val="0068022A"/>
    <w:rsid w:val="006803AE"/>
    <w:rsid w:val="0068077D"/>
    <w:rsid w:val="00680A8C"/>
    <w:rsid w:val="00681234"/>
    <w:rsid w:val="0068196A"/>
    <w:rsid w:val="00681D12"/>
    <w:rsid w:val="00681EA6"/>
    <w:rsid w:val="006822EE"/>
    <w:rsid w:val="0068246B"/>
    <w:rsid w:val="006826BB"/>
    <w:rsid w:val="00682DEC"/>
    <w:rsid w:val="00682E60"/>
    <w:rsid w:val="006834B4"/>
    <w:rsid w:val="00683B84"/>
    <w:rsid w:val="00684170"/>
    <w:rsid w:val="00684251"/>
    <w:rsid w:val="006846B9"/>
    <w:rsid w:val="00685723"/>
    <w:rsid w:val="00685DF1"/>
    <w:rsid w:val="006863BD"/>
    <w:rsid w:val="0068718D"/>
    <w:rsid w:val="0068751C"/>
    <w:rsid w:val="00687B5D"/>
    <w:rsid w:val="00690A20"/>
    <w:rsid w:val="00690D9F"/>
    <w:rsid w:val="006910EC"/>
    <w:rsid w:val="00691B3E"/>
    <w:rsid w:val="00691D9B"/>
    <w:rsid w:val="00693004"/>
    <w:rsid w:val="006930F2"/>
    <w:rsid w:val="00693E36"/>
    <w:rsid w:val="00694585"/>
    <w:rsid w:val="00695614"/>
    <w:rsid w:val="00695FB0"/>
    <w:rsid w:val="00696DA9"/>
    <w:rsid w:val="00697454"/>
    <w:rsid w:val="0069774E"/>
    <w:rsid w:val="006A047D"/>
    <w:rsid w:val="006A1BED"/>
    <w:rsid w:val="006A1CD0"/>
    <w:rsid w:val="006A1F0B"/>
    <w:rsid w:val="006A236C"/>
    <w:rsid w:val="006A259F"/>
    <w:rsid w:val="006A262E"/>
    <w:rsid w:val="006A2EAB"/>
    <w:rsid w:val="006A3034"/>
    <w:rsid w:val="006A3136"/>
    <w:rsid w:val="006A38B3"/>
    <w:rsid w:val="006A3E39"/>
    <w:rsid w:val="006A4040"/>
    <w:rsid w:val="006A41A2"/>
    <w:rsid w:val="006A4805"/>
    <w:rsid w:val="006A4A4F"/>
    <w:rsid w:val="006A4C6B"/>
    <w:rsid w:val="006A4DAD"/>
    <w:rsid w:val="006A5040"/>
    <w:rsid w:val="006A527A"/>
    <w:rsid w:val="006A5A6E"/>
    <w:rsid w:val="006A5C0B"/>
    <w:rsid w:val="006A6353"/>
    <w:rsid w:val="006A6892"/>
    <w:rsid w:val="006A6C5B"/>
    <w:rsid w:val="006A70DB"/>
    <w:rsid w:val="006A7380"/>
    <w:rsid w:val="006A77B8"/>
    <w:rsid w:val="006A7E3B"/>
    <w:rsid w:val="006A7FC7"/>
    <w:rsid w:val="006B0012"/>
    <w:rsid w:val="006B008E"/>
    <w:rsid w:val="006B01F6"/>
    <w:rsid w:val="006B036E"/>
    <w:rsid w:val="006B0463"/>
    <w:rsid w:val="006B1011"/>
    <w:rsid w:val="006B1709"/>
    <w:rsid w:val="006B22CE"/>
    <w:rsid w:val="006B233C"/>
    <w:rsid w:val="006B240A"/>
    <w:rsid w:val="006B2D52"/>
    <w:rsid w:val="006B2DA9"/>
    <w:rsid w:val="006B3D84"/>
    <w:rsid w:val="006B3DE6"/>
    <w:rsid w:val="006B40D7"/>
    <w:rsid w:val="006B4246"/>
    <w:rsid w:val="006B4797"/>
    <w:rsid w:val="006B48D6"/>
    <w:rsid w:val="006B56A6"/>
    <w:rsid w:val="006B5916"/>
    <w:rsid w:val="006B5AE0"/>
    <w:rsid w:val="006B5F59"/>
    <w:rsid w:val="006B64BC"/>
    <w:rsid w:val="006B744B"/>
    <w:rsid w:val="006B79C5"/>
    <w:rsid w:val="006C00A5"/>
    <w:rsid w:val="006C13C4"/>
    <w:rsid w:val="006C14E3"/>
    <w:rsid w:val="006C1A84"/>
    <w:rsid w:val="006C1DFC"/>
    <w:rsid w:val="006C1EBF"/>
    <w:rsid w:val="006C21EC"/>
    <w:rsid w:val="006C2992"/>
    <w:rsid w:val="006C2B1C"/>
    <w:rsid w:val="006C2BC4"/>
    <w:rsid w:val="006C2EB3"/>
    <w:rsid w:val="006C2F75"/>
    <w:rsid w:val="006C3C64"/>
    <w:rsid w:val="006C463A"/>
    <w:rsid w:val="006C4912"/>
    <w:rsid w:val="006C5698"/>
    <w:rsid w:val="006C5824"/>
    <w:rsid w:val="006C69AC"/>
    <w:rsid w:val="006C7143"/>
    <w:rsid w:val="006C7293"/>
    <w:rsid w:val="006D0362"/>
    <w:rsid w:val="006D0DD6"/>
    <w:rsid w:val="006D0E82"/>
    <w:rsid w:val="006D0EAB"/>
    <w:rsid w:val="006D159A"/>
    <w:rsid w:val="006D1B4F"/>
    <w:rsid w:val="006D1C59"/>
    <w:rsid w:val="006D1D9B"/>
    <w:rsid w:val="006D200F"/>
    <w:rsid w:val="006D21ED"/>
    <w:rsid w:val="006D2824"/>
    <w:rsid w:val="006D2DFE"/>
    <w:rsid w:val="006D317C"/>
    <w:rsid w:val="006D3608"/>
    <w:rsid w:val="006D44AF"/>
    <w:rsid w:val="006D4D89"/>
    <w:rsid w:val="006D4D9E"/>
    <w:rsid w:val="006D4E7A"/>
    <w:rsid w:val="006D538C"/>
    <w:rsid w:val="006D5C86"/>
    <w:rsid w:val="006D5D32"/>
    <w:rsid w:val="006D671C"/>
    <w:rsid w:val="006D741C"/>
    <w:rsid w:val="006D788F"/>
    <w:rsid w:val="006D7CF7"/>
    <w:rsid w:val="006D7E43"/>
    <w:rsid w:val="006E04FE"/>
    <w:rsid w:val="006E08E1"/>
    <w:rsid w:val="006E0971"/>
    <w:rsid w:val="006E134F"/>
    <w:rsid w:val="006E18DD"/>
    <w:rsid w:val="006E2F24"/>
    <w:rsid w:val="006E33C1"/>
    <w:rsid w:val="006E3514"/>
    <w:rsid w:val="006E36D8"/>
    <w:rsid w:val="006E39F2"/>
    <w:rsid w:val="006E3F61"/>
    <w:rsid w:val="006E3F84"/>
    <w:rsid w:val="006E418C"/>
    <w:rsid w:val="006E4459"/>
    <w:rsid w:val="006E4B16"/>
    <w:rsid w:val="006E4E47"/>
    <w:rsid w:val="006E5C2C"/>
    <w:rsid w:val="006E5E7C"/>
    <w:rsid w:val="006E5EFE"/>
    <w:rsid w:val="006E63A2"/>
    <w:rsid w:val="006E653E"/>
    <w:rsid w:val="006E7DCB"/>
    <w:rsid w:val="006F040D"/>
    <w:rsid w:val="006F099B"/>
    <w:rsid w:val="006F0F9C"/>
    <w:rsid w:val="006F1078"/>
    <w:rsid w:val="006F15D5"/>
    <w:rsid w:val="006F1A43"/>
    <w:rsid w:val="006F1BDA"/>
    <w:rsid w:val="006F284E"/>
    <w:rsid w:val="006F2AC5"/>
    <w:rsid w:val="006F3ED2"/>
    <w:rsid w:val="006F4656"/>
    <w:rsid w:val="006F4A66"/>
    <w:rsid w:val="006F513F"/>
    <w:rsid w:val="006F539F"/>
    <w:rsid w:val="006F5536"/>
    <w:rsid w:val="006F5630"/>
    <w:rsid w:val="006F59B6"/>
    <w:rsid w:val="006F5F20"/>
    <w:rsid w:val="006F5F27"/>
    <w:rsid w:val="006F6061"/>
    <w:rsid w:val="006F61D2"/>
    <w:rsid w:val="006F652A"/>
    <w:rsid w:val="006F7C35"/>
    <w:rsid w:val="006F7E26"/>
    <w:rsid w:val="007000F8"/>
    <w:rsid w:val="007005C2"/>
    <w:rsid w:val="00700D7D"/>
    <w:rsid w:val="007011AD"/>
    <w:rsid w:val="0070148C"/>
    <w:rsid w:val="007019F3"/>
    <w:rsid w:val="00701BEF"/>
    <w:rsid w:val="007031A7"/>
    <w:rsid w:val="007035DF"/>
    <w:rsid w:val="007036D1"/>
    <w:rsid w:val="00703A24"/>
    <w:rsid w:val="00704531"/>
    <w:rsid w:val="007045BD"/>
    <w:rsid w:val="00704C0D"/>
    <w:rsid w:val="007057B4"/>
    <w:rsid w:val="0070611F"/>
    <w:rsid w:val="007067CB"/>
    <w:rsid w:val="00706EA6"/>
    <w:rsid w:val="00707D24"/>
    <w:rsid w:val="00707F55"/>
    <w:rsid w:val="00710071"/>
    <w:rsid w:val="00710336"/>
    <w:rsid w:val="00710404"/>
    <w:rsid w:val="00711272"/>
    <w:rsid w:val="00711CA6"/>
    <w:rsid w:val="00711D2C"/>
    <w:rsid w:val="007120E8"/>
    <w:rsid w:val="00712310"/>
    <w:rsid w:val="00712590"/>
    <w:rsid w:val="0071270F"/>
    <w:rsid w:val="00712738"/>
    <w:rsid w:val="0071312B"/>
    <w:rsid w:val="007132A5"/>
    <w:rsid w:val="00713655"/>
    <w:rsid w:val="00713687"/>
    <w:rsid w:val="0071403E"/>
    <w:rsid w:val="00714560"/>
    <w:rsid w:val="00714DE1"/>
    <w:rsid w:val="00714EA6"/>
    <w:rsid w:val="007152F9"/>
    <w:rsid w:val="00715734"/>
    <w:rsid w:val="007157AD"/>
    <w:rsid w:val="0071581A"/>
    <w:rsid w:val="00716054"/>
    <w:rsid w:val="00716065"/>
    <w:rsid w:val="007161CF"/>
    <w:rsid w:val="0071626D"/>
    <w:rsid w:val="00716A34"/>
    <w:rsid w:val="007171DF"/>
    <w:rsid w:val="00717391"/>
    <w:rsid w:val="00717BC7"/>
    <w:rsid w:val="00720331"/>
    <w:rsid w:val="00721214"/>
    <w:rsid w:val="0072144C"/>
    <w:rsid w:val="007217BF"/>
    <w:rsid w:val="00721AE9"/>
    <w:rsid w:val="00722D5A"/>
    <w:rsid w:val="0072349C"/>
    <w:rsid w:val="00723892"/>
    <w:rsid w:val="00723C48"/>
    <w:rsid w:val="00724B49"/>
    <w:rsid w:val="00725D02"/>
    <w:rsid w:val="00726403"/>
    <w:rsid w:val="00726931"/>
    <w:rsid w:val="00726B60"/>
    <w:rsid w:val="00726F2A"/>
    <w:rsid w:val="00726FC3"/>
    <w:rsid w:val="00726FD1"/>
    <w:rsid w:val="00727021"/>
    <w:rsid w:val="00727043"/>
    <w:rsid w:val="00727CBE"/>
    <w:rsid w:val="00727CEB"/>
    <w:rsid w:val="00727F31"/>
    <w:rsid w:val="00730012"/>
    <w:rsid w:val="00730052"/>
    <w:rsid w:val="00730149"/>
    <w:rsid w:val="0073028D"/>
    <w:rsid w:val="00730791"/>
    <w:rsid w:val="00731033"/>
    <w:rsid w:val="007317AD"/>
    <w:rsid w:val="00731AA7"/>
    <w:rsid w:val="00732651"/>
    <w:rsid w:val="00732840"/>
    <w:rsid w:val="00732D32"/>
    <w:rsid w:val="00732EC5"/>
    <w:rsid w:val="0073336B"/>
    <w:rsid w:val="007336B4"/>
    <w:rsid w:val="0073388E"/>
    <w:rsid w:val="00733CB5"/>
    <w:rsid w:val="00733FCA"/>
    <w:rsid w:val="00734321"/>
    <w:rsid w:val="007347EC"/>
    <w:rsid w:val="00734A83"/>
    <w:rsid w:val="00734DD3"/>
    <w:rsid w:val="00734E42"/>
    <w:rsid w:val="00735720"/>
    <w:rsid w:val="007361AE"/>
    <w:rsid w:val="00736AD6"/>
    <w:rsid w:val="00736D32"/>
    <w:rsid w:val="00737236"/>
    <w:rsid w:val="00737602"/>
    <w:rsid w:val="007378C5"/>
    <w:rsid w:val="00740225"/>
    <w:rsid w:val="007402B9"/>
    <w:rsid w:val="007405D0"/>
    <w:rsid w:val="00740907"/>
    <w:rsid w:val="00740CA4"/>
    <w:rsid w:val="00740EB5"/>
    <w:rsid w:val="00741638"/>
    <w:rsid w:val="007419EC"/>
    <w:rsid w:val="00741C14"/>
    <w:rsid w:val="00741C74"/>
    <w:rsid w:val="0074228D"/>
    <w:rsid w:val="007425E8"/>
    <w:rsid w:val="00742B5B"/>
    <w:rsid w:val="00742BF8"/>
    <w:rsid w:val="007431BC"/>
    <w:rsid w:val="00743719"/>
    <w:rsid w:val="00744259"/>
    <w:rsid w:val="00744E9B"/>
    <w:rsid w:val="0074555B"/>
    <w:rsid w:val="0074617E"/>
    <w:rsid w:val="0074639B"/>
    <w:rsid w:val="00746863"/>
    <w:rsid w:val="00746933"/>
    <w:rsid w:val="00746EC1"/>
    <w:rsid w:val="007472FF"/>
    <w:rsid w:val="00747532"/>
    <w:rsid w:val="007477CF"/>
    <w:rsid w:val="00747A85"/>
    <w:rsid w:val="00747FCC"/>
    <w:rsid w:val="00750011"/>
    <w:rsid w:val="0075013C"/>
    <w:rsid w:val="00750492"/>
    <w:rsid w:val="00750566"/>
    <w:rsid w:val="00750971"/>
    <w:rsid w:val="00750CC8"/>
    <w:rsid w:val="00750E59"/>
    <w:rsid w:val="00751A68"/>
    <w:rsid w:val="00752135"/>
    <w:rsid w:val="00752A8B"/>
    <w:rsid w:val="00752AD4"/>
    <w:rsid w:val="00753179"/>
    <w:rsid w:val="007531A9"/>
    <w:rsid w:val="0075321C"/>
    <w:rsid w:val="0075345F"/>
    <w:rsid w:val="007538F0"/>
    <w:rsid w:val="0075390D"/>
    <w:rsid w:val="00753BD2"/>
    <w:rsid w:val="007541F0"/>
    <w:rsid w:val="00754D64"/>
    <w:rsid w:val="00755393"/>
    <w:rsid w:val="007561A3"/>
    <w:rsid w:val="00756813"/>
    <w:rsid w:val="00756F28"/>
    <w:rsid w:val="0075713A"/>
    <w:rsid w:val="0075752B"/>
    <w:rsid w:val="0075763C"/>
    <w:rsid w:val="0076052F"/>
    <w:rsid w:val="00760DB6"/>
    <w:rsid w:val="007610D8"/>
    <w:rsid w:val="00761C4E"/>
    <w:rsid w:val="00762006"/>
    <w:rsid w:val="007621F6"/>
    <w:rsid w:val="00762315"/>
    <w:rsid w:val="00762DE0"/>
    <w:rsid w:val="00762EF5"/>
    <w:rsid w:val="007632FC"/>
    <w:rsid w:val="0076374C"/>
    <w:rsid w:val="00763988"/>
    <w:rsid w:val="00764694"/>
    <w:rsid w:val="00764972"/>
    <w:rsid w:val="00764FD6"/>
    <w:rsid w:val="00766319"/>
    <w:rsid w:val="00766370"/>
    <w:rsid w:val="00766A8D"/>
    <w:rsid w:val="00766BA0"/>
    <w:rsid w:val="00767EAC"/>
    <w:rsid w:val="00770888"/>
    <w:rsid w:val="00770A3E"/>
    <w:rsid w:val="00771162"/>
    <w:rsid w:val="00771893"/>
    <w:rsid w:val="00771A55"/>
    <w:rsid w:val="00771B8D"/>
    <w:rsid w:val="00771E16"/>
    <w:rsid w:val="0077260B"/>
    <w:rsid w:val="007730E4"/>
    <w:rsid w:val="007731A3"/>
    <w:rsid w:val="007733F1"/>
    <w:rsid w:val="007735B0"/>
    <w:rsid w:val="00773947"/>
    <w:rsid w:val="007741FB"/>
    <w:rsid w:val="007743D9"/>
    <w:rsid w:val="00774CDC"/>
    <w:rsid w:val="00774DFE"/>
    <w:rsid w:val="0077540B"/>
    <w:rsid w:val="0077569B"/>
    <w:rsid w:val="00776114"/>
    <w:rsid w:val="007762FA"/>
    <w:rsid w:val="007763A1"/>
    <w:rsid w:val="0077656A"/>
    <w:rsid w:val="00776919"/>
    <w:rsid w:val="0077776D"/>
    <w:rsid w:val="007801B2"/>
    <w:rsid w:val="00780E4A"/>
    <w:rsid w:val="00781BC2"/>
    <w:rsid w:val="00781CD1"/>
    <w:rsid w:val="00782A21"/>
    <w:rsid w:val="00782AF1"/>
    <w:rsid w:val="00782B07"/>
    <w:rsid w:val="007831B0"/>
    <w:rsid w:val="00783B93"/>
    <w:rsid w:val="0078489A"/>
    <w:rsid w:val="00784A3A"/>
    <w:rsid w:val="00784DFB"/>
    <w:rsid w:val="0078586A"/>
    <w:rsid w:val="00785C61"/>
    <w:rsid w:val="00785C68"/>
    <w:rsid w:val="00785D18"/>
    <w:rsid w:val="00785DAD"/>
    <w:rsid w:val="00787240"/>
    <w:rsid w:val="00790432"/>
    <w:rsid w:val="00790520"/>
    <w:rsid w:val="007907BE"/>
    <w:rsid w:val="00790E76"/>
    <w:rsid w:val="00791058"/>
    <w:rsid w:val="007915CA"/>
    <w:rsid w:val="00791853"/>
    <w:rsid w:val="007925A7"/>
    <w:rsid w:val="00792A67"/>
    <w:rsid w:val="007934ED"/>
    <w:rsid w:val="00793AC8"/>
    <w:rsid w:val="00793CD2"/>
    <w:rsid w:val="0079502E"/>
    <w:rsid w:val="007959FE"/>
    <w:rsid w:val="00796A06"/>
    <w:rsid w:val="0079740C"/>
    <w:rsid w:val="00797C1A"/>
    <w:rsid w:val="00797E69"/>
    <w:rsid w:val="007A0094"/>
    <w:rsid w:val="007A0354"/>
    <w:rsid w:val="007A0605"/>
    <w:rsid w:val="007A245C"/>
    <w:rsid w:val="007A24B5"/>
    <w:rsid w:val="007A2617"/>
    <w:rsid w:val="007A4951"/>
    <w:rsid w:val="007A52DB"/>
    <w:rsid w:val="007A53CD"/>
    <w:rsid w:val="007A53E2"/>
    <w:rsid w:val="007A58B2"/>
    <w:rsid w:val="007A5C11"/>
    <w:rsid w:val="007A5FA3"/>
    <w:rsid w:val="007A5FB4"/>
    <w:rsid w:val="007A62A3"/>
    <w:rsid w:val="007A64F5"/>
    <w:rsid w:val="007A6801"/>
    <w:rsid w:val="007A682F"/>
    <w:rsid w:val="007A6A22"/>
    <w:rsid w:val="007A6F6E"/>
    <w:rsid w:val="007A767B"/>
    <w:rsid w:val="007A76F9"/>
    <w:rsid w:val="007A7739"/>
    <w:rsid w:val="007A79CD"/>
    <w:rsid w:val="007A7F4F"/>
    <w:rsid w:val="007B0282"/>
    <w:rsid w:val="007B070A"/>
    <w:rsid w:val="007B0A32"/>
    <w:rsid w:val="007B0D06"/>
    <w:rsid w:val="007B135F"/>
    <w:rsid w:val="007B14DD"/>
    <w:rsid w:val="007B18F1"/>
    <w:rsid w:val="007B1C04"/>
    <w:rsid w:val="007B1E3B"/>
    <w:rsid w:val="007B25A4"/>
    <w:rsid w:val="007B2A7D"/>
    <w:rsid w:val="007B2EB3"/>
    <w:rsid w:val="007B3331"/>
    <w:rsid w:val="007B472E"/>
    <w:rsid w:val="007B4BDA"/>
    <w:rsid w:val="007B4BFD"/>
    <w:rsid w:val="007B5076"/>
    <w:rsid w:val="007B5234"/>
    <w:rsid w:val="007B531D"/>
    <w:rsid w:val="007B5418"/>
    <w:rsid w:val="007B569D"/>
    <w:rsid w:val="007B56B2"/>
    <w:rsid w:val="007B5783"/>
    <w:rsid w:val="007B64E0"/>
    <w:rsid w:val="007B651B"/>
    <w:rsid w:val="007B6B74"/>
    <w:rsid w:val="007B6ED8"/>
    <w:rsid w:val="007B716A"/>
    <w:rsid w:val="007B74CB"/>
    <w:rsid w:val="007C0147"/>
    <w:rsid w:val="007C05B2"/>
    <w:rsid w:val="007C0902"/>
    <w:rsid w:val="007C0B7D"/>
    <w:rsid w:val="007C108D"/>
    <w:rsid w:val="007C123B"/>
    <w:rsid w:val="007C2325"/>
    <w:rsid w:val="007C26BD"/>
    <w:rsid w:val="007C2BD8"/>
    <w:rsid w:val="007C368D"/>
    <w:rsid w:val="007C3904"/>
    <w:rsid w:val="007C4208"/>
    <w:rsid w:val="007C438D"/>
    <w:rsid w:val="007C45E4"/>
    <w:rsid w:val="007C480D"/>
    <w:rsid w:val="007C529F"/>
    <w:rsid w:val="007C670C"/>
    <w:rsid w:val="007C6FC9"/>
    <w:rsid w:val="007C7013"/>
    <w:rsid w:val="007C7276"/>
    <w:rsid w:val="007C7287"/>
    <w:rsid w:val="007C74BF"/>
    <w:rsid w:val="007C76B6"/>
    <w:rsid w:val="007D0004"/>
    <w:rsid w:val="007D01D4"/>
    <w:rsid w:val="007D0BF2"/>
    <w:rsid w:val="007D0EDA"/>
    <w:rsid w:val="007D0FC4"/>
    <w:rsid w:val="007D1E2D"/>
    <w:rsid w:val="007D22CC"/>
    <w:rsid w:val="007D252A"/>
    <w:rsid w:val="007D32A8"/>
    <w:rsid w:val="007D34CD"/>
    <w:rsid w:val="007D3A5F"/>
    <w:rsid w:val="007D4341"/>
    <w:rsid w:val="007D47DB"/>
    <w:rsid w:val="007D4AFB"/>
    <w:rsid w:val="007D4C7A"/>
    <w:rsid w:val="007D4CCA"/>
    <w:rsid w:val="007D502E"/>
    <w:rsid w:val="007D540E"/>
    <w:rsid w:val="007D5753"/>
    <w:rsid w:val="007D5C60"/>
    <w:rsid w:val="007D5FF6"/>
    <w:rsid w:val="007D60C3"/>
    <w:rsid w:val="007D7107"/>
    <w:rsid w:val="007D717D"/>
    <w:rsid w:val="007D767D"/>
    <w:rsid w:val="007E06D9"/>
    <w:rsid w:val="007E0CFD"/>
    <w:rsid w:val="007E0E5B"/>
    <w:rsid w:val="007E1181"/>
    <w:rsid w:val="007E134D"/>
    <w:rsid w:val="007E1A53"/>
    <w:rsid w:val="007E2BA5"/>
    <w:rsid w:val="007E2EEE"/>
    <w:rsid w:val="007E31B2"/>
    <w:rsid w:val="007E440D"/>
    <w:rsid w:val="007E489D"/>
    <w:rsid w:val="007E4C80"/>
    <w:rsid w:val="007E549B"/>
    <w:rsid w:val="007E58E9"/>
    <w:rsid w:val="007E5E29"/>
    <w:rsid w:val="007E6520"/>
    <w:rsid w:val="007E6D4E"/>
    <w:rsid w:val="007E7067"/>
    <w:rsid w:val="007E722B"/>
    <w:rsid w:val="007E7CB7"/>
    <w:rsid w:val="007F01C2"/>
    <w:rsid w:val="007F03D9"/>
    <w:rsid w:val="007F0F1A"/>
    <w:rsid w:val="007F18C4"/>
    <w:rsid w:val="007F210B"/>
    <w:rsid w:val="007F2304"/>
    <w:rsid w:val="007F239B"/>
    <w:rsid w:val="007F281E"/>
    <w:rsid w:val="007F29DE"/>
    <w:rsid w:val="007F2AE5"/>
    <w:rsid w:val="007F35D9"/>
    <w:rsid w:val="007F39CB"/>
    <w:rsid w:val="007F4A37"/>
    <w:rsid w:val="007F4A98"/>
    <w:rsid w:val="007F4E13"/>
    <w:rsid w:val="007F4E63"/>
    <w:rsid w:val="007F56C8"/>
    <w:rsid w:val="007F5901"/>
    <w:rsid w:val="007F591B"/>
    <w:rsid w:val="007F60C3"/>
    <w:rsid w:val="007F684D"/>
    <w:rsid w:val="007F6BAC"/>
    <w:rsid w:val="007F6D18"/>
    <w:rsid w:val="007F70B9"/>
    <w:rsid w:val="00800226"/>
    <w:rsid w:val="00800659"/>
    <w:rsid w:val="008008B4"/>
    <w:rsid w:val="00800FB9"/>
    <w:rsid w:val="00800FD5"/>
    <w:rsid w:val="0080180C"/>
    <w:rsid w:val="00802450"/>
    <w:rsid w:val="008025FC"/>
    <w:rsid w:val="00803B6A"/>
    <w:rsid w:val="0080429F"/>
    <w:rsid w:val="00804409"/>
    <w:rsid w:val="00805571"/>
    <w:rsid w:val="00805648"/>
    <w:rsid w:val="00805B1D"/>
    <w:rsid w:val="008060E5"/>
    <w:rsid w:val="00806245"/>
    <w:rsid w:val="00806257"/>
    <w:rsid w:val="0080639C"/>
    <w:rsid w:val="008065E6"/>
    <w:rsid w:val="00806A9B"/>
    <w:rsid w:val="00807573"/>
    <w:rsid w:val="008078A8"/>
    <w:rsid w:val="008079FD"/>
    <w:rsid w:val="00807BEB"/>
    <w:rsid w:val="00807E18"/>
    <w:rsid w:val="00807E5F"/>
    <w:rsid w:val="008105E2"/>
    <w:rsid w:val="00810846"/>
    <w:rsid w:val="00810FCE"/>
    <w:rsid w:val="0081151C"/>
    <w:rsid w:val="00811985"/>
    <w:rsid w:val="00811E67"/>
    <w:rsid w:val="0081201B"/>
    <w:rsid w:val="0081218A"/>
    <w:rsid w:val="00812771"/>
    <w:rsid w:val="00812884"/>
    <w:rsid w:val="00812A8A"/>
    <w:rsid w:val="00813691"/>
    <w:rsid w:val="00814534"/>
    <w:rsid w:val="008148BA"/>
    <w:rsid w:val="00815275"/>
    <w:rsid w:val="00815391"/>
    <w:rsid w:val="008154C4"/>
    <w:rsid w:val="00815501"/>
    <w:rsid w:val="00815A84"/>
    <w:rsid w:val="0081654B"/>
    <w:rsid w:val="00816B66"/>
    <w:rsid w:val="00816C95"/>
    <w:rsid w:val="00817143"/>
    <w:rsid w:val="00817C43"/>
    <w:rsid w:val="00820333"/>
    <w:rsid w:val="008203DD"/>
    <w:rsid w:val="00820850"/>
    <w:rsid w:val="00820EAC"/>
    <w:rsid w:val="008210D3"/>
    <w:rsid w:val="00821638"/>
    <w:rsid w:val="008219E7"/>
    <w:rsid w:val="00821E7C"/>
    <w:rsid w:val="00821F57"/>
    <w:rsid w:val="00822086"/>
    <w:rsid w:val="00822A1D"/>
    <w:rsid w:val="00822D2B"/>
    <w:rsid w:val="00822DD4"/>
    <w:rsid w:val="0082355B"/>
    <w:rsid w:val="00823E92"/>
    <w:rsid w:val="00824C6D"/>
    <w:rsid w:val="00824E18"/>
    <w:rsid w:val="008254A4"/>
    <w:rsid w:val="0082591C"/>
    <w:rsid w:val="00825E39"/>
    <w:rsid w:val="008260F9"/>
    <w:rsid w:val="00826116"/>
    <w:rsid w:val="008262D6"/>
    <w:rsid w:val="0082746C"/>
    <w:rsid w:val="008274B9"/>
    <w:rsid w:val="00827DE8"/>
    <w:rsid w:val="00830166"/>
    <w:rsid w:val="0083069A"/>
    <w:rsid w:val="00830841"/>
    <w:rsid w:val="008308DC"/>
    <w:rsid w:val="00830DBA"/>
    <w:rsid w:val="00831B4E"/>
    <w:rsid w:val="00831CA7"/>
    <w:rsid w:val="00832797"/>
    <w:rsid w:val="00832957"/>
    <w:rsid w:val="00832982"/>
    <w:rsid w:val="00832CAC"/>
    <w:rsid w:val="008335BC"/>
    <w:rsid w:val="00833DB8"/>
    <w:rsid w:val="008348D4"/>
    <w:rsid w:val="00834A27"/>
    <w:rsid w:val="008356CD"/>
    <w:rsid w:val="008359E0"/>
    <w:rsid w:val="00835F15"/>
    <w:rsid w:val="0083622E"/>
    <w:rsid w:val="008364A1"/>
    <w:rsid w:val="0083730A"/>
    <w:rsid w:val="00837462"/>
    <w:rsid w:val="00837A81"/>
    <w:rsid w:val="00837AC2"/>
    <w:rsid w:val="00837F1A"/>
    <w:rsid w:val="00837F91"/>
    <w:rsid w:val="00840065"/>
    <w:rsid w:val="008400B8"/>
    <w:rsid w:val="008403EE"/>
    <w:rsid w:val="008407F2"/>
    <w:rsid w:val="00840D24"/>
    <w:rsid w:val="00840D74"/>
    <w:rsid w:val="00841AA5"/>
    <w:rsid w:val="00841B11"/>
    <w:rsid w:val="008425D3"/>
    <w:rsid w:val="00843040"/>
    <w:rsid w:val="0084331C"/>
    <w:rsid w:val="00843A21"/>
    <w:rsid w:val="008449B3"/>
    <w:rsid w:val="00845E88"/>
    <w:rsid w:val="00846A0D"/>
    <w:rsid w:val="008505E9"/>
    <w:rsid w:val="00850639"/>
    <w:rsid w:val="00850656"/>
    <w:rsid w:val="008506EF"/>
    <w:rsid w:val="008508B3"/>
    <w:rsid w:val="00850968"/>
    <w:rsid w:val="00850E47"/>
    <w:rsid w:val="00850F72"/>
    <w:rsid w:val="008510D7"/>
    <w:rsid w:val="00851660"/>
    <w:rsid w:val="008518F8"/>
    <w:rsid w:val="00851C14"/>
    <w:rsid w:val="00853CBC"/>
    <w:rsid w:val="00854180"/>
    <w:rsid w:val="0085462F"/>
    <w:rsid w:val="008551EE"/>
    <w:rsid w:val="00855219"/>
    <w:rsid w:val="008553A6"/>
    <w:rsid w:val="00855BEF"/>
    <w:rsid w:val="00855EF9"/>
    <w:rsid w:val="00855F5D"/>
    <w:rsid w:val="0085715C"/>
    <w:rsid w:val="00860DBF"/>
    <w:rsid w:val="0086144A"/>
    <w:rsid w:val="008617BF"/>
    <w:rsid w:val="00861D14"/>
    <w:rsid w:val="008621E5"/>
    <w:rsid w:val="008622A9"/>
    <w:rsid w:val="00862DCA"/>
    <w:rsid w:val="008636BF"/>
    <w:rsid w:val="00863DBA"/>
    <w:rsid w:val="00864892"/>
    <w:rsid w:val="0086582E"/>
    <w:rsid w:val="00865B39"/>
    <w:rsid w:val="00866C55"/>
    <w:rsid w:val="008671F5"/>
    <w:rsid w:val="008700C3"/>
    <w:rsid w:val="008702F0"/>
    <w:rsid w:val="00870A0B"/>
    <w:rsid w:val="00870AE3"/>
    <w:rsid w:val="00870C99"/>
    <w:rsid w:val="00871400"/>
    <w:rsid w:val="0087172A"/>
    <w:rsid w:val="00871CE4"/>
    <w:rsid w:val="00871EA4"/>
    <w:rsid w:val="00871F1D"/>
    <w:rsid w:val="00872762"/>
    <w:rsid w:val="00872797"/>
    <w:rsid w:val="008739A7"/>
    <w:rsid w:val="00873A88"/>
    <w:rsid w:val="00873F2A"/>
    <w:rsid w:val="00874328"/>
    <w:rsid w:val="00874F64"/>
    <w:rsid w:val="00874FF3"/>
    <w:rsid w:val="00875567"/>
    <w:rsid w:val="00875743"/>
    <w:rsid w:val="00875A13"/>
    <w:rsid w:val="008767D3"/>
    <w:rsid w:val="00876956"/>
    <w:rsid w:val="00876F88"/>
    <w:rsid w:val="00877086"/>
    <w:rsid w:val="00877492"/>
    <w:rsid w:val="008778F0"/>
    <w:rsid w:val="0087796E"/>
    <w:rsid w:val="00877990"/>
    <w:rsid w:val="00877ADA"/>
    <w:rsid w:val="00880C0A"/>
    <w:rsid w:val="00881482"/>
    <w:rsid w:val="008817F5"/>
    <w:rsid w:val="00881D6E"/>
    <w:rsid w:val="00881ED0"/>
    <w:rsid w:val="0088347F"/>
    <w:rsid w:val="00883C00"/>
    <w:rsid w:val="00883DAB"/>
    <w:rsid w:val="008841F8"/>
    <w:rsid w:val="00884343"/>
    <w:rsid w:val="00885634"/>
    <w:rsid w:val="00885930"/>
    <w:rsid w:val="00885B25"/>
    <w:rsid w:val="00885B9E"/>
    <w:rsid w:val="00886299"/>
    <w:rsid w:val="008869CC"/>
    <w:rsid w:val="00886C78"/>
    <w:rsid w:val="00886E7C"/>
    <w:rsid w:val="00887AFD"/>
    <w:rsid w:val="00887B67"/>
    <w:rsid w:val="00890115"/>
    <w:rsid w:val="00890542"/>
    <w:rsid w:val="00890E29"/>
    <w:rsid w:val="00891239"/>
    <w:rsid w:val="0089174C"/>
    <w:rsid w:val="00891B1B"/>
    <w:rsid w:val="0089210E"/>
    <w:rsid w:val="008923F0"/>
    <w:rsid w:val="0089244B"/>
    <w:rsid w:val="00892B17"/>
    <w:rsid w:val="00892B99"/>
    <w:rsid w:val="00892E79"/>
    <w:rsid w:val="00893650"/>
    <w:rsid w:val="008936E8"/>
    <w:rsid w:val="00893B05"/>
    <w:rsid w:val="008941EC"/>
    <w:rsid w:val="00894A00"/>
    <w:rsid w:val="00894F2D"/>
    <w:rsid w:val="00894FAB"/>
    <w:rsid w:val="008953F9"/>
    <w:rsid w:val="008957D2"/>
    <w:rsid w:val="00895EA2"/>
    <w:rsid w:val="008964AE"/>
    <w:rsid w:val="00896D4F"/>
    <w:rsid w:val="00896FEE"/>
    <w:rsid w:val="00897A0E"/>
    <w:rsid w:val="00897AA5"/>
    <w:rsid w:val="00897CE8"/>
    <w:rsid w:val="008A033A"/>
    <w:rsid w:val="008A0696"/>
    <w:rsid w:val="008A1237"/>
    <w:rsid w:val="008A1471"/>
    <w:rsid w:val="008A16CE"/>
    <w:rsid w:val="008A186A"/>
    <w:rsid w:val="008A1E82"/>
    <w:rsid w:val="008A20A4"/>
    <w:rsid w:val="008A22E9"/>
    <w:rsid w:val="008A27A0"/>
    <w:rsid w:val="008A2A8D"/>
    <w:rsid w:val="008A2C6D"/>
    <w:rsid w:val="008A3068"/>
    <w:rsid w:val="008A3323"/>
    <w:rsid w:val="008A3565"/>
    <w:rsid w:val="008A3811"/>
    <w:rsid w:val="008A41F8"/>
    <w:rsid w:val="008A4716"/>
    <w:rsid w:val="008A4873"/>
    <w:rsid w:val="008A50AA"/>
    <w:rsid w:val="008A5147"/>
    <w:rsid w:val="008A5199"/>
    <w:rsid w:val="008A51FC"/>
    <w:rsid w:val="008A56A7"/>
    <w:rsid w:val="008A5C5A"/>
    <w:rsid w:val="008A61C8"/>
    <w:rsid w:val="008A64FD"/>
    <w:rsid w:val="008A707C"/>
    <w:rsid w:val="008A7286"/>
    <w:rsid w:val="008B0AA0"/>
    <w:rsid w:val="008B0C8F"/>
    <w:rsid w:val="008B0E96"/>
    <w:rsid w:val="008B0F89"/>
    <w:rsid w:val="008B1AD4"/>
    <w:rsid w:val="008B1BDE"/>
    <w:rsid w:val="008B2148"/>
    <w:rsid w:val="008B2208"/>
    <w:rsid w:val="008B2332"/>
    <w:rsid w:val="008B28B4"/>
    <w:rsid w:val="008B2F68"/>
    <w:rsid w:val="008B3042"/>
    <w:rsid w:val="008B3BDD"/>
    <w:rsid w:val="008B3D5C"/>
    <w:rsid w:val="008B48B7"/>
    <w:rsid w:val="008B4E22"/>
    <w:rsid w:val="008B52A7"/>
    <w:rsid w:val="008B52B5"/>
    <w:rsid w:val="008B5AA4"/>
    <w:rsid w:val="008B6B12"/>
    <w:rsid w:val="008B732C"/>
    <w:rsid w:val="008B79F7"/>
    <w:rsid w:val="008B7F4F"/>
    <w:rsid w:val="008C032A"/>
    <w:rsid w:val="008C033D"/>
    <w:rsid w:val="008C0A70"/>
    <w:rsid w:val="008C14BC"/>
    <w:rsid w:val="008C1A21"/>
    <w:rsid w:val="008C1AB6"/>
    <w:rsid w:val="008C1B35"/>
    <w:rsid w:val="008C1B5E"/>
    <w:rsid w:val="008C1BFD"/>
    <w:rsid w:val="008C1CA7"/>
    <w:rsid w:val="008C21A1"/>
    <w:rsid w:val="008C2425"/>
    <w:rsid w:val="008C284A"/>
    <w:rsid w:val="008C2D1E"/>
    <w:rsid w:val="008C2FA1"/>
    <w:rsid w:val="008C31BC"/>
    <w:rsid w:val="008C3A7E"/>
    <w:rsid w:val="008C3D97"/>
    <w:rsid w:val="008C4566"/>
    <w:rsid w:val="008C49EC"/>
    <w:rsid w:val="008C4AD6"/>
    <w:rsid w:val="008C5950"/>
    <w:rsid w:val="008C5D6B"/>
    <w:rsid w:val="008C5E99"/>
    <w:rsid w:val="008C6261"/>
    <w:rsid w:val="008C6801"/>
    <w:rsid w:val="008C69EC"/>
    <w:rsid w:val="008C7354"/>
    <w:rsid w:val="008C73F7"/>
    <w:rsid w:val="008C7831"/>
    <w:rsid w:val="008C7893"/>
    <w:rsid w:val="008C7AA3"/>
    <w:rsid w:val="008C7FBE"/>
    <w:rsid w:val="008D03FC"/>
    <w:rsid w:val="008D040F"/>
    <w:rsid w:val="008D0580"/>
    <w:rsid w:val="008D0876"/>
    <w:rsid w:val="008D091A"/>
    <w:rsid w:val="008D12BF"/>
    <w:rsid w:val="008D1383"/>
    <w:rsid w:val="008D1623"/>
    <w:rsid w:val="008D1BB3"/>
    <w:rsid w:val="008D1C76"/>
    <w:rsid w:val="008D22CD"/>
    <w:rsid w:val="008D2316"/>
    <w:rsid w:val="008D265D"/>
    <w:rsid w:val="008D2793"/>
    <w:rsid w:val="008D27BD"/>
    <w:rsid w:val="008D2C53"/>
    <w:rsid w:val="008D2E8B"/>
    <w:rsid w:val="008D3072"/>
    <w:rsid w:val="008D3142"/>
    <w:rsid w:val="008D3D99"/>
    <w:rsid w:val="008D3FE1"/>
    <w:rsid w:val="008D45C2"/>
    <w:rsid w:val="008D4602"/>
    <w:rsid w:val="008D4C9A"/>
    <w:rsid w:val="008D520B"/>
    <w:rsid w:val="008D54F9"/>
    <w:rsid w:val="008D5697"/>
    <w:rsid w:val="008D56E8"/>
    <w:rsid w:val="008D6B87"/>
    <w:rsid w:val="008D73C2"/>
    <w:rsid w:val="008D7DED"/>
    <w:rsid w:val="008E0584"/>
    <w:rsid w:val="008E0819"/>
    <w:rsid w:val="008E0980"/>
    <w:rsid w:val="008E09AA"/>
    <w:rsid w:val="008E17BA"/>
    <w:rsid w:val="008E1D55"/>
    <w:rsid w:val="008E1F37"/>
    <w:rsid w:val="008E1FB7"/>
    <w:rsid w:val="008E291A"/>
    <w:rsid w:val="008E2C6C"/>
    <w:rsid w:val="008E2DCE"/>
    <w:rsid w:val="008E33E7"/>
    <w:rsid w:val="008E3BD8"/>
    <w:rsid w:val="008E4321"/>
    <w:rsid w:val="008E4C72"/>
    <w:rsid w:val="008E4DB2"/>
    <w:rsid w:val="008E51FD"/>
    <w:rsid w:val="008E5603"/>
    <w:rsid w:val="008E5943"/>
    <w:rsid w:val="008E5BC2"/>
    <w:rsid w:val="008E64C2"/>
    <w:rsid w:val="008E728D"/>
    <w:rsid w:val="008E734C"/>
    <w:rsid w:val="008E7B26"/>
    <w:rsid w:val="008E7CD0"/>
    <w:rsid w:val="008E7FED"/>
    <w:rsid w:val="008F06AA"/>
    <w:rsid w:val="008F0C86"/>
    <w:rsid w:val="008F1521"/>
    <w:rsid w:val="008F167C"/>
    <w:rsid w:val="008F1AD2"/>
    <w:rsid w:val="008F222E"/>
    <w:rsid w:val="008F244A"/>
    <w:rsid w:val="008F37C1"/>
    <w:rsid w:val="008F3819"/>
    <w:rsid w:val="008F38D5"/>
    <w:rsid w:val="008F3BFC"/>
    <w:rsid w:val="008F423E"/>
    <w:rsid w:val="008F43EF"/>
    <w:rsid w:val="008F450F"/>
    <w:rsid w:val="008F45CA"/>
    <w:rsid w:val="008F48FC"/>
    <w:rsid w:val="008F4D75"/>
    <w:rsid w:val="008F575D"/>
    <w:rsid w:val="008F5DB9"/>
    <w:rsid w:val="008F612D"/>
    <w:rsid w:val="008F6B8C"/>
    <w:rsid w:val="008F6DA4"/>
    <w:rsid w:val="008F6F0F"/>
    <w:rsid w:val="008F7B6B"/>
    <w:rsid w:val="008F7BA4"/>
    <w:rsid w:val="008F7D60"/>
    <w:rsid w:val="008F7E4F"/>
    <w:rsid w:val="00900918"/>
    <w:rsid w:val="00900BC1"/>
    <w:rsid w:val="00900E65"/>
    <w:rsid w:val="00900F8A"/>
    <w:rsid w:val="0090109D"/>
    <w:rsid w:val="00901115"/>
    <w:rsid w:val="00901407"/>
    <w:rsid w:val="00901657"/>
    <w:rsid w:val="0090169F"/>
    <w:rsid w:val="00902A7F"/>
    <w:rsid w:val="00903F1E"/>
    <w:rsid w:val="00904302"/>
    <w:rsid w:val="00904EB0"/>
    <w:rsid w:val="00905146"/>
    <w:rsid w:val="0090588A"/>
    <w:rsid w:val="009058BD"/>
    <w:rsid w:val="0090626C"/>
    <w:rsid w:val="0090651C"/>
    <w:rsid w:val="009068FF"/>
    <w:rsid w:val="00906BBE"/>
    <w:rsid w:val="00907BF8"/>
    <w:rsid w:val="00907C01"/>
    <w:rsid w:val="00907D47"/>
    <w:rsid w:val="00907D55"/>
    <w:rsid w:val="00910EB4"/>
    <w:rsid w:val="0091172C"/>
    <w:rsid w:val="00911AB6"/>
    <w:rsid w:val="009121A4"/>
    <w:rsid w:val="0091239F"/>
    <w:rsid w:val="009129A1"/>
    <w:rsid w:val="00912DBE"/>
    <w:rsid w:val="009130B1"/>
    <w:rsid w:val="0091337C"/>
    <w:rsid w:val="00913C10"/>
    <w:rsid w:val="00914269"/>
    <w:rsid w:val="009142BB"/>
    <w:rsid w:val="0091469D"/>
    <w:rsid w:val="00914C4B"/>
    <w:rsid w:val="00914CF5"/>
    <w:rsid w:val="00914D86"/>
    <w:rsid w:val="009155D2"/>
    <w:rsid w:val="00915BB5"/>
    <w:rsid w:val="00915C68"/>
    <w:rsid w:val="00915EBA"/>
    <w:rsid w:val="00915FA3"/>
    <w:rsid w:val="00916D6B"/>
    <w:rsid w:val="0091730E"/>
    <w:rsid w:val="0091738C"/>
    <w:rsid w:val="009178D3"/>
    <w:rsid w:val="00917E75"/>
    <w:rsid w:val="00920096"/>
    <w:rsid w:val="00920190"/>
    <w:rsid w:val="00920FE0"/>
    <w:rsid w:val="00921D26"/>
    <w:rsid w:val="00922653"/>
    <w:rsid w:val="00922F18"/>
    <w:rsid w:val="00923A36"/>
    <w:rsid w:val="00924B46"/>
    <w:rsid w:val="00925795"/>
    <w:rsid w:val="00925D86"/>
    <w:rsid w:val="00926114"/>
    <w:rsid w:val="00926414"/>
    <w:rsid w:val="00927812"/>
    <w:rsid w:val="00927F1A"/>
    <w:rsid w:val="0093009B"/>
    <w:rsid w:val="0093045A"/>
    <w:rsid w:val="0093084D"/>
    <w:rsid w:val="009309C6"/>
    <w:rsid w:val="009318B1"/>
    <w:rsid w:val="00931C33"/>
    <w:rsid w:val="00931CB2"/>
    <w:rsid w:val="00932404"/>
    <w:rsid w:val="00932961"/>
    <w:rsid w:val="00932D1E"/>
    <w:rsid w:val="00932EF6"/>
    <w:rsid w:val="00933359"/>
    <w:rsid w:val="00934487"/>
    <w:rsid w:val="00935DE8"/>
    <w:rsid w:val="009360AA"/>
    <w:rsid w:val="00936C37"/>
    <w:rsid w:val="00936D27"/>
    <w:rsid w:val="00936E9F"/>
    <w:rsid w:val="00937024"/>
    <w:rsid w:val="0093727E"/>
    <w:rsid w:val="009375D1"/>
    <w:rsid w:val="0093791B"/>
    <w:rsid w:val="009379CC"/>
    <w:rsid w:val="00937A51"/>
    <w:rsid w:val="00937AB7"/>
    <w:rsid w:val="00937D6D"/>
    <w:rsid w:val="009401D1"/>
    <w:rsid w:val="0094085D"/>
    <w:rsid w:val="00940A7C"/>
    <w:rsid w:val="00940A9F"/>
    <w:rsid w:val="00940CA6"/>
    <w:rsid w:val="00941588"/>
    <w:rsid w:val="00941709"/>
    <w:rsid w:val="00941FD8"/>
    <w:rsid w:val="00942374"/>
    <w:rsid w:val="00942681"/>
    <w:rsid w:val="0094289F"/>
    <w:rsid w:val="009429B9"/>
    <w:rsid w:val="00942C07"/>
    <w:rsid w:val="00943658"/>
    <w:rsid w:val="00944538"/>
    <w:rsid w:val="009449D0"/>
    <w:rsid w:val="00944B56"/>
    <w:rsid w:val="00944B81"/>
    <w:rsid w:val="00944BCD"/>
    <w:rsid w:val="00944E04"/>
    <w:rsid w:val="00945047"/>
    <w:rsid w:val="009454F5"/>
    <w:rsid w:val="00945527"/>
    <w:rsid w:val="009460B6"/>
    <w:rsid w:val="0094616F"/>
    <w:rsid w:val="009461AF"/>
    <w:rsid w:val="00946697"/>
    <w:rsid w:val="00946A02"/>
    <w:rsid w:val="009474F8"/>
    <w:rsid w:val="00947685"/>
    <w:rsid w:val="00947A12"/>
    <w:rsid w:val="00947B5B"/>
    <w:rsid w:val="00947C8D"/>
    <w:rsid w:val="00947C9D"/>
    <w:rsid w:val="00950314"/>
    <w:rsid w:val="00950322"/>
    <w:rsid w:val="00950529"/>
    <w:rsid w:val="00951E3F"/>
    <w:rsid w:val="00951EAA"/>
    <w:rsid w:val="0095215C"/>
    <w:rsid w:val="00952574"/>
    <w:rsid w:val="009525FD"/>
    <w:rsid w:val="00952795"/>
    <w:rsid w:val="00952888"/>
    <w:rsid w:val="0095395B"/>
    <w:rsid w:val="00953C1E"/>
    <w:rsid w:val="00953D65"/>
    <w:rsid w:val="00953E35"/>
    <w:rsid w:val="009546F9"/>
    <w:rsid w:val="00954D75"/>
    <w:rsid w:val="00955453"/>
    <w:rsid w:val="00955B88"/>
    <w:rsid w:val="00955D9E"/>
    <w:rsid w:val="0095625E"/>
    <w:rsid w:val="00956559"/>
    <w:rsid w:val="00956A3A"/>
    <w:rsid w:val="00956CB8"/>
    <w:rsid w:val="009575CF"/>
    <w:rsid w:val="00957C38"/>
    <w:rsid w:val="009608D7"/>
    <w:rsid w:val="009614F0"/>
    <w:rsid w:val="00961706"/>
    <w:rsid w:val="009625A8"/>
    <w:rsid w:val="009625B5"/>
    <w:rsid w:val="009631A8"/>
    <w:rsid w:val="009637D7"/>
    <w:rsid w:val="009637EB"/>
    <w:rsid w:val="0096403D"/>
    <w:rsid w:val="009651EC"/>
    <w:rsid w:val="00965D05"/>
    <w:rsid w:val="00965D3E"/>
    <w:rsid w:val="00965EC4"/>
    <w:rsid w:val="009662AD"/>
    <w:rsid w:val="00966334"/>
    <w:rsid w:val="0096639C"/>
    <w:rsid w:val="009663D3"/>
    <w:rsid w:val="009675DB"/>
    <w:rsid w:val="00967A9E"/>
    <w:rsid w:val="00967C3F"/>
    <w:rsid w:val="00970A95"/>
    <w:rsid w:val="00970B53"/>
    <w:rsid w:val="00970CB0"/>
    <w:rsid w:val="00970D0B"/>
    <w:rsid w:val="00970FCE"/>
    <w:rsid w:val="009711B1"/>
    <w:rsid w:val="00971A8E"/>
    <w:rsid w:val="00971ACB"/>
    <w:rsid w:val="00971C07"/>
    <w:rsid w:val="00972620"/>
    <w:rsid w:val="00972B9B"/>
    <w:rsid w:val="00972BD9"/>
    <w:rsid w:val="00973ABB"/>
    <w:rsid w:val="00974B59"/>
    <w:rsid w:val="00975F57"/>
    <w:rsid w:val="00976027"/>
    <w:rsid w:val="009760A7"/>
    <w:rsid w:val="00976BC3"/>
    <w:rsid w:val="00977A3D"/>
    <w:rsid w:val="009823C7"/>
    <w:rsid w:val="00982768"/>
    <w:rsid w:val="0098342B"/>
    <w:rsid w:val="009836F6"/>
    <w:rsid w:val="00983827"/>
    <w:rsid w:val="00983EFF"/>
    <w:rsid w:val="009840A9"/>
    <w:rsid w:val="009841D3"/>
    <w:rsid w:val="0098462E"/>
    <w:rsid w:val="00984F39"/>
    <w:rsid w:val="0098538E"/>
    <w:rsid w:val="00985B05"/>
    <w:rsid w:val="00985C3E"/>
    <w:rsid w:val="00985D4F"/>
    <w:rsid w:val="009865A3"/>
    <w:rsid w:val="00986C94"/>
    <w:rsid w:val="0098722C"/>
    <w:rsid w:val="0098760F"/>
    <w:rsid w:val="00987DFE"/>
    <w:rsid w:val="009907F5"/>
    <w:rsid w:val="0099297D"/>
    <w:rsid w:val="0099401F"/>
    <w:rsid w:val="0099464F"/>
    <w:rsid w:val="00994A16"/>
    <w:rsid w:val="00994A88"/>
    <w:rsid w:val="00994F4E"/>
    <w:rsid w:val="00994F5F"/>
    <w:rsid w:val="009950B9"/>
    <w:rsid w:val="00995AEC"/>
    <w:rsid w:val="00995D61"/>
    <w:rsid w:val="009963A0"/>
    <w:rsid w:val="00996820"/>
    <w:rsid w:val="00996824"/>
    <w:rsid w:val="009968D6"/>
    <w:rsid w:val="00996A68"/>
    <w:rsid w:val="00996B02"/>
    <w:rsid w:val="009973EB"/>
    <w:rsid w:val="0099750D"/>
    <w:rsid w:val="00997732"/>
    <w:rsid w:val="00997836"/>
    <w:rsid w:val="009A26F1"/>
    <w:rsid w:val="009A2998"/>
    <w:rsid w:val="009A2F34"/>
    <w:rsid w:val="009A3264"/>
    <w:rsid w:val="009A390E"/>
    <w:rsid w:val="009A47FA"/>
    <w:rsid w:val="009A4904"/>
    <w:rsid w:val="009A4FE8"/>
    <w:rsid w:val="009A55E8"/>
    <w:rsid w:val="009A59B3"/>
    <w:rsid w:val="009A5ADA"/>
    <w:rsid w:val="009A5C14"/>
    <w:rsid w:val="009A6246"/>
    <w:rsid w:val="009A6287"/>
    <w:rsid w:val="009A62E6"/>
    <w:rsid w:val="009A6967"/>
    <w:rsid w:val="009A772C"/>
    <w:rsid w:val="009A78BD"/>
    <w:rsid w:val="009A7A9D"/>
    <w:rsid w:val="009B00D2"/>
    <w:rsid w:val="009B02FE"/>
    <w:rsid w:val="009B094F"/>
    <w:rsid w:val="009B0CA3"/>
    <w:rsid w:val="009B0FEE"/>
    <w:rsid w:val="009B14B9"/>
    <w:rsid w:val="009B29E9"/>
    <w:rsid w:val="009B31C7"/>
    <w:rsid w:val="009B37C9"/>
    <w:rsid w:val="009B4E54"/>
    <w:rsid w:val="009B505C"/>
    <w:rsid w:val="009B5289"/>
    <w:rsid w:val="009B55DA"/>
    <w:rsid w:val="009B5823"/>
    <w:rsid w:val="009B77C9"/>
    <w:rsid w:val="009B784A"/>
    <w:rsid w:val="009B787A"/>
    <w:rsid w:val="009B7C49"/>
    <w:rsid w:val="009C018F"/>
    <w:rsid w:val="009C06C8"/>
    <w:rsid w:val="009C08BC"/>
    <w:rsid w:val="009C0F1B"/>
    <w:rsid w:val="009C19EC"/>
    <w:rsid w:val="009C1DF3"/>
    <w:rsid w:val="009C217F"/>
    <w:rsid w:val="009C259D"/>
    <w:rsid w:val="009C2A70"/>
    <w:rsid w:val="009C2DDD"/>
    <w:rsid w:val="009C36D9"/>
    <w:rsid w:val="009C4680"/>
    <w:rsid w:val="009C495A"/>
    <w:rsid w:val="009C4A17"/>
    <w:rsid w:val="009C4BA9"/>
    <w:rsid w:val="009C5207"/>
    <w:rsid w:val="009C524C"/>
    <w:rsid w:val="009C5ADB"/>
    <w:rsid w:val="009C5B01"/>
    <w:rsid w:val="009C5DBD"/>
    <w:rsid w:val="009C656C"/>
    <w:rsid w:val="009C696C"/>
    <w:rsid w:val="009C6FDF"/>
    <w:rsid w:val="009C7677"/>
    <w:rsid w:val="009C796B"/>
    <w:rsid w:val="009C7F80"/>
    <w:rsid w:val="009D0302"/>
    <w:rsid w:val="009D03C9"/>
    <w:rsid w:val="009D04C1"/>
    <w:rsid w:val="009D05AC"/>
    <w:rsid w:val="009D061C"/>
    <w:rsid w:val="009D087B"/>
    <w:rsid w:val="009D0F7D"/>
    <w:rsid w:val="009D0FE3"/>
    <w:rsid w:val="009D1063"/>
    <w:rsid w:val="009D15D8"/>
    <w:rsid w:val="009D1BC8"/>
    <w:rsid w:val="009D2E93"/>
    <w:rsid w:val="009D3536"/>
    <w:rsid w:val="009D37AA"/>
    <w:rsid w:val="009D3BBC"/>
    <w:rsid w:val="009D3D5F"/>
    <w:rsid w:val="009D3F2E"/>
    <w:rsid w:val="009D3FFF"/>
    <w:rsid w:val="009D426F"/>
    <w:rsid w:val="009D455C"/>
    <w:rsid w:val="009D4745"/>
    <w:rsid w:val="009D4C1D"/>
    <w:rsid w:val="009D613D"/>
    <w:rsid w:val="009D6CBA"/>
    <w:rsid w:val="009D6CE8"/>
    <w:rsid w:val="009D716E"/>
    <w:rsid w:val="009D758E"/>
    <w:rsid w:val="009D7864"/>
    <w:rsid w:val="009E00F8"/>
    <w:rsid w:val="009E03FC"/>
    <w:rsid w:val="009E0424"/>
    <w:rsid w:val="009E0C49"/>
    <w:rsid w:val="009E1948"/>
    <w:rsid w:val="009E2680"/>
    <w:rsid w:val="009E26F8"/>
    <w:rsid w:val="009E278B"/>
    <w:rsid w:val="009E2ACD"/>
    <w:rsid w:val="009E30DA"/>
    <w:rsid w:val="009E325F"/>
    <w:rsid w:val="009E3710"/>
    <w:rsid w:val="009E42C1"/>
    <w:rsid w:val="009E45BB"/>
    <w:rsid w:val="009E4A1B"/>
    <w:rsid w:val="009E539F"/>
    <w:rsid w:val="009E53AD"/>
    <w:rsid w:val="009E6878"/>
    <w:rsid w:val="009E6E23"/>
    <w:rsid w:val="009E7088"/>
    <w:rsid w:val="009E7D93"/>
    <w:rsid w:val="009F025C"/>
    <w:rsid w:val="009F0936"/>
    <w:rsid w:val="009F0D24"/>
    <w:rsid w:val="009F1105"/>
    <w:rsid w:val="009F138D"/>
    <w:rsid w:val="009F1A56"/>
    <w:rsid w:val="009F1E74"/>
    <w:rsid w:val="009F224D"/>
    <w:rsid w:val="009F245A"/>
    <w:rsid w:val="009F289F"/>
    <w:rsid w:val="009F2A53"/>
    <w:rsid w:val="009F2ABE"/>
    <w:rsid w:val="009F2DB6"/>
    <w:rsid w:val="009F373B"/>
    <w:rsid w:val="009F3FC8"/>
    <w:rsid w:val="009F4207"/>
    <w:rsid w:val="009F4AA6"/>
    <w:rsid w:val="009F515D"/>
    <w:rsid w:val="009F5333"/>
    <w:rsid w:val="009F5644"/>
    <w:rsid w:val="009F5797"/>
    <w:rsid w:val="009F5A05"/>
    <w:rsid w:val="009F5B5B"/>
    <w:rsid w:val="009F60E8"/>
    <w:rsid w:val="009F64E4"/>
    <w:rsid w:val="009F65B6"/>
    <w:rsid w:val="009F680E"/>
    <w:rsid w:val="009F7120"/>
    <w:rsid w:val="009F7A90"/>
    <w:rsid w:val="009F7C79"/>
    <w:rsid w:val="00A00734"/>
    <w:rsid w:val="00A00E7D"/>
    <w:rsid w:val="00A013C2"/>
    <w:rsid w:val="00A01A5B"/>
    <w:rsid w:val="00A01C31"/>
    <w:rsid w:val="00A025CC"/>
    <w:rsid w:val="00A0268F"/>
    <w:rsid w:val="00A02C39"/>
    <w:rsid w:val="00A03B93"/>
    <w:rsid w:val="00A03C76"/>
    <w:rsid w:val="00A0464D"/>
    <w:rsid w:val="00A046B3"/>
    <w:rsid w:val="00A04AC4"/>
    <w:rsid w:val="00A05361"/>
    <w:rsid w:val="00A05739"/>
    <w:rsid w:val="00A06366"/>
    <w:rsid w:val="00A06BF0"/>
    <w:rsid w:val="00A078F9"/>
    <w:rsid w:val="00A07B45"/>
    <w:rsid w:val="00A07E5E"/>
    <w:rsid w:val="00A07FF2"/>
    <w:rsid w:val="00A10540"/>
    <w:rsid w:val="00A10F6F"/>
    <w:rsid w:val="00A1113A"/>
    <w:rsid w:val="00A1116D"/>
    <w:rsid w:val="00A1118B"/>
    <w:rsid w:val="00A11EB5"/>
    <w:rsid w:val="00A12F4E"/>
    <w:rsid w:val="00A13427"/>
    <w:rsid w:val="00A13D28"/>
    <w:rsid w:val="00A13ED0"/>
    <w:rsid w:val="00A14054"/>
    <w:rsid w:val="00A1419B"/>
    <w:rsid w:val="00A14E41"/>
    <w:rsid w:val="00A14EC3"/>
    <w:rsid w:val="00A154BD"/>
    <w:rsid w:val="00A162D9"/>
    <w:rsid w:val="00A1677A"/>
    <w:rsid w:val="00A1680A"/>
    <w:rsid w:val="00A171C5"/>
    <w:rsid w:val="00A17403"/>
    <w:rsid w:val="00A177DF"/>
    <w:rsid w:val="00A17E0B"/>
    <w:rsid w:val="00A2065D"/>
    <w:rsid w:val="00A20933"/>
    <w:rsid w:val="00A20B7D"/>
    <w:rsid w:val="00A213EB"/>
    <w:rsid w:val="00A21EAD"/>
    <w:rsid w:val="00A2218F"/>
    <w:rsid w:val="00A226FB"/>
    <w:rsid w:val="00A234BD"/>
    <w:rsid w:val="00A2359B"/>
    <w:rsid w:val="00A23CA1"/>
    <w:rsid w:val="00A23D5D"/>
    <w:rsid w:val="00A2432B"/>
    <w:rsid w:val="00A2468A"/>
    <w:rsid w:val="00A2468E"/>
    <w:rsid w:val="00A24BA8"/>
    <w:rsid w:val="00A2576A"/>
    <w:rsid w:val="00A258CA"/>
    <w:rsid w:val="00A26533"/>
    <w:rsid w:val="00A26652"/>
    <w:rsid w:val="00A2769D"/>
    <w:rsid w:val="00A27B47"/>
    <w:rsid w:val="00A27DEB"/>
    <w:rsid w:val="00A30983"/>
    <w:rsid w:val="00A30BCE"/>
    <w:rsid w:val="00A31B41"/>
    <w:rsid w:val="00A31CD5"/>
    <w:rsid w:val="00A3255F"/>
    <w:rsid w:val="00A32800"/>
    <w:rsid w:val="00A3340B"/>
    <w:rsid w:val="00A338CB"/>
    <w:rsid w:val="00A33F08"/>
    <w:rsid w:val="00A34B25"/>
    <w:rsid w:val="00A34C66"/>
    <w:rsid w:val="00A34E0C"/>
    <w:rsid w:val="00A34E1E"/>
    <w:rsid w:val="00A34F79"/>
    <w:rsid w:val="00A35520"/>
    <w:rsid w:val="00A35574"/>
    <w:rsid w:val="00A35CFA"/>
    <w:rsid w:val="00A363CD"/>
    <w:rsid w:val="00A363FB"/>
    <w:rsid w:val="00A36D6C"/>
    <w:rsid w:val="00A370F3"/>
    <w:rsid w:val="00A373B1"/>
    <w:rsid w:val="00A37892"/>
    <w:rsid w:val="00A3796C"/>
    <w:rsid w:val="00A37EB1"/>
    <w:rsid w:val="00A4067B"/>
    <w:rsid w:val="00A413C3"/>
    <w:rsid w:val="00A41686"/>
    <w:rsid w:val="00A41B17"/>
    <w:rsid w:val="00A41FC6"/>
    <w:rsid w:val="00A4206C"/>
    <w:rsid w:val="00A426EC"/>
    <w:rsid w:val="00A427CE"/>
    <w:rsid w:val="00A42CE9"/>
    <w:rsid w:val="00A4325A"/>
    <w:rsid w:val="00A438DD"/>
    <w:rsid w:val="00A43B05"/>
    <w:rsid w:val="00A43F41"/>
    <w:rsid w:val="00A44773"/>
    <w:rsid w:val="00A44BFE"/>
    <w:rsid w:val="00A44E93"/>
    <w:rsid w:val="00A44ECD"/>
    <w:rsid w:val="00A44FD5"/>
    <w:rsid w:val="00A45275"/>
    <w:rsid w:val="00A459B2"/>
    <w:rsid w:val="00A45CDE"/>
    <w:rsid w:val="00A45F70"/>
    <w:rsid w:val="00A4678B"/>
    <w:rsid w:val="00A46A0A"/>
    <w:rsid w:val="00A4789B"/>
    <w:rsid w:val="00A47BD1"/>
    <w:rsid w:val="00A47C6F"/>
    <w:rsid w:val="00A47E03"/>
    <w:rsid w:val="00A50215"/>
    <w:rsid w:val="00A50A8C"/>
    <w:rsid w:val="00A50E33"/>
    <w:rsid w:val="00A50F53"/>
    <w:rsid w:val="00A510EB"/>
    <w:rsid w:val="00A5171A"/>
    <w:rsid w:val="00A5197E"/>
    <w:rsid w:val="00A51B2F"/>
    <w:rsid w:val="00A51CDF"/>
    <w:rsid w:val="00A51ED0"/>
    <w:rsid w:val="00A5243E"/>
    <w:rsid w:val="00A52B88"/>
    <w:rsid w:val="00A5344F"/>
    <w:rsid w:val="00A536D4"/>
    <w:rsid w:val="00A539DC"/>
    <w:rsid w:val="00A541F0"/>
    <w:rsid w:val="00A54F45"/>
    <w:rsid w:val="00A5503B"/>
    <w:rsid w:val="00A56246"/>
    <w:rsid w:val="00A56311"/>
    <w:rsid w:val="00A56FD5"/>
    <w:rsid w:val="00A570EA"/>
    <w:rsid w:val="00A575CF"/>
    <w:rsid w:val="00A57DAA"/>
    <w:rsid w:val="00A60B16"/>
    <w:rsid w:val="00A60E22"/>
    <w:rsid w:val="00A618F8"/>
    <w:rsid w:val="00A61C66"/>
    <w:rsid w:val="00A621E2"/>
    <w:rsid w:val="00A623A3"/>
    <w:rsid w:val="00A62BA7"/>
    <w:rsid w:val="00A62C0E"/>
    <w:rsid w:val="00A62D3D"/>
    <w:rsid w:val="00A637B1"/>
    <w:rsid w:val="00A63C75"/>
    <w:rsid w:val="00A63E31"/>
    <w:rsid w:val="00A63E87"/>
    <w:rsid w:val="00A64661"/>
    <w:rsid w:val="00A64732"/>
    <w:rsid w:val="00A65431"/>
    <w:rsid w:val="00A654C7"/>
    <w:rsid w:val="00A659F0"/>
    <w:rsid w:val="00A660DC"/>
    <w:rsid w:val="00A66211"/>
    <w:rsid w:val="00A663F0"/>
    <w:rsid w:val="00A67201"/>
    <w:rsid w:val="00A67698"/>
    <w:rsid w:val="00A67C1B"/>
    <w:rsid w:val="00A67D2A"/>
    <w:rsid w:val="00A7033F"/>
    <w:rsid w:val="00A70966"/>
    <w:rsid w:val="00A71803"/>
    <w:rsid w:val="00A719B9"/>
    <w:rsid w:val="00A71F9C"/>
    <w:rsid w:val="00A7218D"/>
    <w:rsid w:val="00A72370"/>
    <w:rsid w:val="00A72B2B"/>
    <w:rsid w:val="00A72B44"/>
    <w:rsid w:val="00A730D8"/>
    <w:rsid w:val="00A73117"/>
    <w:rsid w:val="00A73654"/>
    <w:rsid w:val="00A73C1A"/>
    <w:rsid w:val="00A73F87"/>
    <w:rsid w:val="00A741EA"/>
    <w:rsid w:val="00A74508"/>
    <w:rsid w:val="00A74C17"/>
    <w:rsid w:val="00A7528F"/>
    <w:rsid w:val="00A75395"/>
    <w:rsid w:val="00A75673"/>
    <w:rsid w:val="00A75680"/>
    <w:rsid w:val="00A75986"/>
    <w:rsid w:val="00A75FF0"/>
    <w:rsid w:val="00A7621A"/>
    <w:rsid w:val="00A76453"/>
    <w:rsid w:val="00A76D58"/>
    <w:rsid w:val="00A77493"/>
    <w:rsid w:val="00A7760B"/>
    <w:rsid w:val="00A77E00"/>
    <w:rsid w:val="00A80078"/>
    <w:rsid w:val="00A81163"/>
    <w:rsid w:val="00A81D59"/>
    <w:rsid w:val="00A821DF"/>
    <w:rsid w:val="00A82FD0"/>
    <w:rsid w:val="00A83561"/>
    <w:rsid w:val="00A836CB"/>
    <w:rsid w:val="00A84BD8"/>
    <w:rsid w:val="00A85C9E"/>
    <w:rsid w:val="00A85D54"/>
    <w:rsid w:val="00A85EE1"/>
    <w:rsid w:val="00A8682F"/>
    <w:rsid w:val="00A87365"/>
    <w:rsid w:val="00A87ECA"/>
    <w:rsid w:val="00A87F1E"/>
    <w:rsid w:val="00A902D3"/>
    <w:rsid w:val="00A9079A"/>
    <w:rsid w:val="00A9091C"/>
    <w:rsid w:val="00A913AB"/>
    <w:rsid w:val="00A91FAB"/>
    <w:rsid w:val="00A92228"/>
    <w:rsid w:val="00A9226D"/>
    <w:rsid w:val="00A92957"/>
    <w:rsid w:val="00A929E6"/>
    <w:rsid w:val="00A9331F"/>
    <w:rsid w:val="00A93932"/>
    <w:rsid w:val="00A94C58"/>
    <w:rsid w:val="00A94EB5"/>
    <w:rsid w:val="00A951E3"/>
    <w:rsid w:val="00A9557F"/>
    <w:rsid w:val="00A95D66"/>
    <w:rsid w:val="00A95E6A"/>
    <w:rsid w:val="00A96307"/>
    <w:rsid w:val="00A964AC"/>
    <w:rsid w:val="00A969E2"/>
    <w:rsid w:val="00A96BFF"/>
    <w:rsid w:val="00A976C0"/>
    <w:rsid w:val="00A97708"/>
    <w:rsid w:val="00A97754"/>
    <w:rsid w:val="00A97F38"/>
    <w:rsid w:val="00AA08EC"/>
    <w:rsid w:val="00AA0907"/>
    <w:rsid w:val="00AA128D"/>
    <w:rsid w:val="00AA133B"/>
    <w:rsid w:val="00AA1DBA"/>
    <w:rsid w:val="00AA2279"/>
    <w:rsid w:val="00AA25B0"/>
    <w:rsid w:val="00AA26F1"/>
    <w:rsid w:val="00AA3078"/>
    <w:rsid w:val="00AA4B30"/>
    <w:rsid w:val="00AA5982"/>
    <w:rsid w:val="00AA5B1A"/>
    <w:rsid w:val="00AA64C6"/>
    <w:rsid w:val="00AA6568"/>
    <w:rsid w:val="00AA6B3E"/>
    <w:rsid w:val="00AA6F67"/>
    <w:rsid w:val="00AA7965"/>
    <w:rsid w:val="00AB0859"/>
    <w:rsid w:val="00AB0942"/>
    <w:rsid w:val="00AB0A26"/>
    <w:rsid w:val="00AB0A4E"/>
    <w:rsid w:val="00AB1342"/>
    <w:rsid w:val="00AB1821"/>
    <w:rsid w:val="00AB189C"/>
    <w:rsid w:val="00AB18BA"/>
    <w:rsid w:val="00AB1A75"/>
    <w:rsid w:val="00AB1CE0"/>
    <w:rsid w:val="00AB1D74"/>
    <w:rsid w:val="00AB2E93"/>
    <w:rsid w:val="00AB30D2"/>
    <w:rsid w:val="00AB323B"/>
    <w:rsid w:val="00AB33EE"/>
    <w:rsid w:val="00AB3649"/>
    <w:rsid w:val="00AB457C"/>
    <w:rsid w:val="00AB4853"/>
    <w:rsid w:val="00AB486E"/>
    <w:rsid w:val="00AB4963"/>
    <w:rsid w:val="00AB4BD8"/>
    <w:rsid w:val="00AB5339"/>
    <w:rsid w:val="00AB5522"/>
    <w:rsid w:val="00AB569F"/>
    <w:rsid w:val="00AB604E"/>
    <w:rsid w:val="00AB6616"/>
    <w:rsid w:val="00AB6BFF"/>
    <w:rsid w:val="00AB6F09"/>
    <w:rsid w:val="00AB719D"/>
    <w:rsid w:val="00AB7A66"/>
    <w:rsid w:val="00AB7FAE"/>
    <w:rsid w:val="00AC0881"/>
    <w:rsid w:val="00AC0DFA"/>
    <w:rsid w:val="00AC1FFE"/>
    <w:rsid w:val="00AC23F2"/>
    <w:rsid w:val="00AC2F14"/>
    <w:rsid w:val="00AC3088"/>
    <w:rsid w:val="00AC33DF"/>
    <w:rsid w:val="00AC402E"/>
    <w:rsid w:val="00AC4851"/>
    <w:rsid w:val="00AC4DF1"/>
    <w:rsid w:val="00AC4E19"/>
    <w:rsid w:val="00AC5525"/>
    <w:rsid w:val="00AC5B57"/>
    <w:rsid w:val="00AC61FF"/>
    <w:rsid w:val="00AC63FA"/>
    <w:rsid w:val="00AC645D"/>
    <w:rsid w:val="00AC6B3B"/>
    <w:rsid w:val="00AC7530"/>
    <w:rsid w:val="00AC7627"/>
    <w:rsid w:val="00AD02F4"/>
    <w:rsid w:val="00AD08FA"/>
    <w:rsid w:val="00AD0D65"/>
    <w:rsid w:val="00AD0FD0"/>
    <w:rsid w:val="00AD15C7"/>
    <w:rsid w:val="00AD2331"/>
    <w:rsid w:val="00AD2593"/>
    <w:rsid w:val="00AD2A9D"/>
    <w:rsid w:val="00AD2C42"/>
    <w:rsid w:val="00AD2E12"/>
    <w:rsid w:val="00AD5AA3"/>
    <w:rsid w:val="00AD5ECB"/>
    <w:rsid w:val="00AD7176"/>
    <w:rsid w:val="00AD776D"/>
    <w:rsid w:val="00AE0AEF"/>
    <w:rsid w:val="00AE121A"/>
    <w:rsid w:val="00AE1933"/>
    <w:rsid w:val="00AE2207"/>
    <w:rsid w:val="00AE3608"/>
    <w:rsid w:val="00AE3945"/>
    <w:rsid w:val="00AE3D74"/>
    <w:rsid w:val="00AE41A2"/>
    <w:rsid w:val="00AE41B5"/>
    <w:rsid w:val="00AE456D"/>
    <w:rsid w:val="00AE45A6"/>
    <w:rsid w:val="00AE48EF"/>
    <w:rsid w:val="00AE4A3A"/>
    <w:rsid w:val="00AE4DB5"/>
    <w:rsid w:val="00AE51A7"/>
    <w:rsid w:val="00AE536F"/>
    <w:rsid w:val="00AE5753"/>
    <w:rsid w:val="00AE6A42"/>
    <w:rsid w:val="00AE7677"/>
    <w:rsid w:val="00AE7AF4"/>
    <w:rsid w:val="00AF039A"/>
    <w:rsid w:val="00AF039B"/>
    <w:rsid w:val="00AF0573"/>
    <w:rsid w:val="00AF0D7B"/>
    <w:rsid w:val="00AF211A"/>
    <w:rsid w:val="00AF22F0"/>
    <w:rsid w:val="00AF24D7"/>
    <w:rsid w:val="00AF256B"/>
    <w:rsid w:val="00AF2E74"/>
    <w:rsid w:val="00AF2FAB"/>
    <w:rsid w:val="00AF3005"/>
    <w:rsid w:val="00AF356C"/>
    <w:rsid w:val="00AF406A"/>
    <w:rsid w:val="00AF4706"/>
    <w:rsid w:val="00AF4C95"/>
    <w:rsid w:val="00AF521F"/>
    <w:rsid w:val="00AF68CC"/>
    <w:rsid w:val="00AF69AC"/>
    <w:rsid w:val="00AF728A"/>
    <w:rsid w:val="00AF7416"/>
    <w:rsid w:val="00AF7EAA"/>
    <w:rsid w:val="00B00C7A"/>
    <w:rsid w:val="00B01057"/>
    <w:rsid w:val="00B01362"/>
    <w:rsid w:val="00B018E1"/>
    <w:rsid w:val="00B01B3F"/>
    <w:rsid w:val="00B01D56"/>
    <w:rsid w:val="00B01DA5"/>
    <w:rsid w:val="00B022B0"/>
    <w:rsid w:val="00B02559"/>
    <w:rsid w:val="00B028D2"/>
    <w:rsid w:val="00B02FFC"/>
    <w:rsid w:val="00B03764"/>
    <w:rsid w:val="00B03B9C"/>
    <w:rsid w:val="00B03BCB"/>
    <w:rsid w:val="00B03D8C"/>
    <w:rsid w:val="00B03F40"/>
    <w:rsid w:val="00B040EB"/>
    <w:rsid w:val="00B0471C"/>
    <w:rsid w:val="00B04DE8"/>
    <w:rsid w:val="00B04FFC"/>
    <w:rsid w:val="00B05419"/>
    <w:rsid w:val="00B07129"/>
    <w:rsid w:val="00B0715D"/>
    <w:rsid w:val="00B07D95"/>
    <w:rsid w:val="00B11233"/>
    <w:rsid w:val="00B114AF"/>
    <w:rsid w:val="00B11865"/>
    <w:rsid w:val="00B119E1"/>
    <w:rsid w:val="00B11EAA"/>
    <w:rsid w:val="00B13796"/>
    <w:rsid w:val="00B13990"/>
    <w:rsid w:val="00B139CE"/>
    <w:rsid w:val="00B148C7"/>
    <w:rsid w:val="00B150FF"/>
    <w:rsid w:val="00B170A3"/>
    <w:rsid w:val="00B17F64"/>
    <w:rsid w:val="00B20745"/>
    <w:rsid w:val="00B207A9"/>
    <w:rsid w:val="00B20A15"/>
    <w:rsid w:val="00B21317"/>
    <w:rsid w:val="00B21534"/>
    <w:rsid w:val="00B2186C"/>
    <w:rsid w:val="00B219FC"/>
    <w:rsid w:val="00B21E75"/>
    <w:rsid w:val="00B21EB5"/>
    <w:rsid w:val="00B2213F"/>
    <w:rsid w:val="00B223EC"/>
    <w:rsid w:val="00B224C5"/>
    <w:rsid w:val="00B22507"/>
    <w:rsid w:val="00B22650"/>
    <w:rsid w:val="00B22AB9"/>
    <w:rsid w:val="00B22E65"/>
    <w:rsid w:val="00B23617"/>
    <w:rsid w:val="00B23C41"/>
    <w:rsid w:val="00B24148"/>
    <w:rsid w:val="00B247C9"/>
    <w:rsid w:val="00B24C29"/>
    <w:rsid w:val="00B2585C"/>
    <w:rsid w:val="00B268A3"/>
    <w:rsid w:val="00B26A3F"/>
    <w:rsid w:val="00B26C83"/>
    <w:rsid w:val="00B27204"/>
    <w:rsid w:val="00B272F0"/>
    <w:rsid w:val="00B27376"/>
    <w:rsid w:val="00B273A7"/>
    <w:rsid w:val="00B27EDB"/>
    <w:rsid w:val="00B27F88"/>
    <w:rsid w:val="00B300B2"/>
    <w:rsid w:val="00B3072B"/>
    <w:rsid w:val="00B30780"/>
    <w:rsid w:val="00B309C9"/>
    <w:rsid w:val="00B30DB4"/>
    <w:rsid w:val="00B313FD"/>
    <w:rsid w:val="00B3177E"/>
    <w:rsid w:val="00B31EC5"/>
    <w:rsid w:val="00B32227"/>
    <w:rsid w:val="00B324BF"/>
    <w:rsid w:val="00B32BC0"/>
    <w:rsid w:val="00B32CE4"/>
    <w:rsid w:val="00B332F1"/>
    <w:rsid w:val="00B33649"/>
    <w:rsid w:val="00B33AA0"/>
    <w:rsid w:val="00B33F88"/>
    <w:rsid w:val="00B33FCE"/>
    <w:rsid w:val="00B34610"/>
    <w:rsid w:val="00B348EF"/>
    <w:rsid w:val="00B34DE6"/>
    <w:rsid w:val="00B34E0A"/>
    <w:rsid w:val="00B359D4"/>
    <w:rsid w:val="00B35A16"/>
    <w:rsid w:val="00B35C43"/>
    <w:rsid w:val="00B35E72"/>
    <w:rsid w:val="00B36312"/>
    <w:rsid w:val="00B36489"/>
    <w:rsid w:val="00B366A6"/>
    <w:rsid w:val="00B366F3"/>
    <w:rsid w:val="00B36A9A"/>
    <w:rsid w:val="00B372B9"/>
    <w:rsid w:val="00B37A51"/>
    <w:rsid w:val="00B40C2D"/>
    <w:rsid w:val="00B40C7F"/>
    <w:rsid w:val="00B40DAD"/>
    <w:rsid w:val="00B40DC4"/>
    <w:rsid w:val="00B41CFA"/>
    <w:rsid w:val="00B428E6"/>
    <w:rsid w:val="00B428FF"/>
    <w:rsid w:val="00B42A36"/>
    <w:rsid w:val="00B430A7"/>
    <w:rsid w:val="00B43273"/>
    <w:rsid w:val="00B43F03"/>
    <w:rsid w:val="00B44138"/>
    <w:rsid w:val="00B4435D"/>
    <w:rsid w:val="00B4494B"/>
    <w:rsid w:val="00B44CDE"/>
    <w:rsid w:val="00B456B3"/>
    <w:rsid w:val="00B45824"/>
    <w:rsid w:val="00B4596D"/>
    <w:rsid w:val="00B45D3E"/>
    <w:rsid w:val="00B4697E"/>
    <w:rsid w:val="00B46F3F"/>
    <w:rsid w:val="00B4740B"/>
    <w:rsid w:val="00B47BB4"/>
    <w:rsid w:val="00B47FFC"/>
    <w:rsid w:val="00B5020B"/>
    <w:rsid w:val="00B50564"/>
    <w:rsid w:val="00B5172A"/>
    <w:rsid w:val="00B51805"/>
    <w:rsid w:val="00B519D2"/>
    <w:rsid w:val="00B51C4F"/>
    <w:rsid w:val="00B525BE"/>
    <w:rsid w:val="00B5341F"/>
    <w:rsid w:val="00B53449"/>
    <w:rsid w:val="00B538C4"/>
    <w:rsid w:val="00B53A39"/>
    <w:rsid w:val="00B545CD"/>
    <w:rsid w:val="00B550F2"/>
    <w:rsid w:val="00B5552D"/>
    <w:rsid w:val="00B55F12"/>
    <w:rsid w:val="00B5640A"/>
    <w:rsid w:val="00B56BB1"/>
    <w:rsid w:val="00B572EF"/>
    <w:rsid w:val="00B57750"/>
    <w:rsid w:val="00B6074D"/>
    <w:rsid w:val="00B608D1"/>
    <w:rsid w:val="00B613AD"/>
    <w:rsid w:val="00B614A9"/>
    <w:rsid w:val="00B6188A"/>
    <w:rsid w:val="00B61955"/>
    <w:rsid w:val="00B6202A"/>
    <w:rsid w:val="00B6209D"/>
    <w:rsid w:val="00B620E1"/>
    <w:rsid w:val="00B624F3"/>
    <w:rsid w:val="00B63485"/>
    <w:rsid w:val="00B638D4"/>
    <w:rsid w:val="00B64D10"/>
    <w:rsid w:val="00B64FAB"/>
    <w:rsid w:val="00B655CC"/>
    <w:rsid w:val="00B65829"/>
    <w:rsid w:val="00B658F6"/>
    <w:rsid w:val="00B659F0"/>
    <w:rsid w:val="00B65C51"/>
    <w:rsid w:val="00B66025"/>
    <w:rsid w:val="00B661DA"/>
    <w:rsid w:val="00B6622D"/>
    <w:rsid w:val="00B66716"/>
    <w:rsid w:val="00B67345"/>
    <w:rsid w:val="00B67348"/>
    <w:rsid w:val="00B67EE9"/>
    <w:rsid w:val="00B70205"/>
    <w:rsid w:val="00B70DC8"/>
    <w:rsid w:val="00B712CA"/>
    <w:rsid w:val="00B71850"/>
    <w:rsid w:val="00B71FD3"/>
    <w:rsid w:val="00B7204F"/>
    <w:rsid w:val="00B729AF"/>
    <w:rsid w:val="00B733EA"/>
    <w:rsid w:val="00B739A0"/>
    <w:rsid w:val="00B73B83"/>
    <w:rsid w:val="00B741B1"/>
    <w:rsid w:val="00B743ED"/>
    <w:rsid w:val="00B744C8"/>
    <w:rsid w:val="00B7454F"/>
    <w:rsid w:val="00B74B2D"/>
    <w:rsid w:val="00B75232"/>
    <w:rsid w:val="00B75459"/>
    <w:rsid w:val="00B7574D"/>
    <w:rsid w:val="00B760E2"/>
    <w:rsid w:val="00B766B0"/>
    <w:rsid w:val="00B76738"/>
    <w:rsid w:val="00B76AE8"/>
    <w:rsid w:val="00B76B6A"/>
    <w:rsid w:val="00B772DC"/>
    <w:rsid w:val="00B77629"/>
    <w:rsid w:val="00B7788E"/>
    <w:rsid w:val="00B77AD4"/>
    <w:rsid w:val="00B77E8B"/>
    <w:rsid w:val="00B80A5A"/>
    <w:rsid w:val="00B80C68"/>
    <w:rsid w:val="00B8149A"/>
    <w:rsid w:val="00B815D6"/>
    <w:rsid w:val="00B818FB"/>
    <w:rsid w:val="00B81D2D"/>
    <w:rsid w:val="00B81D61"/>
    <w:rsid w:val="00B822D8"/>
    <w:rsid w:val="00B82A03"/>
    <w:rsid w:val="00B82E17"/>
    <w:rsid w:val="00B83001"/>
    <w:rsid w:val="00B8359A"/>
    <w:rsid w:val="00B835FB"/>
    <w:rsid w:val="00B83A6D"/>
    <w:rsid w:val="00B83CC7"/>
    <w:rsid w:val="00B83D7D"/>
    <w:rsid w:val="00B83D93"/>
    <w:rsid w:val="00B83E6E"/>
    <w:rsid w:val="00B84323"/>
    <w:rsid w:val="00B844D3"/>
    <w:rsid w:val="00B84C89"/>
    <w:rsid w:val="00B8532E"/>
    <w:rsid w:val="00B85A2D"/>
    <w:rsid w:val="00B85DFD"/>
    <w:rsid w:val="00B861F0"/>
    <w:rsid w:val="00B867ED"/>
    <w:rsid w:val="00B86B33"/>
    <w:rsid w:val="00B878F1"/>
    <w:rsid w:val="00B87924"/>
    <w:rsid w:val="00B87DBA"/>
    <w:rsid w:val="00B90582"/>
    <w:rsid w:val="00B90B83"/>
    <w:rsid w:val="00B9152A"/>
    <w:rsid w:val="00B91633"/>
    <w:rsid w:val="00B91E7E"/>
    <w:rsid w:val="00B921E8"/>
    <w:rsid w:val="00B92A91"/>
    <w:rsid w:val="00B92E8D"/>
    <w:rsid w:val="00B93CD7"/>
    <w:rsid w:val="00B9418C"/>
    <w:rsid w:val="00B9426C"/>
    <w:rsid w:val="00B94847"/>
    <w:rsid w:val="00B948EA"/>
    <w:rsid w:val="00B949F8"/>
    <w:rsid w:val="00B94AF5"/>
    <w:rsid w:val="00B95436"/>
    <w:rsid w:val="00B956F1"/>
    <w:rsid w:val="00B96483"/>
    <w:rsid w:val="00B96B0D"/>
    <w:rsid w:val="00B97551"/>
    <w:rsid w:val="00BA0034"/>
    <w:rsid w:val="00BA00CE"/>
    <w:rsid w:val="00BA0B2E"/>
    <w:rsid w:val="00BA1311"/>
    <w:rsid w:val="00BA14C5"/>
    <w:rsid w:val="00BA1799"/>
    <w:rsid w:val="00BA19D8"/>
    <w:rsid w:val="00BA216E"/>
    <w:rsid w:val="00BA2473"/>
    <w:rsid w:val="00BA2874"/>
    <w:rsid w:val="00BA2953"/>
    <w:rsid w:val="00BA2962"/>
    <w:rsid w:val="00BA30D3"/>
    <w:rsid w:val="00BA342F"/>
    <w:rsid w:val="00BA3534"/>
    <w:rsid w:val="00BA35B4"/>
    <w:rsid w:val="00BA3615"/>
    <w:rsid w:val="00BA3C18"/>
    <w:rsid w:val="00BA3EEB"/>
    <w:rsid w:val="00BA4447"/>
    <w:rsid w:val="00BA4450"/>
    <w:rsid w:val="00BA4AB8"/>
    <w:rsid w:val="00BA4B71"/>
    <w:rsid w:val="00BA54DB"/>
    <w:rsid w:val="00BA5597"/>
    <w:rsid w:val="00BA5AD5"/>
    <w:rsid w:val="00BA5F8C"/>
    <w:rsid w:val="00BA605D"/>
    <w:rsid w:val="00BA6C8A"/>
    <w:rsid w:val="00BA779D"/>
    <w:rsid w:val="00BA792F"/>
    <w:rsid w:val="00BA7A42"/>
    <w:rsid w:val="00BB035A"/>
    <w:rsid w:val="00BB05E7"/>
    <w:rsid w:val="00BB08A8"/>
    <w:rsid w:val="00BB0985"/>
    <w:rsid w:val="00BB0AD8"/>
    <w:rsid w:val="00BB1C4A"/>
    <w:rsid w:val="00BB1C60"/>
    <w:rsid w:val="00BB259A"/>
    <w:rsid w:val="00BB2659"/>
    <w:rsid w:val="00BB3178"/>
    <w:rsid w:val="00BB37D9"/>
    <w:rsid w:val="00BB3EBC"/>
    <w:rsid w:val="00BB3EE0"/>
    <w:rsid w:val="00BB44BF"/>
    <w:rsid w:val="00BB4667"/>
    <w:rsid w:val="00BB481D"/>
    <w:rsid w:val="00BB4865"/>
    <w:rsid w:val="00BB4FAE"/>
    <w:rsid w:val="00BB516E"/>
    <w:rsid w:val="00BB5495"/>
    <w:rsid w:val="00BB5699"/>
    <w:rsid w:val="00BB59EF"/>
    <w:rsid w:val="00BB5EF5"/>
    <w:rsid w:val="00BB634F"/>
    <w:rsid w:val="00BB695B"/>
    <w:rsid w:val="00BB69E3"/>
    <w:rsid w:val="00BB6B77"/>
    <w:rsid w:val="00BB6CBF"/>
    <w:rsid w:val="00BB6D0E"/>
    <w:rsid w:val="00BB70D9"/>
    <w:rsid w:val="00BB742A"/>
    <w:rsid w:val="00BB75F2"/>
    <w:rsid w:val="00BC0858"/>
    <w:rsid w:val="00BC08AC"/>
    <w:rsid w:val="00BC0FFD"/>
    <w:rsid w:val="00BC1876"/>
    <w:rsid w:val="00BC1CEB"/>
    <w:rsid w:val="00BC1DC3"/>
    <w:rsid w:val="00BC1EDB"/>
    <w:rsid w:val="00BC2304"/>
    <w:rsid w:val="00BC25C6"/>
    <w:rsid w:val="00BC2DB8"/>
    <w:rsid w:val="00BC2FB2"/>
    <w:rsid w:val="00BC33BB"/>
    <w:rsid w:val="00BC3D07"/>
    <w:rsid w:val="00BC3F70"/>
    <w:rsid w:val="00BC42DF"/>
    <w:rsid w:val="00BC43D6"/>
    <w:rsid w:val="00BC4FD4"/>
    <w:rsid w:val="00BC5074"/>
    <w:rsid w:val="00BC57C2"/>
    <w:rsid w:val="00BC5D3F"/>
    <w:rsid w:val="00BC6641"/>
    <w:rsid w:val="00BC6A07"/>
    <w:rsid w:val="00BC6F7C"/>
    <w:rsid w:val="00BC7170"/>
    <w:rsid w:val="00BC729B"/>
    <w:rsid w:val="00BC7FA7"/>
    <w:rsid w:val="00BD015C"/>
    <w:rsid w:val="00BD04F0"/>
    <w:rsid w:val="00BD11DC"/>
    <w:rsid w:val="00BD18AE"/>
    <w:rsid w:val="00BD1961"/>
    <w:rsid w:val="00BD19D0"/>
    <w:rsid w:val="00BD1E7E"/>
    <w:rsid w:val="00BD227D"/>
    <w:rsid w:val="00BD29A0"/>
    <w:rsid w:val="00BD2AD9"/>
    <w:rsid w:val="00BD3951"/>
    <w:rsid w:val="00BD3BA6"/>
    <w:rsid w:val="00BD41FF"/>
    <w:rsid w:val="00BD4890"/>
    <w:rsid w:val="00BD4B61"/>
    <w:rsid w:val="00BD5275"/>
    <w:rsid w:val="00BD5D0E"/>
    <w:rsid w:val="00BD6104"/>
    <w:rsid w:val="00BD631D"/>
    <w:rsid w:val="00BD6662"/>
    <w:rsid w:val="00BD6CAC"/>
    <w:rsid w:val="00BD75B6"/>
    <w:rsid w:val="00BD7BDD"/>
    <w:rsid w:val="00BE05E0"/>
    <w:rsid w:val="00BE0710"/>
    <w:rsid w:val="00BE0875"/>
    <w:rsid w:val="00BE0981"/>
    <w:rsid w:val="00BE0A18"/>
    <w:rsid w:val="00BE0A90"/>
    <w:rsid w:val="00BE10B4"/>
    <w:rsid w:val="00BE23D7"/>
    <w:rsid w:val="00BE240A"/>
    <w:rsid w:val="00BE2682"/>
    <w:rsid w:val="00BE2D40"/>
    <w:rsid w:val="00BE312D"/>
    <w:rsid w:val="00BE349F"/>
    <w:rsid w:val="00BE3564"/>
    <w:rsid w:val="00BE4389"/>
    <w:rsid w:val="00BE4A72"/>
    <w:rsid w:val="00BE4EC9"/>
    <w:rsid w:val="00BE4F61"/>
    <w:rsid w:val="00BE54E5"/>
    <w:rsid w:val="00BE59E5"/>
    <w:rsid w:val="00BE5BE0"/>
    <w:rsid w:val="00BE60CE"/>
    <w:rsid w:val="00BE6316"/>
    <w:rsid w:val="00BE7752"/>
    <w:rsid w:val="00BE7906"/>
    <w:rsid w:val="00BE79E0"/>
    <w:rsid w:val="00BE7DF2"/>
    <w:rsid w:val="00BE7DF8"/>
    <w:rsid w:val="00BE7F08"/>
    <w:rsid w:val="00BE7F7A"/>
    <w:rsid w:val="00BF002B"/>
    <w:rsid w:val="00BF0277"/>
    <w:rsid w:val="00BF05DD"/>
    <w:rsid w:val="00BF0701"/>
    <w:rsid w:val="00BF1050"/>
    <w:rsid w:val="00BF1762"/>
    <w:rsid w:val="00BF19C5"/>
    <w:rsid w:val="00BF1B76"/>
    <w:rsid w:val="00BF2329"/>
    <w:rsid w:val="00BF2872"/>
    <w:rsid w:val="00BF2A1A"/>
    <w:rsid w:val="00BF338B"/>
    <w:rsid w:val="00BF383A"/>
    <w:rsid w:val="00BF3D07"/>
    <w:rsid w:val="00BF4758"/>
    <w:rsid w:val="00BF4E64"/>
    <w:rsid w:val="00BF4E6E"/>
    <w:rsid w:val="00BF4EDD"/>
    <w:rsid w:val="00BF5103"/>
    <w:rsid w:val="00BF58A0"/>
    <w:rsid w:val="00BF63A6"/>
    <w:rsid w:val="00BF6F73"/>
    <w:rsid w:val="00BF70A4"/>
    <w:rsid w:val="00BF7259"/>
    <w:rsid w:val="00BF7B57"/>
    <w:rsid w:val="00C01EC4"/>
    <w:rsid w:val="00C020B5"/>
    <w:rsid w:val="00C0254A"/>
    <w:rsid w:val="00C037A1"/>
    <w:rsid w:val="00C0383B"/>
    <w:rsid w:val="00C03858"/>
    <w:rsid w:val="00C046C8"/>
    <w:rsid w:val="00C04858"/>
    <w:rsid w:val="00C051B2"/>
    <w:rsid w:val="00C0522B"/>
    <w:rsid w:val="00C057C4"/>
    <w:rsid w:val="00C05C52"/>
    <w:rsid w:val="00C06202"/>
    <w:rsid w:val="00C069BC"/>
    <w:rsid w:val="00C0712F"/>
    <w:rsid w:val="00C0782A"/>
    <w:rsid w:val="00C07CE4"/>
    <w:rsid w:val="00C107BD"/>
    <w:rsid w:val="00C10829"/>
    <w:rsid w:val="00C10833"/>
    <w:rsid w:val="00C1089E"/>
    <w:rsid w:val="00C10BE8"/>
    <w:rsid w:val="00C110D7"/>
    <w:rsid w:val="00C113C0"/>
    <w:rsid w:val="00C11893"/>
    <w:rsid w:val="00C12053"/>
    <w:rsid w:val="00C124D7"/>
    <w:rsid w:val="00C12574"/>
    <w:rsid w:val="00C12976"/>
    <w:rsid w:val="00C13236"/>
    <w:rsid w:val="00C13B98"/>
    <w:rsid w:val="00C13D2C"/>
    <w:rsid w:val="00C144CF"/>
    <w:rsid w:val="00C145D7"/>
    <w:rsid w:val="00C1477E"/>
    <w:rsid w:val="00C15087"/>
    <w:rsid w:val="00C15656"/>
    <w:rsid w:val="00C1591B"/>
    <w:rsid w:val="00C15CAF"/>
    <w:rsid w:val="00C15D60"/>
    <w:rsid w:val="00C17A0A"/>
    <w:rsid w:val="00C17AB4"/>
    <w:rsid w:val="00C200B7"/>
    <w:rsid w:val="00C20211"/>
    <w:rsid w:val="00C2055E"/>
    <w:rsid w:val="00C206E5"/>
    <w:rsid w:val="00C20C13"/>
    <w:rsid w:val="00C20E17"/>
    <w:rsid w:val="00C21787"/>
    <w:rsid w:val="00C21A57"/>
    <w:rsid w:val="00C21A8F"/>
    <w:rsid w:val="00C2205B"/>
    <w:rsid w:val="00C222A5"/>
    <w:rsid w:val="00C229F4"/>
    <w:rsid w:val="00C22A06"/>
    <w:rsid w:val="00C2335D"/>
    <w:rsid w:val="00C23475"/>
    <w:rsid w:val="00C2374A"/>
    <w:rsid w:val="00C24349"/>
    <w:rsid w:val="00C24A46"/>
    <w:rsid w:val="00C25120"/>
    <w:rsid w:val="00C25969"/>
    <w:rsid w:val="00C25ACE"/>
    <w:rsid w:val="00C25E70"/>
    <w:rsid w:val="00C26357"/>
    <w:rsid w:val="00C26894"/>
    <w:rsid w:val="00C269F6"/>
    <w:rsid w:val="00C26B79"/>
    <w:rsid w:val="00C270BE"/>
    <w:rsid w:val="00C27F24"/>
    <w:rsid w:val="00C27FA8"/>
    <w:rsid w:val="00C3025A"/>
    <w:rsid w:val="00C309E9"/>
    <w:rsid w:val="00C31132"/>
    <w:rsid w:val="00C313A3"/>
    <w:rsid w:val="00C31871"/>
    <w:rsid w:val="00C31A14"/>
    <w:rsid w:val="00C31D6E"/>
    <w:rsid w:val="00C31EB7"/>
    <w:rsid w:val="00C31FFD"/>
    <w:rsid w:val="00C324F0"/>
    <w:rsid w:val="00C32688"/>
    <w:rsid w:val="00C32A9A"/>
    <w:rsid w:val="00C32B84"/>
    <w:rsid w:val="00C32E62"/>
    <w:rsid w:val="00C333C9"/>
    <w:rsid w:val="00C335FE"/>
    <w:rsid w:val="00C33C87"/>
    <w:rsid w:val="00C33EB7"/>
    <w:rsid w:val="00C34085"/>
    <w:rsid w:val="00C35496"/>
    <w:rsid w:val="00C354B8"/>
    <w:rsid w:val="00C3712A"/>
    <w:rsid w:val="00C376BA"/>
    <w:rsid w:val="00C37791"/>
    <w:rsid w:val="00C37CB2"/>
    <w:rsid w:val="00C40392"/>
    <w:rsid w:val="00C4081F"/>
    <w:rsid w:val="00C40EC7"/>
    <w:rsid w:val="00C413AE"/>
    <w:rsid w:val="00C4140B"/>
    <w:rsid w:val="00C41649"/>
    <w:rsid w:val="00C41BD3"/>
    <w:rsid w:val="00C41DAD"/>
    <w:rsid w:val="00C42D12"/>
    <w:rsid w:val="00C43089"/>
    <w:rsid w:val="00C431FD"/>
    <w:rsid w:val="00C4391E"/>
    <w:rsid w:val="00C43A6B"/>
    <w:rsid w:val="00C43A8E"/>
    <w:rsid w:val="00C457E2"/>
    <w:rsid w:val="00C4661A"/>
    <w:rsid w:val="00C47EF0"/>
    <w:rsid w:val="00C50250"/>
    <w:rsid w:val="00C50873"/>
    <w:rsid w:val="00C50BA8"/>
    <w:rsid w:val="00C51C3F"/>
    <w:rsid w:val="00C51D9D"/>
    <w:rsid w:val="00C51EAA"/>
    <w:rsid w:val="00C52BE6"/>
    <w:rsid w:val="00C52C21"/>
    <w:rsid w:val="00C52C69"/>
    <w:rsid w:val="00C53577"/>
    <w:rsid w:val="00C5396F"/>
    <w:rsid w:val="00C53B9C"/>
    <w:rsid w:val="00C53F61"/>
    <w:rsid w:val="00C5420F"/>
    <w:rsid w:val="00C54413"/>
    <w:rsid w:val="00C54684"/>
    <w:rsid w:val="00C54700"/>
    <w:rsid w:val="00C552AB"/>
    <w:rsid w:val="00C554DF"/>
    <w:rsid w:val="00C55696"/>
    <w:rsid w:val="00C5580C"/>
    <w:rsid w:val="00C55B8A"/>
    <w:rsid w:val="00C55E3C"/>
    <w:rsid w:val="00C561C7"/>
    <w:rsid w:val="00C57A87"/>
    <w:rsid w:val="00C57BDE"/>
    <w:rsid w:val="00C6128F"/>
    <w:rsid w:val="00C61AAC"/>
    <w:rsid w:val="00C61D6B"/>
    <w:rsid w:val="00C61D71"/>
    <w:rsid w:val="00C61E2B"/>
    <w:rsid w:val="00C61FA5"/>
    <w:rsid w:val="00C622D7"/>
    <w:rsid w:val="00C63097"/>
    <w:rsid w:val="00C631E4"/>
    <w:rsid w:val="00C63D1E"/>
    <w:rsid w:val="00C64377"/>
    <w:rsid w:val="00C64389"/>
    <w:rsid w:val="00C64772"/>
    <w:rsid w:val="00C64844"/>
    <w:rsid w:val="00C650E7"/>
    <w:rsid w:val="00C6517E"/>
    <w:rsid w:val="00C65958"/>
    <w:rsid w:val="00C65C17"/>
    <w:rsid w:val="00C65ECE"/>
    <w:rsid w:val="00C65F14"/>
    <w:rsid w:val="00C6648E"/>
    <w:rsid w:val="00C665C1"/>
    <w:rsid w:val="00C667D3"/>
    <w:rsid w:val="00C66C24"/>
    <w:rsid w:val="00C66D52"/>
    <w:rsid w:val="00C66FD7"/>
    <w:rsid w:val="00C67E82"/>
    <w:rsid w:val="00C700C9"/>
    <w:rsid w:val="00C70ADC"/>
    <w:rsid w:val="00C70C6E"/>
    <w:rsid w:val="00C71229"/>
    <w:rsid w:val="00C71600"/>
    <w:rsid w:val="00C719DA"/>
    <w:rsid w:val="00C71F74"/>
    <w:rsid w:val="00C72252"/>
    <w:rsid w:val="00C722AD"/>
    <w:rsid w:val="00C7268F"/>
    <w:rsid w:val="00C7278E"/>
    <w:rsid w:val="00C72E8D"/>
    <w:rsid w:val="00C72EE8"/>
    <w:rsid w:val="00C736A2"/>
    <w:rsid w:val="00C73C1C"/>
    <w:rsid w:val="00C73C2C"/>
    <w:rsid w:val="00C743C1"/>
    <w:rsid w:val="00C74770"/>
    <w:rsid w:val="00C74869"/>
    <w:rsid w:val="00C74B6E"/>
    <w:rsid w:val="00C74BA1"/>
    <w:rsid w:val="00C750D8"/>
    <w:rsid w:val="00C7552D"/>
    <w:rsid w:val="00C7587B"/>
    <w:rsid w:val="00C76A53"/>
    <w:rsid w:val="00C76D11"/>
    <w:rsid w:val="00C77202"/>
    <w:rsid w:val="00C772EA"/>
    <w:rsid w:val="00C774AD"/>
    <w:rsid w:val="00C77B28"/>
    <w:rsid w:val="00C77DD7"/>
    <w:rsid w:val="00C80264"/>
    <w:rsid w:val="00C8030C"/>
    <w:rsid w:val="00C80970"/>
    <w:rsid w:val="00C80A52"/>
    <w:rsid w:val="00C80EA1"/>
    <w:rsid w:val="00C81B7D"/>
    <w:rsid w:val="00C82C4D"/>
    <w:rsid w:val="00C82C9D"/>
    <w:rsid w:val="00C82E31"/>
    <w:rsid w:val="00C835A0"/>
    <w:rsid w:val="00C83634"/>
    <w:rsid w:val="00C83A54"/>
    <w:rsid w:val="00C83BAF"/>
    <w:rsid w:val="00C83D54"/>
    <w:rsid w:val="00C845A6"/>
    <w:rsid w:val="00C84831"/>
    <w:rsid w:val="00C84875"/>
    <w:rsid w:val="00C85189"/>
    <w:rsid w:val="00C859CA"/>
    <w:rsid w:val="00C86526"/>
    <w:rsid w:val="00C86979"/>
    <w:rsid w:val="00C86A9F"/>
    <w:rsid w:val="00C86B99"/>
    <w:rsid w:val="00C86DA2"/>
    <w:rsid w:val="00C8715F"/>
    <w:rsid w:val="00C878BB"/>
    <w:rsid w:val="00C87E8C"/>
    <w:rsid w:val="00C900E9"/>
    <w:rsid w:val="00C909E3"/>
    <w:rsid w:val="00C90BE8"/>
    <w:rsid w:val="00C90BE9"/>
    <w:rsid w:val="00C910E2"/>
    <w:rsid w:val="00C91134"/>
    <w:rsid w:val="00C913F8"/>
    <w:rsid w:val="00C91B16"/>
    <w:rsid w:val="00C91DF6"/>
    <w:rsid w:val="00C9200E"/>
    <w:rsid w:val="00C92462"/>
    <w:rsid w:val="00C929C8"/>
    <w:rsid w:val="00C92C68"/>
    <w:rsid w:val="00C931D6"/>
    <w:rsid w:val="00C932D0"/>
    <w:rsid w:val="00C933A1"/>
    <w:rsid w:val="00C9372C"/>
    <w:rsid w:val="00C93916"/>
    <w:rsid w:val="00C93985"/>
    <w:rsid w:val="00C93B75"/>
    <w:rsid w:val="00C93E3C"/>
    <w:rsid w:val="00C95301"/>
    <w:rsid w:val="00C953E0"/>
    <w:rsid w:val="00C96A15"/>
    <w:rsid w:val="00C96B36"/>
    <w:rsid w:val="00C96C2A"/>
    <w:rsid w:val="00C96D10"/>
    <w:rsid w:val="00C97C7F"/>
    <w:rsid w:val="00CA0E67"/>
    <w:rsid w:val="00CA0F90"/>
    <w:rsid w:val="00CA1424"/>
    <w:rsid w:val="00CA1513"/>
    <w:rsid w:val="00CA1632"/>
    <w:rsid w:val="00CA1792"/>
    <w:rsid w:val="00CA2146"/>
    <w:rsid w:val="00CA22A4"/>
    <w:rsid w:val="00CA2313"/>
    <w:rsid w:val="00CA2B62"/>
    <w:rsid w:val="00CA2C58"/>
    <w:rsid w:val="00CA2E29"/>
    <w:rsid w:val="00CA30FD"/>
    <w:rsid w:val="00CA3673"/>
    <w:rsid w:val="00CA3B47"/>
    <w:rsid w:val="00CA3EFE"/>
    <w:rsid w:val="00CA4015"/>
    <w:rsid w:val="00CA40BB"/>
    <w:rsid w:val="00CA45BE"/>
    <w:rsid w:val="00CA49FD"/>
    <w:rsid w:val="00CA4B7D"/>
    <w:rsid w:val="00CA4D00"/>
    <w:rsid w:val="00CA4DE3"/>
    <w:rsid w:val="00CA5F78"/>
    <w:rsid w:val="00CA6750"/>
    <w:rsid w:val="00CA6A6F"/>
    <w:rsid w:val="00CA780C"/>
    <w:rsid w:val="00CA7932"/>
    <w:rsid w:val="00CA7DAE"/>
    <w:rsid w:val="00CA7E46"/>
    <w:rsid w:val="00CA7F07"/>
    <w:rsid w:val="00CA7FD5"/>
    <w:rsid w:val="00CB0505"/>
    <w:rsid w:val="00CB08EB"/>
    <w:rsid w:val="00CB0F76"/>
    <w:rsid w:val="00CB11A5"/>
    <w:rsid w:val="00CB1CA8"/>
    <w:rsid w:val="00CB268C"/>
    <w:rsid w:val="00CB26E0"/>
    <w:rsid w:val="00CB26E7"/>
    <w:rsid w:val="00CB2E56"/>
    <w:rsid w:val="00CB318F"/>
    <w:rsid w:val="00CB45C5"/>
    <w:rsid w:val="00CB4834"/>
    <w:rsid w:val="00CB4B17"/>
    <w:rsid w:val="00CB4BD9"/>
    <w:rsid w:val="00CB56D5"/>
    <w:rsid w:val="00CB5FD7"/>
    <w:rsid w:val="00CB6464"/>
    <w:rsid w:val="00CB7BC7"/>
    <w:rsid w:val="00CB7D90"/>
    <w:rsid w:val="00CC01CD"/>
    <w:rsid w:val="00CC0890"/>
    <w:rsid w:val="00CC19F7"/>
    <w:rsid w:val="00CC3414"/>
    <w:rsid w:val="00CC39CA"/>
    <w:rsid w:val="00CC3CDB"/>
    <w:rsid w:val="00CC3EF7"/>
    <w:rsid w:val="00CC5713"/>
    <w:rsid w:val="00CC5A47"/>
    <w:rsid w:val="00CC5C08"/>
    <w:rsid w:val="00CC5E37"/>
    <w:rsid w:val="00CC62FC"/>
    <w:rsid w:val="00CC6630"/>
    <w:rsid w:val="00CC6635"/>
    <w:rsid w:val="00CC69D0"/>
    <w:rsid w:val="00CC6E6D"/>
    <w:rsid w:val="00CC74AE"/>
    <w:rsid w:val="00CC796B"/>
    <w:rsid w:val="00CD012C"/>
    <w:rsid w:val="00CD14E5"/>
    <w:rsid w:val="00CD199A"/>
    <w:rsid w:val="00CD2368"/>
    <w:rsid w:val="00CD290B"/>
    <w:rsid w:val="00CD2F27"/>
    <w:rsid w:val="00CD361D"/>
    <w:rsid w:val="00CD3997"/>
    <w:rsid w:val="00CD3D9B"/>
    <w:rsid w:val="00CD3F85"/>
    <w:rsid w:val="00CD4481"/>
    <w:rsid w:val="00CD4884"/>
    <w:rsid w:val="00CD52A3"/>
    <w:rsid w:val="00CD56AE"/>
    <w:rsid w:val="00CD56AF"/>
    <w:rsid w:val="00CD5A9C"/>
    <w:rsid w:val="00CD5C72"/>
    <w:rsid w:val="00CD5E7A"/>
    <w:rsid w:val="00CD65B0"/>
    <w:rsid w:val="00CD7B85"/>
    <w:rsid w:val="00CD7C94"/>
    <w:rsid w:val="00CE02B5"/>
    <w:rsid w:val="00CE0333"/>
    <w:rsid w:val="00CE08EA"/>
    <w:rsid w:val="00CE0987"/>
    <w:rsid w:val="00CE0CA3"/>
    <w:rsid w:val="00CE1122"/>
    <w:rsid w:val="00CE219B"/>
    <w:rsid w:val="00CE2492"/>
    <w:rsid w:val="00CE2527"/>
    <w:rsid w:val="00CE2B67"/>
    <w:rsid w:val="00CE2E1D"/>
    <w:rsid w:val="00CE3413"/>
    <w:rsid w:val="00CE35EA"/>
    <w:rsid w:val="00CE3E2E"/>
    <w:rsid w:val="00CE583A"/>
    <w:rsid w:val="00CE5BCF"/>
    <w:rsid w:val="00CE5D31"/>
    <w:rsid w:val="00CE6AAB"/>
    <w:rsid w:val="00CE6B7E"/>
    <w:rsid w:val="00CE6FD7"/>
    <w:rsid w:val="00CE75CC"/>
    <w:rsid w:val="00CE77EF"/>
    <w:rsid w:val="00CE7D53"/>
    <w:rsid w:val="00CE7D77"/>
    <w:rsid w:val="00CE7E94"/>
    <w:rsid w:val="00CF0150"/>
    <w:rsid w:val="00CF0A19"/>
    <w:rsid w:val="00CF0A36"/>
    <w:rsid w:val="00CF0F7D"/>
    <w:rsid w:val="00CF1329"/>
    <w:rsid w:val="00CF159D"/>
    <w:rsid w:val="00CF1C0F"/>
    <w:rsid w:val="00CF1F71"/>
    <w:rsid w:val="00CF2016"/>
    <w:rsid w:val="00CF2C34"/>
    <w:rsid w:val="00CF2D95"/>
    <w:rsid w:val="00CF3731"/>
    <w:rsid w:val="00CF39C0"/>
    <w:rsid w:val="00CF3A2C"/>
    <w:rsid w:val="00CF3F9A"/>
    <w:rsid w:val="00CF418C"/>
    <w:rsid w:val="00CF44C2"/>
    <w:rsid w:val="00CF4C8B"/>
    <w:rsid w:val="00CF531D"/>
    <w:rsid w:val="00CF54A5"/>
    <w:rsid w:val="00CF5E4F"/>
    <w:rsid w:val="00CF601B"/>
    <w:rsid w:val="00CF68E2"/>
    <w:rsid w:val="00CF6D2A"/>
    <w:rsid w:val="00D004C7"/>
    <w:rsid w:val="00D004F0"/>
    <w:rsid w:val="00D00E81"/>
    <w:rsid w:val="00D017F8"/>
    <w:rsid w:val="00D02257"/>
    <w:rsid w:val="00D0269B"/>
    <w:rsid w:val="00D02978"/>
    <w:rsid w:val="00D02AB2"/>
    <w:rsid w:val="00D02C32"/>
    <w:rsid w:val="00D02C34"/>
    <w:rsid w:val="00D03F21"/>
    <w:rsid w:val="00D0454C"/>
    <w:rsid w:val="00D046E8"/>
    <w:rsid w:val="00D05116"/>
    <w:rsid w:val="00D05D1E"/>
    <w:rsid w:val="00D05F6A"/>
    <w:rsid w:val="00D067A1"/>
    <w:rsid w:val="00D067D1"/>
    <w:rsid w:val="00D07038"/>
    <w:rsid w:val="00D0716D"/>
    <w:rsid w:val="00D07414"/>
    <w:rsid w:val="00D079E7"/>
    <w:rsid w:val="00D07E04"/>
    <w:rsid w:val="00D10038"/>
    <w:rsid w:val="00D1041A"/>
    <w:rsid w:val="00D10AF2"/>
    <w:rsid w:val="00D116E0"/>
    <w:rsid w:val="00D117F1"/>
    <w:rsid w:val="00D11918"/>
    <w:rsid w:val="00D11D27"/>
    <w:rsid w:val="00D11E80"/>
    <w:rsid w:val="00D1224E"/>
    <w:rsid w:val="00D1230B"/>
    <w:rsid w:val="00D1236F"/>
    <w:rsid w:val="00D12B1E"/>
    <w:rsid w:val="00D1329E"/>
    <w:rsid w:val="00D13502"/>
    <w:rsid w:val="00D13C71"/>
    <w:rsid w:val="00D14394"/>
    <w:rsid w:val="00D14E86"/>
    <w:rsid w:val="00D14EB9"/>
    <w:rsid w:val="00D15B2B"/>
    <w:rsid w:val="00D16618"/>
    <w:rsid w:val="00D172C9"/>
    <w:rsid w:val="00D178E8"/>
    <w:rsid w:val="00D179B7"/>
    <w:rsid w:val="00D17AB7"/>
    <w:rsid w:val="00D20AC1"/>
    <w:rsid w:val="00D20BD6"/>
    <w:rsid w:val="00D20E6E"/>
    <w:rsid w:val="00D21312"/>
    <w:rsid w:val="00D218E4"/>
    <w:rsid w:val="00D220DA"/>
    <w:rsid w:val="00D22168"/>
    <w:rsid w:val="00D22A54"/>
    <w:rsid w:val="00D22C25"/>
    <w:rsid w:val="00D23234"/>
    <w:rsid w:val="00D23329"/>
    <w:rsid w:val="00D23498"/>
    <w:rsid w:val="00D23720"/>
    <w:rsid w:val="00D2374B"/>
    <w:rsid w:val="00D23980"/>
    <w:rsid w:val="00D24074"/>
    <w:rsid w:val="00D2411E"/>
    <w:rsid w:val="00D241AC"/>
    <w:rsid w:val="00D24B2D"/>
    <w:rsid w:val="00D24CB8"/>
    <w:rsid w:val="00D25E31"/>
    <w:rsid w:val="00D262C3"/>
    <w:rsid w:val="00D2639F"/>
    <w:rsid w:val="00D264D8"/>
    <w:rsid w:val="00D2698B"/>
    <w:rsid w:val="00D26B98"/>
    <w:rsid w:val="00D26BE2"/>
    <w:rsid w:val="00D26FFC"/>
    <w:rsid w:val="00D27A78"/>
    <w:rsid w:val="00D302B7"/>
    <w:rsid w:val="00D303DE"/>
    <w:rsid w:val="00D30454"/>
    <w:rsid w:val="00D3054C"/>
    <w:rsid w:val="00D305DF"/>
    <w:rsid w:val="00D3098F"/>
    <w:rsid w:val="00D30AD1"/>
    <w:rsid w:val="00D30BAB"/>
    <w:rsid w:val="00D30C15"/>
    <w:rsid w:val="00D31456"/>
    <w:rsid w:val="00D319F5"/>
    <w:rsid w:val="00D31D2F"/>
    <w:rsid w:val="00D31DAB"/>
    <w:rsid w:val="00D32072"/>
    <w:rsid w:val="00D32448"/>
    <w:rsid w:val="00D32566"/>
    <w:rsid w:val="00D328AB"/>
    <w:rsid w:val="00D32938"/>
    <w:rsid w:val="00D32D97"/>
    <w:rsid w:val="00D336C0"/>
    <w:rsid w:val="00D33DF5"/>
    <w:rsid w:val="00D352AF"/>
    <w:rsid w:val="00D352F2"/>
    <w:rsid w:val="00D3531B"/>
    <w:rsid w:val="00D3538D"/>
    <w:rsid w:val="00D35629"/>
    <w:rsid w:val="00D35E09"/>
    <w:rsid w:val="00D364B2"/>
    <w:rsid w:val="00D364B8"/>
    <w:rsid w:val="00D37FD2"/>
    <w:rsid w:val="00D4066E"/>
    <w:rsid w:val="00D406DB"/>
    <w:rsid w:val="00D407A5"/>
    <w:rsid w:val="00D41BEE"/>
    <w:rsid w:val="00D41D9B"/>
    <w:rsid w:val="00D434A9"/>
    <w:rsid w:val="00D43F84"/>
    <w:rsid w:val="00D4423A"/>
    <w:rsid w:val="00D44297"/>
    <w:rsid w:val="00D44AB2"/>
    <w:rsid w:val="00D45714"/>
    <w:rsid w:val="00D45AB8"/>
    <w:rsid w:val="00D45DC6"/>
    <w:rsid w:val="00D46D37"/>
    <w:rsid w:val="00D47D85"/>
    <w:rsid w:val="00D51120"/>
    <w:rsid w:val="00D51311"/>
    <w:rsid w:val="00D521F4"/>
    <w:rsid w:val="00D52346"/>
    <w:rsid w:val="00D523D8"/>
    <w:rsid w:val="00D529CF"/>
    <w:rsid w:val="00D52A4C"/>
    <w:rsid w:val="00D52B11"/>
    <w:rsid w:val="00D52F49"/>
    <w:rsid w:val="00D535C3"/>
    <w:rsid w:val="00D53B20"/>
    <w:rsid w:val="00D53CCC"/>
    <w:rsid w:val="00D53E78"/>
    <w:rsid w:val="00D54151"/>
    <w:rsid w:val="00D541E6"/>
    <w:rsid w:val="00D54406"/>
    <w:rsid w:val="00D54A7D"/>
    <w:rsid w:val="00D54B78"/>
    <w:rsid w:val="00D54CD8"/>
    <w:rsid w:val="00D550F6"/>
    <w:rsid w:val="00D5528F"/>
    <w:rsid w:val="00D55A67"/>
    <w:rsid w:val="00D55C5F"/>
    <w:rsid w:val="00D55EBA"/>
    <w:rsid w:val="00D560F7"/>
    <w:rsid w:val="00D5613A"/>
    <w:rsid w:val="00D56177"/>
    <w:rsid w:val="00D56F22"/>
    <w:rsid w:val="00D570BE"/>
    <w:rsid w:val="00D573EC"/>
    <w:rsid w:val="00D60609"/>
    <w:rsid w:val="00D60BE1"/>
    <w:rsid w:val="00D61A17"/>
    <w:rsid w:val="00D62214"/>
    <w:rsid w:val="00D624CE"/>
    <w:rsid w:val="00D62B5C"/>
    <w:rsid w:val="00D62DF7"/>
    <w:rsid w:val="00D63263"/>
    <w:rsid w:val="00D6438E"/>
    <w:rsid w:val="00D645E9"/>
    <w:rsid w:val="00D65238"/>
    <w:rsid w:val="00D6554C"/>
    <w:rsid w:val="00D6583C"/>
    <w:rsid w:val="00D65891"/>
    <w:rsid w:val="00D658EC"/>
    <w:rsid w:val="00D65B1D"/>
    <w:rsid w:val="00D66173"/>
    <w:rsid w:val="00D66550"/>
    <w:rsid w:val="00D66822"/>
    <w:rsid w:val="00D668D4"/>
    <w:rsid w:val="00D66A67"/>
    <w:rsid w:val="00D66C28"/>
    <w:rsid w:val="00D66CC2"/>
    <w:rsid w:val="00D66E57"/>
    <w:rsid w:val="00D677E2"/>
    <w:rsid w:val="00D678B1"/>
    <w:rsid w:val="00D67A78"/>
    <w:rsid w:val="00D67F3D"/>
    <w:rsid w:val="00D700FA"/>
    <w:rsid w:val="00D70194"/>
    <w:rsid w:val="00D7023D"/>
    <w:rsid w:val="00D705A8"/>
    <w:rsid w:val="00D70B37"/>
    <w:rsid w:val="00D715BC"/>
    <w:rsid w:val="00D71AFC"/>
    <w:rsid w:val="00D72615"/>
    <w:rsid w:val="00D72A70"/>
    <w:rsid w:val="00D72F88"/>
    <w:rsid w:val="00D73100"/>
    <w:rsid w:val="00D73BE7"/>
    <w:rsid w:val="00D73CFA"/>
    <w:rsid w:val="00D73D18"/>
    <w:rsid w:val="00D746A9"/>
    <w:rsid w:val="00D74BC9"/>
    <w:rsid w:val="00D74CC6"/>
    <w:rsid w:val="00D75268"/>
    <w:rsid w:val="00D7708B"/>
    <w:rsid w:val="00D7741F"/>
    <w:rsid w:val="00D779D7"/>
    <w:rsid w:val="00D77DDF"/>
    <w:rsid w:val="00D80009"/>
    <w:rsid w:val="00D806A7"/>
    <w:rsid w:val="00D80D3A"/>
    <w:rsid w:val="00D81401"/>
    <w:rsid w:val="00D820A7"/>
    <w:rsid w:val="00D820E0"/>
    <w:rsid w:val="00D8287F"/>
    <w:rsid w:val="00D82AE2"/>
    <w:rsid w:val="00D82CB5"/>
    <w:rsid w:val="00D82E4D"/>
    <w:rsid w:val="00D82F5D"/>
    <w:rsid w:val="00D83AE2"/>
    <w:rsid w:val="00D83CB5"/>
    <w:rsid w:val="00D83EB2"/>
    <w:rsid w:val="00D84157"/>
    <w:rsid w:val="00D8424F"/>
    <w:rsid w:val="00D84496"/>
    <w:rsid w:val="00D84B08"/>
    <w:rsid w:val="00D84BFC"/>
    <w:rsid w:val="00D854F0"/>
    <w:rsid w:val="00D85AA1"/>
    <w:rsid w:val="00D85AAE"/>
    <w:rsid w:val="00D86033"/>
    <w:rsid w:val="00D8614D"/>
    <w:rsid w:val="00D86620"/>
    <w:rsid w:val="00D86854"/>
    <w:rsid w:val="00D86891"/>
    <w:rsid w:val="00D86D04"/>
    <w:rsid w:val="00D870F0"/>
    <w:rsid w:val="00D878AD"/>
    <w:rsid w:val="00D87A07"/>
    <w:rsid w:val="00D90075"/>
    <w:rsid w:val="00D9043B"/>
    <w:rsid w:val="00D90527"/>
    <w:rsid w:val="00D90794"/>
    <w:rsid w:val="00D909BE"/>
    <w:rsid w:val="00D91011"/>
    <w:rsid w:val="00D91220"/>
    <w:rsid w:val="00D9130D"/>
    <w:rsid w:val="00D91585"/>
    <w:rsid w:val="00D91761"/>
    <w:rsid w:val="00D9254E"/>
    <w:rsid w:val="00D9315E"/>
    <w:rsid w:val="00D93622"/>
    <w:rsid w:val="00D93C5B"/>
    <w:rsid w:val="00D9479D"/>
    <w:rsid w:val="00D94DF6"/>
    <w:rsid w:val="00D95881"/>
    <w:rsid w:val="00D95B69"/>
    <w:rsid w:val="00D96676"/>
    <w:rsid w:val="00D96775"/>
    <w:rsid w:val="00D97391"/>
    <w:rsid w:val="00D97D80"/>
    <w:rsid w:val="00DA04EE"/>
    <w:rsid w:val="00DA08B9"/>
    <w:rsid w:val="00DA0E8E"/>
    <w:rsid w:val="00DA0FE7"/>
    <w:rsid w:val="00DA14F7"/>
    <w:rsid w:val="00DA17AC"/>
    <w:rsid w:val="00DA22CF"/>
    <w:rsid w:val="00DA2318"/>
    <w:rsid w:val="00DA2E73"/>
    <w:rsid w:val="00DA2F7E"/>
    <w:rsid w:val="00DA38D3"/>
    <w:rsid w:val="00DA3A0D"/>
    <w:rsid w:val="00DA3A3A"/>
    <w:rsid w:val="00DA3DD5"/>
    <w:rsid w:val="00DA4DEB"/>
    <w:rsid w:val="00DA5541"/>
    <w:rsid w:val="00DA604D"/>
    <w:rsid w:val="00DA6133"/>
    <w:rsid w:val="00DA6382"/>
    <w:rsid w:val="00DA66F0"/>
    <w:rsid w:val="00DA6775"/>
    <w:rsid w:val="00DA682C"/>
    <w:rsid w:val="00DA7120"/>
    <w:rsid w:val="00DB0BB0"/>
    <w:rsid w:val="00DB16CC"/>
    <w:rsid w:val="00DB16F0"/>
    <w:rsid w:val="00DB1C53"/>
    <w:rsid w:val="00DB20EB"/>
    <w:rsid w:val="00DB3254"/>
    <w:rsid w:val="00DB32A3"/>
    <w:rsid w:val="00DB39DD"/>
    <w:rsid w:val="00DB3A65"/>
    <w:rsid w:val="00DB3C45"/>
    <w:rsid w:val="00DB3CAB"/>
    <w:rsid w:val="00DB4206"/>
    <w:rsid w:val="00DB4CEB"/>
    <w:rsid w:val="00DB5797"/>
    <w:rsid w:val="00DB5EA7"/>
    <w:rsid w:val="00DB60EA"/>
    <w:rsid w:val="00DB6C91"/>
    <w:rsid w:val="00DB768D"/>
    <w:rsid w:val="00DB7C32"/>
    <w:rsid w:val="00DB7FB7"/>
    <w:rsid w:val="00DC0243"/>
    <w:rsid w:val="00DC0649"/>
    <w:rsid w:val="00DC0A69"/>
    <w:rsid w:val="00DC0E2A"/>
    <w:rsid w:val="00DC180C"/>
    <w:rsid w:val="00DC1EF2"/>
    <w:rsid w:val="00DC2F4B"/>
    <w:rsid w:val="00DC2F9A"/>
    <w:rsid w:val="00DC2FB0"/>
    <w:rsid w:val="00DC3ADB"/>
    <w:rsid w:val="00DC3EC6"/>
    <w:rsid w:val="00DC4080"/>
    <w:rsid w:val="00DC4581"/>
    <w:rsid w:val="00DC535C"/>
    <w:rsid w:val="00DC5782"/>
    <w:rsid w:val="00DC5DE0"/>
    <w:rsid w:val="00DC652A"/>
    <w:rsid w:val="00DC719B"/>
    <w:rsid w:val="00DC75B7"/>
    <w:rsid w:val="00DC7969"/>
    <w:rsid w:val="00DC7D7A"/>
    <w:rsid w:val="00DD0738"/>
    <w:rsid w:val="00DD0C31"/>
    <w:rsid w:val="00DD0EEB"/>
    <w:rsid w:val="00DD11AE"/>
    <w:rsid w:val="00DD29B4"/>
    <w:rsid w:val="00DD3AD0"/>
    <w:rsid w:val="00DD3CC5"/>
    <w:rsid w:val="00DD3D1B"/>
    <w:rsid w:val="00DD446D"/>
    <w:rsid w:val="00DD46C4"/>
    <w:rsid w:val="00DD5491"/>
    <w:rsid w:val="00DD6099"/>
    <w:rsid w:val="00DD6260"/>
    <w:rsid w:val="00DD64EE"/>
    <w:rsid w:val="00DD7DA1"/>
    <w:rsid w:val="00DE07B3"/>
    <w:rsid w:val="00DE07B8"/>
    <w:rsid w:val="00DE09E2"/>
    <w:rsid w:val="00DE1291"/>
    <w:rsid w:val="00DE1676"/>
    <w:rsid w:val="00DE2F91"/>
    <w:rsid w:val="00DE31C7"/>
    <w:rsid w:val="00DE3423"/>
    <w:rsid w:val="00DE3796"/>
    <w:rsid w:val="00DE3956"/>
    <w:rsid w:val="00DE3F88"/>
    <w:rsid w:val="00DE4E9E"/>
    <w:rsid w:val="00DE558C"/>
    <w:rsid w:val="00DE5593"/>
    <w:rsid w:val="00DE5C84"/>
    <w:rsid w:val="00DE6BF0"/>
    <w:rsid w:val="00DE6C48"/>
    <w:rsid w:val="00DE6FE8"/>
    <w:rsid w:val="00DE797A"/>
    <w:rsid w:val="00DF0523"/>
    <w:rsid w:val="00DF0D4B"/>
    <w:rsid w:val="00DF1036"/>
    <w:rsid w:val="00DF1477"/>
    <w:rsid w:val="00DF16B9"/>
    <w:rsid w:val="00DF212C"/>
    <w:rsid w:val="00DF2AD9"/>
    <w:rsid w:val="00DF2C27"/>
    <w:rsid w:val="00DF2D00"/>
    <w:rsid w:val="00DF2E78"/>
    <w:rsid w:val="00DF3055"/>
    <w:rsid w:val="00DF30A7"/>
    <w:rsid w:val="00DF3319"/>
    <w:rsid w:val="00DF3D95"/>
    <w:rsid w:val="00DF43D4"/>
    <w:rsid w:val="00DF4FCD"/>
    <w:rsid w:val="00DF5171"/>
    <w:rsid w:val="00DF54EC"/>
    <w:rsid w:val="00DF5557"/>
    <w:rsid w:val="00DF61A2"/>
    <w:rsid w:val="00DF65D9"/>
    <w:rsid w:val="00DF6671"/>
    <w:rsid w:val="00DF6E70"/>
    <w:rsid w:val="00DF7634"/>
    <w:rsid w:val="00DF7EF1"/>
    <w:rsid w:val="00E0009D"/>
    <w:rsid w:val="00E000A3"/>
    <w:rsid w:val="00E01761"/>
    <w:rsid w:val="00E01775"/>
    <w:rsid w:val="00E0306E"/>
    <w:rsid w:val="00E03AD9"/>
    <w:rsid w:val="00E03AEE"/>
    <w:rsid w:val="00E03F52"/>
    <w:rsid w:val="00E0409D"/>
    <w:rsid w:val="00E0454C"/>
    <w:rsid w:val="00E04CEC"/>
    <w:rsid w:val="00E050B3"/>
    <w:rsid w:val="00E05A7F"/>
    <w:rsid w:val="00E05C8D"/>
    <w:rsid w:val="00E05D6A"/>
    <w:rsid w:val="00E060A4"/>
    <w:rsid w:val="00E06271"/>
    <w:rsid w:val="00E065AD"/>
    <w:rsid w:val="00E065CE"/>
    <w:rsid w:val="00E06973"/>
    <w:rsid w:val="00E06E2D"/>
    <w:rsid w:val="00E07241"/>
    <w:rsid w:val="00E0746B"/>
    <w:rsid w:val="00E1028A"/>
    <w:rsid w:val="00E107B7"/>
    <w:rsid w:val="00E10DA1"/>
    <w:rsid w:val="00E110C4"/>
    <w:rsid w:val="00E114FC"/>
    <w:rsid w:val="00E1187A"/>
    <w:rsid w:val="00E11899"/>
    <w:rsid w:val="00E11B31"/>
    <w:rsid w:val="00E128A6"/>
    <w:rsid w:val="00E128C4"/>
    <w:rsid w:val="00E12B4F"/>
    <w:rsid w:val="00E13084"/>
    <w:rsid w:val="00E136D7"/>
    <w:rsid w:val="00E1384E"/>
    <w:rsid w:val="00E13913"/>
    <w:rsid w:val="00E13CD4"/>
    <w:rsid w:val="00E14FB4"/>
    <w:rsid w:val="00E1513D"/>
    <w:rsid w:val="00E15767"/>
    <w:rsid w:val="00E158B2"/>
    <w:rsid w:val="00E16833"/>
    <w:rsid w:val="00E16D20"/>
    <w:rsid w:val="00E20180"/>
    <w:rsid w:val="00E201D3"/>
    <w:rsid w:val="00E20316"/>
    <w:rsid w:val="00E204B6"/>
    <w:rsid w:val="00E206CC"/>
    <w:rsid w:val="00E20CBA"/>
    <w:rsid w:val="00E2134B"/>
    <w:rsid w:val="00E213B2"/>
    <w:rsid w:val="00E215F9"/>
    <w:rsid w:val="00E219C3"/>
    <w:rsid w:val="00E21A23"/>
    <w:rsid w:val="00E21BCA"/>
    <w:rsid w:val="00E2264D"/>
    <w:rsid w:val="00E23722"/>
    <w:rsid w:val="00E24012"/>
    <w:rsid w:val="00E240B2"/>
    <w:rsid w:val="00E254A2"/>
    <w:rsid w:val="00E2559E"/>
    <w:rsid w:val="00E258EA"/>
    <w:rsid w:val="00E26667"/>
    <w:rsid w:val="00E26AD2"/>
    <w:rsid w:val="00E26FBF"/>
    <w:rsid w:val="00E26FD5"/>
    <w:rsid w:val="00E276DD"/>
    <w:rsid w:val="00E27944"/>
    <w:rsid w:val="00E279A8"/>
    <w:rsid w:val="00E279EC"/>
    <w:rsid w:val="00E27F42"/>
    <w:rsid w:val="00E30A5C"/>
    <w:rsid w:val="00E30C8C"/>
    <w:rsid w:val="00E30EC7"/>
    <w:rsid w:val="00E31157"/>
    <w:rsid w:val="00E311C7"/>
    <w:rsid w:val="00E31269"/>
    <w:rsid w:val="00E31709"/>
    <w:rsid w:val="00E31815"/>
    <w:rsid w:val="00E31F47"/>
    <w:rsid w:val="00E322EB"/>
    <w:rsid w:val="00E32BC2"/>
    <w:rsid w:val="00E32F0A"/>
    <w:rsid w:val="00E32F52"/>
    <w:rsid w:val="00E332B1"/>
    <w:rsid w:val="00E33E28"/>
    <w:rsid w:val="00E33EFC"/>
    <w:rsid w:val="00E3484D"/>
    <w:rsid w:val="00E34A52"/>
    <w:rsid w:val="00E3588E"/>
    <w:rsid w:val="00E35D01"/>
    <w:rsid w:val="00E36229"/>
    <w:rsid w:val="00E36541"/>
    <w:rsid w:val="00E365B4"/>
    <w:rsid w:val="00E36F22"/>
    <w:rsid w:val="00E378F3"/>
    <w:rsid w:val="00E40C2B"/>
    <w:rsid w:val="00E40C71"/>
    <w:rsid w:val="00E4138A"/>
    <w:rsid w:val="00E413CD"/>
    <w:rsid w:val="00E41602"/>
    <w:rsid w:val="00E41FEF"/>
    <w:rsid w:val="00E4222D"/>
    <w:rsid w:val="00E42973"/>
    <w:rsid w:val="00E43C57"/>
    <w:rsid w:val="00E44F40"/>
    <w:rsid w:val="00E455D1"/>
    <w:rsid w:val="00E4579F"/>
    <w:rsid w:val="00E458CE"/>
    <w:rsid w:val="00E45CBA"/>
    <w:rsid w:val="00E47392"/>
    <w:rsid w:val="00E47537"/>
    <w:rsid w:val="00E47563"/>
    <w:rsid w:val="00E47D45"/>
    <w:rsid w:val="00E5079E"/>
    <w:rsid w:val="00E50AE5"/>
    <w:rsid w:val="00E50E21"/>
    <w:rsid w:val="00E5138A"/>
    <w:rsid w:val="00E513B3"/>
    <w:rsid w:val="00E522F8"/>
    <w:rsid w:val="00E52944"/>
    <w:rsid w:val="00E52A30"/>
    <w:rsid w:val="00E52D28"/>
    <w:rsid w:val="00E535B8"/>
    <w:rsid w:val="00E53C47"/>
    <w:rsid w:val="00E542A5"/>
    <w:rsid w:val="00E54A4A"/>
    <w:rsid w:val="00E55250"/>
    <w:rsid w:val="00E55939"/>
    <w:rsid w:val="00E56200"/>
    <w:rsid w:val="00E562C9"/>
    <w:rsid w:val="00E56357"/>
    <w:rsid w:val="00E567FD"/>
    <w:rsid w:val="00E56ECB"/>
    <w:rsid w:val="00E571F9"/>
    <w:rsid w:val="00E57723"/>
    <w:rsid w:val="00E604F1"/>
    <w:rsid w:val="00E60727"/>
    <w:rsid w:val="00E60EFC"/>
    <w:rsid w:val="00E610EC"/>
    <w:rsid w:val="00E61152"/>
    <w:rsid w:val="00E619F0"/>
    <w:rsid w:val="00E61B17"/>
    <w:rsid w:val="00E61C66"/>
    <w:rsid w:val="00E61F7B"/>
    <w:rsid w:val="00E6269E"/>
    <w:rsid w:val="00E63121"/>
    <w:rsid w:val="00E63530"/>
    <w:rsid w:val="00E635C4"/>
    <w:rsid w:val="00E64112"/>
    <w:rsid w:val="00E65CE8"/>
    <w:rsid w:val="00E65E35"/>
    <w:rsid w:val="00E67677"/>
    <w:rsid w:val="00E67E9B"/>
    <w:rsid w:val="00E700B5"/>
    <w:rsid w:val="00E70158"/>
    <w:rsid w:val="00E701E8"/>
    <w:rsid w:val="00E7042F"/>
    <w:rsid w:val="00E71316"/>
    <w:rsid w:val="00E72197"/>
    <w:rsid w:val="00E72F41"/>
    <w:rsid w:val="00E73B12"/>
    <w:rsid w:val="00E73BBE"/>
    <w:rsid w:val="00E74172"/>
    <w:rsid w:val="00E742D4"/>
    <w:rsid w:val="00E7446A"/>
    <w:rsid w:val="00E748E0"/>
    <w:rsid w:val="00E75143"/>
    <w:rsid w:val="00E75446"/>
    <w:rsid w:val="00E75C19"/>
    <w:rsid w:val="00E75E50"/>
    <w:rsid w:val="00E76379"/>
    <w:rsid w:val="00E80933"/>
    <w:rsid w:val="00E80A1A"/>
    <w:rsid w:val="00E80A23"/>
    <w:rsid w:val="00E80CF6"/>
    <w:rsid w:val="00E81A33"/>
    <w:rsid w:val="00E81F98"/>
    <w:rsid w:val="00E8208A"/>
    <w:rsid w:val="00E821DD"/>
    <w:rsid w:val="00E834B3"/>
    <w:rsid w:val="00E83595"/>
    <w:rsid w:val="00E838BC"/>
    <w:rsid w:val="00E83ADF"/>
    <w:rsid w:val="00E83B12"/>
    <w:rsid w:val="00E848DF"/>
    <w:rsid w:val="00E85437"/>
    <w:rsid w:val="00E85729"/>
    <w:rsid w:val="00E85A26"/>
    <w:rsid w:val="00E8635A"/>
    <w:rsid w:val="00E86C3A"/>
    <w:rsid w:val="00E8733D"/>
    <w:rsid w:val="00E873CF"/>
    <w:rsid w:val="00E87F5A"/>
    <w:rsid w:val="00E90A0A"/>
    <w:rsid w:val="00E90A5F"/>
    <w:rsid w:val="00E90BD4"/>
    <w:rsid w:val="00E90E66"/>
    <w:rsid w:val="00E90FEA"/>
    <w:rsid w:val="00E91009"/>
    <w:rsid w:val="00E91040"/>
    <w:rsid w:val="00E9136D"/>
    <w:rsid w:val="00E91453"/>
    <w:rsid w:val="00E91560"/>
    <w:rsid w:val="00E92A59"/>
    <w:rsid w:val="00E92AE1"/>
    <w:rsid w:val="00E92C3E"/>
    <w:rsid w:val="00E9310B"/>
    <w:rsid w:val="00E93E50"/>
    <w:rsid w:val="00E942DD"/>
    <w:rsid w:val="00E945BE"/>
    <w:rsid w:val="00E94C44"/>
    <w:rsid w:val="00E94CF3"/>
    <w:rsid w:val="00E95175"/>
    <w:rsid w:val="00E95745"/>
    <w:rsid w:val="00E96226"/>
    <w:rsid w:val="00E96751"/>
    <w:rsid w:val="00E9680E"/>
    <w:rsid w:val="00E96A0F"/>
    <w:rsid w:val="00E96BDE"/>
    <w:rsid w:val="00E974E4"/>
    <w:rsid w:val="00E97AC2"/>
    <w:rsid w:val="00EA00FE"/>
    <w:rsid w:val="00EA0285"/>
    <w:rsid w:val="00EA041B"/>
    <w:rsid w:val="00EA0801"/>
    <w:rsid w:val="00EA0BF4"/>
    <w:rsid w:val="00EA0EA7"/>
    <w:rsid w:val="00EA151B"/>
    <w:rsid w:val="00EA1756"/>
    <w:rsid w:val="00EA2B23"/>
    <w:rsid w:val="00EA2CBE"/>
    <w:rsid w:val="00EA3145"/>
    <w:rsid w:val="00EA3632"/>
    <w:rsid w:val="00EA3CD9"/>
    <w:rsid w:val="00EA463D"/>
    <w:rsid w:val="00EA51C0"/>
    <w:rsid w:val="00EA5294"/>
    <w:rsid w:val="00EA545E"/>
    <w:rsid w:val="00EA5D22"/>
    <w:rsid w:val="00EA5EDD"/>
    <w:rsid w:val="00EA5FB6"/>
    <w:rsid w:val="00EA61F3"/>
    <w:rsid w:val="00EA676E"/>
    <w:rsid w:val="00EA6860"/>
    <w:rsid w:val="00EA6EE6"/>
    <w:rsid w:val="00EA7624"/>
    <w:rsid w:val="00EA77AF"/>
    <w:rsid w:val="00EA7872"/>
    <w:rsid w:val="00EA7F21"/>
    <w:rsid w:val="00EA7FF1"/>
    <w:rsid w:val="00EB015F"/>
    <w:rsid w:val="00EB076C"/>
    <w:rsid w:val="00EB0938"/>
    <w:rsid w:val="00EB0E26"/>
    <w:rsid w:val="00EB1835"/>
    <w:rsid w:val="00EB18A0"/>
    <w:rsid w:val="00EB235D"/>
    <w:rsid w:val="00EB46F8"/>
    <w:rsid w:val="00EB474C"/>
    <w:rsid w:val="00EB58A1"/>
    <w:rsid w:val="00EB5C21"/>
    <w:rsid w:val="00EB6031"/>
    <w:rsid w:val="00EB6044"/>
    <w:rsid w:val="00EB622E"/>
    <w:rsid w:val="00EB6243"/>
    <w:rsid w:val="00EB65E3"/>
    <w:rsid w:val="00EB6DDF"/>
    <w:rsid w:val="00EB7D48"/>
    <w:rsid w:val="00EC01FE"/>
    <w:rsid w:val="00EC03BB"/>
    <w:rsid w:val="00EC122B"/>
    <w:rsid w:val="00EC15BA"/>
    <w:rsid w:val="00EC1EE9"/>
    <w:rsid w:val="00EC24D3"/>
    <w:rsid w:val="00EC2611"/>
    <w:rsid w:val="00EC286A"/>
    <w:rsid w:val="00EC357A"/>
    <w:rsid w:val="00EC37B9"/>
    <w:rsid w:val="00EC502D"/>
    <w:rsid w:val="00EC5096"/>
    <w:rsid w:val="00EC5C3A"/>
    <w:rsid w:val="00EC660D"/>
    <w:rsid w:val="00EC6688"/>
    <w:rsid w:val="00EC6731"/>
    <w:rsid w:val="00EC7CFC"/>
    <w:rsid w:val="00ED07B9"/>
    <w:rsid w:val="00ED0927"/>
    <w:rsid w:val="00ED0DBC"/>
    <w:rsid w:val="00ED1A27"/>
    <w:rsid w:val="00ED2437"/>
    <w:rsid w:val="00ED318D"/>
    <w:rsid w:val="00ED3B10"/>
    <w:rsid w:val="00ED45D8"/>
    <w:rsid w:val="00ED5314"/>
    <w:rsid w:val="00ED5D5F"/>
    <w:rsid w:val="00ED618D"/>
    <w:rsid w:val="00ED6363"/>
    <w:rsid w:val="00ED63A9"/>
    <w:rsid w:val="00ED6EC7"/>
    <w:rsid w:val="00ED7999"/>
    <w:rsid w:val="00EE00B4"/>
    <w:rsid w:val="00EE0232"/>
    <w:rsid w:val="00EE06A8"/>
    <w:rsid w:val="00EE0C0F"/>
    <w:rsid w:val="00EE1173"/>
    <w:rsid w:val="00EE1924"/>
    <w:rsid w:val="00EE26A3"/>
    <w:rsid w:val="00EE2EEB"/>
    <w:rsid w:val="00EE2F02"/>
    <w:rsid w:val="00EE34DD"/>
    <w:rsid w:val="00EE356F"/>
    <w:rsid w:val="00EE3911"/>
    <w:rsid w:val="00EE3EAD"/>
    <w:rsid w:val="00EE3ED1"/>
    <w:rsid w:val="00EE3F92"/>
    <w:rsid w:val="00EE3FE8"/>
    <w:rsid w:val="00EE410E"/>
    <w:rsid w:val="00EE45A6"/>
    <w:rsid w:val="00EE4DE2"/>
    <w:rsid w:val="00EE55CC"/>
    <w:rsid w:val="00EE620D"/>
    <w:rsid w:val="00EE65C3"/>
    <w:rsid w:val="00EE6C34"/>
    <w:rsid w:val="00EE7205"/>
    <w:rsid w:val="00EE735E"/>
    <w:rsid w:val="00EF0163"/>
    <w:rsid w:val="00EF01FA"/>
    <w:rsid w:val="00EF04CF"/>
    <w:rsid w:val="00EF073E"/>
    <w:rsid w:val="00EF0783"/>
    <w:rsid w:val="00EF07E9"/>
    <w:rsid w:val="00EF16FC"/>
    <w:rsid w:val="00EF215A"/>
    <w:rsid w:val="00EF2370"/>
    <w:rsid w:val="00EF30B5"/>
    <w:rsid w:val="00EF32F9"/>
    <w:rsid w:val="00EF331F"/>
    <w:rsid w:val="00EF3422"/>
    <w:rsid w:val="00EF3459"/>
    <w:rsid w:val="00EF3715"/>
    <w:rsid w:val="00EF4175"/>
    <w:rsid w:val="00EF46AC"/>
    <w:rsid w:val="00EF4944"/>
    <w:rsid w:val="00EF49BB"/>
    <w:rsid w:val="00EF4B56"/>
    <w:rsid w:val="00EF4FC2"/>
    <w:rsid w:val="00EF5517"/>
    <w:rsid w:val="00EF5EC2"/>
    <w:rsid w:val="00EF6207"/>
    <w:rsid w:val="00EF630F"/>
    <w:rsid w:val="00EF635E"/>
    <w:rsid w:val="00EF6B34"/>
    <w:rsid w:val="00EF6CAA"/>
    <w:rsid w:val="00EF70AF"/>
    <w:rsid w:val="00EF7C26"/>
    <w:rsid w:val="00EF7FD3"/>
    <w:rsid w:val="00F000D3"/>
    <w:rsid w:val="00F01363"/>
    <w:rsid w:val="00F01817"/>
    <w:rsid w:val="00F018F3"/>
    <w:rsid w:val="00F020D7"/>
    <w:rsid w:val="00F0221F"/>
    <w:rsid w:val="00F030B8"/>
    <w:rsid w:val="00F03A73"/>
    <w:rsid w:val="00F03D27"/>
    <w:rsid w:val="00F03D69"/>
    <w:rsid w:val="00F04A7C"/>
    <w:rsid w:val="00F04E77"/>
    <w:rsid w:val="00F04FA5"/>
    <w:rsid w:val="00F0501C"/>
    <w:rsid w:val="00F0617C"/>
    <w:rsid w:val="00F0697E"/>
    <w:rsid w:val="00F07054"/>
    <w:rsid w:val="00F0753A"/>
    <w:rsid w:val="00F0756A"/>
    <w:rsid w:val="00F10E71"/>
    <w:rsid w:val="00F1109A"/>
    <w:rsid w:val="00F110E3"/>
    <w:rsid w:val="00F1147E"/>
    <w:rsid w:val="00F11C92"/>
    <w:rsid w:val="00F124C9"/>
    <w:rsid w:val="00F12D03"/>
    <w:rsid w:val="00F13903"/>
    <w:rsid w:val="00F13AC6"/>
    <w:rsid w:val="00F13C93"/>
    <w:rsid w:val="00F14BF9"/>
    <w:rsid w:val="00F14F5C"/>
    <w:rsid w:val="00F151E5"/>
    <w:rsid w:val="00F1573D"/>
    <w:rsid w:val="00F15A77"/>
    <w:rsid w:val="00F15B38"/>
    <w:rsid w:val="00F15D43"/>
    <w:rsid w:val="00F15E40"/>
    <w:rsid w:val="00F161CE"/>
    <w:rsid w:val="00F168BA"/>
    <w:rsid w:val="00F16D6E"/>
    <w:rsid w:val="00F1733C"/>
    <w:rsid w:val="00F17356"/>
    <w:rsid w:val="00F1765F"/>
    <w:rsid w:val="00F17C87"/>
    <w:rsid w:val="00F17FF9"/>
    <w:rsid w:val="00F20251"/>
    <w:rsid w:val="00F205F3"/>
    <w:rsid w:val="00F20BE4"/>
    <w:rsid w:val="00F20CB5"/>
    <w:rsid w:val="00F214D7"/>
    <w:rsid w:val="00F217A2"/>
    <w:rsid w:val="00F21996"/>
    <w:rsid w:val="00F21B33"/>
    <w:rsid w:val="00F221D0"/>
    <w:rsid w:val="00F22254"/>
    <w:rsid w:val="00F22BE3"/>
    <w:rsid w:val="00F2365D"/>
    <w:rsid w:val="00F24622"/>
    <w:rsid w:val="00F2480A"/>
    <w:rsid w:val="00F25262"/>
    <w:rsid w:val="00F25D31"/>
    <w:rsid w:val="00F27323"/>
    <w:rsid w:val="00F2750E"/>
    <w:rsid w:val="00F27924"/>
    <w:rsid w:val="00F30D06"/>
    <w:rsid w:val="00F31020"/>
    <w:rsid w:val="00F3128A"/>
    <w:rsid w:val="00F314C2"/>
    <w:rsid w:val="00F31D29"/>
    <w:rsid w:val="00F31FD3"/>
    <w:rsid w:val="00F325E5"/>
    <w:rsid w:val="00F32CC5"/>
    <w:rsid w:val="00F33043"/>
    <w:rsid w:val="00F33474"/>
    <w:rsid w:val="00F33614"/>
    <w:rsid w:val="00F338F9"/>
    <w:rsid w:val="00F33E48"/>
    <w:rsid w:val="00F33FF4"/>
    <w:rsid w:val="00F341A6"/>
    <w:rsid w:val="00F34D93"/>
    <w:rsid w:val="00F3539C"/>
    <w:rsid w:val="00F35682"/>
    <w:rsid w:val="00F35925"/>
    <w:rsid w:val="00F35FE0"/>
    <w:rsid w:val="00F36059"/>
    <w:rsid w:val="00F36392"/>
    <w:rsid w:val="00F364E4"/>
    <w:rsid w:val="00F3665B"/>
    <w:rsid w:val="00F37168"/>
    <w:rsid w:val="00F374BC"/>
    <w:rsid w:val="00F3777E"/>
    <w:rsid w:val="00F40154"/>
    <w:rsid w:val="00F40190"/>
    <w:rsid w:val="00F40975"/>
    <w:rsid w:val="00F40AD2"/>
    <w:rsid w:val="00F40CE5"/>
    <w:rsid w:val="00F41051"/>
    <w:rsid w:val="00F41145"/>
    <w:rsid w:val="00F411BF"/>
    <w:rsid w:val="00F41BE2"/>
    <w:rsid w:val="00F42304"/>
    <w:rsid w:val="00F427C1"/>
    <w:rsid w:val="00F4392C"/>
    <w:rsid w:val="00F46052"/>
    <w:rsid w:val="00F4624E"/>
    <w:rsid w:val="00F46DCE"/>
    <w:rsid w:val="00F47A39"/>
    <w:rsid w:val="00F47CBD"/>
    <w:rsid w:val="00F47EB7"/>
    <w:rsid w:val="00F50241"/>
    <w:rsid w:val="00F50419"/>
    <w:rsid w:val="00F5065C"/>
    <w:rsid w:val="00F50A36"/>
    <w:rsid w:val="00F50D0C"/>
    <w:rsid w:val="00F51DFD"/>
    <w:rsid w:val="00F521F5"/>
    <w:rsid w:val="00F532EC"/>
    <w:rsid w:val="00F5366A"/>
    <w:rsid w:val="00F540BF"/>
    <w:rsid w:val="00F54265"/>
    <w:rsid w:val="00F55976"/>
    <w:rsid w:val="00F56069"/>
    <w:rsid w:val="00F56254"/>
    <w:rsid w:val="00F562CF"/>
    <w:rsid w:val="00F566AF"/>
    <w:rsid w:val="00F56853"/>
    <w:rsid w:val="00F569EC"/>
    <w:rsid w:val="00F56AE7"/>
    <w:rsid w:val="00F56E53"/>
    <w:rsid w:val="00F56F63"/>
    <w:rsid w:val="00F573D7"/>
    <w:rsid w:val="00F577D3"/>
    <w:rsid w:val="00F57ED7"/>
    <w:rsid w:val="00F57EEB"/>
    <w:rsid w:val="00F616C7"/>
    <w:rsid w:val="00F6201F"/>
    <w:rsid w:val="00F62346"/>
    <w:rsid w:val="00F62BFF"/>
    <w:rsid w:val="00F633B9"/>
    <w:rsid w:val="00F6340B"/>
    <w:rsid w:val="00F6371B"/>
    <w:rsid w:val="00F64E24"/>
    <w:rsid w:val="00F65739"/>
    <w:rsid w:val="00F658FA"/>
    <w:rsid w:val="00F65A37"/>
    <w:rsid w:val="00F66D8E"/>
    <w:rsid w:val="00F67193"/>
    <w:rsid w:val="00F70259"/>
    <w:rsid w:val="00F70921"/>
    <w:rsid w:val="00F70CC9"/>
    <w:rsid w:val="00F70DDC"/>
    <w:rsid w:val="00F71F79"/>
    <w:rsid w:val="00F72770"/>
    <w:rsid w:val="00F727E5"/>
    <w:rsid w:val="00F72E54"/>
    <w:rsid w:val="00F72E9E"/>
    <w:rsid w:val="00F73062"/>
    <w:rsid w:val="00F730FB"/>
    <w:rsid w:val="00F73959"/>
    <w:rsid w:val="00F73B13"/>
    <w:rsid w:val="00F73C98"/>
    <w:rsid w:val="00F743A6"/>
    <w:rsid w:val="00F74EA7"/>
    <w:rsid w:val="00F75A90"/>
    <w:rsid w:val="00F7680F"/>
    <w:rsid w:val="00F76A7B"/>
    <w:rsid w:val="00F76FC4"/>
    <w:rsid w:val="00F77074"/>
    <w:rsid w:val="00F77E1F"/>
    <w:rsid w:val="00F80ECB"/>
    <w:rsid w:val="00F82CC2"/>
    <w:rsid w:val="00F82E34"/>
    <w:rsid w:val="00F82F5D"/>
    <w:rsid w:val="00F85880"/>
    <w:rsid w:val="00F85891"/>
    <w:rsid w:val="00F858C4"/>
    <w:rsid w:val="00F86632"/>
    <w:rsid w:val="00F8684A"/>
    <w:rsid w:val="00F868ED"/>
    <w:rsid w:val="00F86B39"/>
    <w:rsid w:val="00F86B98"/>
    <w:rsid w:val="00F86F72"/>
    <w:rsid w:val="00F8790A"/>
    <w:rsid w:val="00F87D1F"/>
    <w:rsid w:val="00F903C7"/>
    <w:rsid w:val="00F90D30"/>
    <w:rsid w:val="00F90E89"/>
    <w:rsid w:val="00F91E97"/>
    <w:rsid w:val="00F9238F"/>
    <w:rsid w:val="00F9272B"/>
    <w:rsid w:val="00F92E97"/>
    <w:rsid w:val="00F9339E"/>
    <w:rsid w:val="00F9355F"/>
    <w:rsid w:val="00F9427E"/>
    <w:rsid w:val="00F95108"/>
    <w:rsid w:val="00F953AB"/>
    <w:rsid w:val="00F9549C"/>
    <w:rsid w:val="00F95B49"/>
    <w:rsid w:val="00F95BB2"/>
    <w:rsid w:val="00F95E42"/>
    <w:rsid w:val="00F95EAF"/>
    <w:rsid w:val="00F96319"/>
    <w:rsid w:val="00F96683"/>
    <w:rsid w:val="00F969A0"/>
    <w:rsid w:val="00F969D9"/>
    <w:rsid w:val="00F96CE4"/>
    <w:rsid w:val="00F96E05"/>
    <w:rsid w:val="00F97184"/>
    <w:rsid w:val="00F97382"/>
    <w:rsid w:val="00F9741B"/>
    <w:rsid w:val="00FA0105"/>
    <w:rsid w:val="00FA039F"/>
    <w:rsid w:val="00FA0487"/>
    <w:rsid w:val="00FA08F2"/>
    <w:rsid w:val="00FA0CDE"/>
    <w:rsid w:val="00FA0D08"/>
    <w:rsid w:val="00FA128A"/>
    <w:rsid w:val="00FA1355"/>
    <w:rsid w:val="00FA1619"/>
    <w:rsid w:val="00FA2047"/>
    <w:rsid w:val="00FA2F52"/>
    <w:rsid w:val="00FA307C"/>
    <w:rsid w:val="00FA3570"/>
    <w:rsid w:val="00FA39DD"/>
    <w:rsid w:val="00FA4107"/>
    <w:rsid w:val="00FA44BB"/>
    <w:rsid w:val="00FA45C4"/>
    <w:rsid w:val="00FA672A"/>
    <w:rsid w:val="00FA688E"/>
    <w:rsid w:val="00FA6ADF"/>
    <w:rsid w:val="00FA727E"/>
    <w:rsid w:val="00FA7C9A"/>
    <w:rsid w:val="00FA7CA9"/>
    <w:rsid w:val="00FB0033"/>
    <w:rsid w:val="00FB0AB9"/>
    <w:rsid w:val="00FB0EBE"/>
    <w:rsid w:val="00FB19B8"/>
    <w:rsid w:val="00FB19D9"/>
    <w:rsid w:val="00FB24F6"/>
    <w:rsid w:val="00FB25C0"/>
    <w:rsid w:val="00FB2957"/>
    <w:rsid w:val="00FB2A6F"/>
    <w:rsid w:val="00FB470D"/>
    <w:rsid w:val="00FB475E"/>
    <w:rsid w:val="00FB485C"/>
    <w:rsid w:val="00FB5523"/>
    <w:rsid w:val="00FB555E"/>
    <w:rsid w:val="00FB57B1"/>
    <w:rsid w:val="00FB5996"/>
    <w:rsid w:val="00FB5A9E"/>
    <w:rsid w:val="00FB64A3"/>
    <w:rsid w:val="00FB6A04"/>
    <w:rsid w:val="00FB6DFE"/>
    <w:rsid w:val="00FB706D"/>
    <w:rsid w:val="00FB728D"/>
    <w:rsid w:val="00FB7534"/>
    <w:rsid w:val="00FB760B"/>
    <w:rsid w:val="00FB7A80"/>
    <w:rsid w:val="00FB7CD2"/>
    <w:rsid w:val="00FBAD10"/>
    <w:rsid w:val="00FC04CD"/>
    <w:rsid w:val="00FC13F2"/>
    <w:rsid w:val="00FC14A4"/>
    <w:rsid w:val="00FC190A"/>
    <w:rsid w:val="00FC1E02"/>
    <w:rsid w:val="00FC203D"/>
    <w:rsid w:val="00FC2068"/>
    <w:rsid w:val="00FC22BB"/>
    <w:rsid w:val="00FC23F1"/>
    <w:rsid w:val="00FC28E2"/>
    <w:rsid w:val="00FC2ACB"/>
    <w:rsid w:val="00FC2B4E"/>
    <w:rsid w:val="00FC2B9D"/>
    <w:rsid w:val="00FC3ED7"/>
    <w:rsid w:val="00FC41DB"/>
    <w:rsid w:val="00FC4718"/>
    <w:rsid w:val="00FC4797"/>
    <w:rsid w:val="00FC65AE"/>
    <w:rsid w:val="00FC69E8"/>
    <w:rsid w:val="00FC6FF6"/>
    <w:rsid w:val="00FC75C6"/>
    <w:rsid w:val="00FC7715"/>
    <w:rsid w:val="00FC7774"/>
    <w:rsid w:val="00FD0641"/>
    <w:rsid w:val="00FD0986"/>
    <w:rsid w:val="00FD0F89"/>
    <w:rsid w:val="00FD0FE3"/>
    <w:rsid w:val="00FD1944"/>
    <w:rsid w:val="00FD1C88"/>
    <w:rsid w:val="00FD1E22"/>
    <w:rsid w:val="00FD1F14"/>
    <w:rsid w:val="00FD28B6"/>
    <w:rsid w:val="00FD37AA"/>
    <w:rsid w:val="00FD396F"/>
    <w:rsid w:val="00FD4AA7"/>
    <w:rsid w:val="00FD4C3B"/>
    <w:rsid w:val="00FD5081"/>
    <w:rsid w:val="00FD522F"/>
    <w:rsid w:val="00FD56D2"/>
    <w:rsid w:val="00FD5C3B"/>
    <w:rsid w:val="00FD5D3C"/>
    <w:rsid w:val="00FD60AF"/>
    <w:rsid w:val="00FD6222"/>
    <w:rsid w:val="00FD6D87"/>
    <w:rsid w:val="00FD6ED0"/>
    <w:rsid w:val="00FD6EFA"/>
    <w:rsid w:val="00FD6F31"/>
    <w:rsid w:val="00FD7163"/>
    <w:rsid w:val="00FD7205"/>
    <w:rsid w:val="00FD7284"/>
    <w:rsid w:val="00FD756E"/>
    <w:rsid w:val="00FE009A"/>
    <w:rsid w:val="00FE0737"/>
    <w:rsid w:val="00FE147A"/>
    <w:rsid w:val="00FE1B2E"/>
    <w:rsid w:val="00FE205C"/>
    <w:rsid w:val="00FE23FD"/>
    <w:rsid w:val="00FE24E0"/>
    <w:rsid w:val="00FE258C"/>
    <w:rsid w:val="00FE2605"/>
    <w:rsid w:val="00FE2B38"/>
    <w:rsid w:val="00FE3745"/>
    <w:rsid w:val="00FE40D0"/>
    <w:rsid w:val="00FE436F"/>
    <w:rsid w:val="00FE4582"/>
    <w:rsid w:val="00FE4591"/>
    <w:rsid w:val="00FE4C02"/>
    <w:rsid w:val="00FE5086"/>
    <w:rsid w:val="00FE5E03"/>
    <w:rsid w:val="00FE68F0"/>
    <w:rsid w:val="00FE7E79"/>
    <w:rsid w:val="00FF029A"/>
    <w:rsid w:val="00FF0C99"/>
    <w:rsid w:val="00FF0E45"/>
    <w:rsid w:val="00FF1134"/>
    <w:rsid w:val="00FF1340"/>
    <w:rsid w:val="00FF190F"/>
    <w:rsid w:val="00FF2C1B"/>
    <w:rsid w:val="00FF4035"/>
    <w:rsid w:val="00FF4A12"/>
    <w:rsid w:val="00FF5A80"/>
    <w:rsid w:val="00FF5E60"/>
    <w:rsid w:val="00FF7771"/>
    <w:rsid w:val="04D0D39B"/>
    <w:rsid w:val="053D8ADB"/>
    <w:rsid w:val="05E4EEFC"/>
    <w:rsid w:val="060EA8F7"/>
    <w:rsid w:val="076F6FB4"/>
    <w:rsid w:val="07E42F90"/>
    <w:rsid w:val="0A2919D1"/>
    <w:rsid w:val="0B60FF0A"/>
    <w:rsid w:val="0BD83716"/>
    <w:rsid w:val="0C2FCA09"/>
    <w:rsid w:val="0CB9F3EE"/>
    <w:rsid w:val="0EAB6D12"/>
    <w:rsid w:val="0EBB12CE"/>
    <w:rsid w:val="0FAE81D8"/>
    <w:rsid w:val="0FE899B3"/>
    <w:rsid w:val="10DEEF61"/>
    <w:rsid w:val="11C1C54A"/>
    <w:rsid w:val="12AD4814"/>
    <w:rsid w:val="12C57141"/>
    <w:rsid w:val="15582901"/>
    <w:rsid w:val="159D6866"/>
    <w:rsid w:val="1622BAC3"/>
    <w:rsid w:val="179DE209"/>
    <w:rsid w:val="1848C61D"/>
    <w:rsid w:val="198D9997"/>
    <w:rsid w:val="1A434839"/>
    <w:rsid w:val="1DE891DC"/>
    <w:rsid w:val="1F7A4B69"/>
    <w:rsid w:val="21076BCC"/>
    <w:rsid w:val="22355F14"/>
    <w:rsid w:val="233D627E"/>
    <w:rsid w:val="242BE7A7"/>
    <w:rsid w:val="24EADA59"/>
    <w:rsid w:val="26D7CE57"/>
    <w:rsid w:val="281AC46E"/>
    <w:rsid w:val="293163A9"/>
    <w:rsid w:val="2B01CB56"/>
    <w:rsid w:val="2BD69DA5"/>
    <w:rsid w:val="2C6C9762"/>
    <w:rsid w:val="2CACAAA4"/>
    <w:rsid w:val="2D00BE7C"/>
    <w:rsid w:val="2DECEFB0"/>
    <w:rsid w:val="2F45CAFF"/>
    <w:rsid w:val="3136DD86"/>
    <w:rsid w:val="33698C97"/>
    <w:rsid w:val="3394B7E0"/>
    <w:rsid w:val="3474A810"/>
    <w:rsid w:val="368ECDD9"/>
    <w:rsid w:val="36E9D93E"/>
    <w:rsid w:val="377C3F09"/>
    <w:rsid w:val="37997638"/>
    <w:rsid w:val="395B3FBB"/>
    <w:rsid w:val="3AF6484E"/>
    <w:rsid w:val="3BBDCC79"/>
    <w:rsid w:val="3D8A0BE9"/>
    <w:rsid w:val="3EA01C5F"/>
    <w:rsid w:val="3F123BD2"/>
    <w:rsid w:val="3F205BDE"/>
    <w:rsid w:val="3F48F2D2"/>
    <w:rsid w:val="40C0802A"/>
    <w:rsid w:val="418EF0E8"/>
    <w:rsid w:val="42227419"/>
    <w:rsid w:val="4542F4CA"/>
    <w:rsid w:val="479FC78D"/>
    <w:rsid w:val="47B958FB"/>
    <w:rsid w:val="48982F2A"/>
    <w:rsid w:val="495D223F"/>
    <w:rsid w:val="4AB79656"/>
    <w:rsid w:val="4B0029BE"/>
    <w:rsid w:val="4B99A95A"/>
    <w:rsid w:val="4DF10231"/>
    <w:rsid w:val="4E52976F"/>
    <w:rsid w:val="54262DF8"/>
    <w:rsid w:val="54F39ADC"/>
    <w:rsid w:val="55DF0218"/>
    <w:rsid w:val="5663B957"/>
    <w:rsid w:val="56F07518"/>
    <w:rsid w:val="57AFD335"/>
    <w:rsid w:val="57DC1D79"/>
    <w:rsid w:val="587B8A2B"/>
    <w:rsid w:val="593E4EE2"/>
    <w:rsid w:val="5A87EFD8"/>
    <w:rsid w:val="5B41A39F"/>
    <w:rsid w:val="5B8C64DC"/>
    <w:rsid w:val="5C5A4426"/>
    <w:rsid w:val="5CEE1817"/>
    <w:rsid w:val="5DA5D85C"/>
    <w:rsid w:val="5DFD7659"/>
    <w:rsid w:val="5E2D990C"/>
    <w:rsid w:val="60086DE6"/>
    <w:rsid w:val="607C0ABB"/>
    <w:rsid w:val="62208040"/>
    <w:rsid w:val="62618107"/>
    <w:rsid w:val="62DEEED5"/>
    <w:rsid w:val="6418717F"/>
    <w:rsid w:val="656EF100"/>
    <w:rsid w:val="65CBF135"/>
    <w:rsid w:val="67244E20"/>
    <w:rsid w:val="682F869A"/>
    <w:rsid w:val="68D85D37"/>
    <w:rsid w:val="6900A131"/>
    <w:rsid w:val="6A34EA53"/>
    <w:rsid w:val="6A81A8F9"/>
    <w:rsid w:val="6AAD9E38"/>
    <w:rsid w:val="6B9EF36C"/>
    <w:rsid w:val="6BC122E8"/>
    <w:rsid w:val="6C760358"/>
    <w:rsid w:val="6C9A3B42"/>
    <w:rsid w:val="6D833A39"/>
    <w:rsid w:val="6E0EC7AC"/>
    <w:rsid w:val="7042B2AA"/>
    <w:rsid w:val="708F07F8"/>
    <w:rsid w:val="7264239E"/>
    <w:rsid w:val="72B96018"/>
    <w:rsid w:val="74300646"/>
    <w:rsid w:val="760696A4"/>
    <w:rsid w:val="78D601DF"/>
    <w:rsid w:val="7911ACE2"/>
    <w:rsid w:val="7A3B2E6F"/>
    <w:rsid w:val="7AAFB2EB"/>
    <w:rsid w:val="7AF83AD5"/>
    <w:rsid w:val="7B8C1F62"/>
    <w:rsid w:val="7E320E11"/>
    <w:rsid w:val="7FA7ED5C"/>
    <w:rsid w:val="7FC0A46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56BC9"/>
  <w15:docId w15:val="{BAD3383A-E196-406D-B181-1ECAD134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35D01"/>
    <w:pPr>
      <w:widowControl w:val="0"/>
      <w:autoSpaceDE w:val="0"/>
      <w:autoSpaceDN w:val="0"/>
      <w:spacing w:after="0" w:line="240" w:lineRule="auto"/>
    </w:pPr>
    <w:rPr>
      <w:rFonts w:ascii="Cambria" w:eastAsia="Cambria" w:hAnsi="Cambria" w:cs="Cambria"/>
      <w:szCs w:val="22"/>
      <w:lang w:val="en-US" w:bidi="en-US"/>
    </w:rPr>
  </w:style>
  <w:style w:type="paragraph" w:styleId="Heading1">
    <w:name w:val="heading 1"/>
    <w:basedOn w:val="Normal"/>
    <w:next w:val="Normal"/>
    <w:link w:val="Heading1Char"/>
    <w:uiPriority w:val="9"/>
    <w:qFormat/>
    <w:rsid w:val="00520F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334FD5"/>
    <w:pPr>
      <w:keepNext/>
      <w:keepLines/>
      <w:widowControl/>
      <w:autoSpaceDE/>
      <w:autoSpaceDN/>
      <w:spacing w:before="40" w:line="360" w:lineRule="auto"/>
      <w:ind w:left="720" w:hanging="720"/>
      <w:outlineLvl w:val="3"/>
    </w:pPr>
    <w:rPr>
      <w:rFonts w:asciiTheme="majorHAnsi" w:eastAsiaTheme="majorEastAsia" w:hAnsiTheme="majorHAnsi" w:cstheme="majorBidi"/>
      <w:i/>
      <w:iCs/>
      <w:color w:val="2F5496" w:themeColor="accent1" w:themeShade="BF"/>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08EA"/>
    <w:rPr>
      <w:rFonts w:ascii="Segoe UI" w:hAnsi="Segoe UI" w:cs="Mangal"/>
      <w:sz w:val="18"/>
      <w:szCs w:val="16"/>
    </w:rPr>
  </w:style>
  <w:style w:type="character" w:customStyle="1" w:styleId="BalloonTextChar">
    <w:name w:val="Balloon Text Char"/>
    <w:basedOn w:val="DefaultParagraphFont"/>
    <w:link w:val="BalloonText"/>
    <w:uiPriority w:val="99"/>
    <w:semiHidden/>
    <w:rsid w:val="00CE08EA"/>
    <w:rPr>
      <w:rFonts w:ascii="Segoe UI" w:hAnsi="Segoe UI" w:cs="Mangal"/>
      <w:sz w:val="18"/>
      <w:szCs w:val="16"/>
    </w:rPr>
  </w:style>
  <w:style w:type="table" w:styleId="TableGrid">
    <w:name w:val="Table Grid"/>
    <w:aliases w:val="CV table"/>
    <w:basedOn w:val="TableNormal"/>
    <w:uiPriority w:val="39"/>
    <w:rsid w:val="007743D9"/>
    <w:pPr>
      <w:spacing w:after="0" w:line="240" w:lineRule="auto"/>
    </w:pPr>
    <w:tblPr/>
  </w:style>
  <w:style w:type="paragraph" w:styleId="ListParagraph">
    <w:name w:val="List Paragraph"/>
    <w:aliases w:val="Paragraph,HEAD 3,Cell bullets,Noise heading,RUS List,Number abc,List Paragraph1,123 List Paragraph,main heading,Annexure,LP,List Para,LPARA,List Paragraph (numbered (a)),FooterText,Bullet List,numbered,Paragraphe de liste1,列出段落,列出段落1,lp1"/>
    <w:basedOn w:val="Normal"/>
    <w:link w:val="ListParagraphChar"/>
    <w:uiPriority w:val="34"/>
    <w:qFormat/>
    <w:rsid w:val="00C47EF0"/>
  </w:style>
  <w:style w:type="character" w:customStyle="1" w:styleId="ListParagraphChar">
    <w:name w:val="List Paragraph Char"/>
    <w:aliases w:val="Paragraph Char,HEAD 3 Char,Cell bullets Char,Noise heading Char,RUS List Char,Number abc Char,List Paragraph1 Char,123 List Paragraph Char,main heading Char,Annexure Char,LP Char,List Para Char,LPARA Char,FooterText Char,列出段落 Char"/>
    <w:basedOn w:val="DefaultParagraphFont"/>
    <w:link w:val="ListParagraph"/>
    <w:uiPriority w:val="34"/>
    <w:qFormat/>
    <w:locked/>
    <w:rsid w:val="00C47EF0"/>
    <w:rPr>
      <w:rFonts w:ascii="Cambria" w:eastAsia="Cambria" w:hAnsi="Cambria" w:cs="Cambria"/>
      <w:szCs w:val="22"/>
      <w:lang w:val="en-US" w:bidi="en-US"/>
    </w:rPr>
  </w:style>
  <w:style w:type="paragraph" w:customStyle="1" w:styleId="Default">
    <w:name w:val="Default"/>
    <w:rsid w:val="00E03AD9"/>
    <w:pPr>
      <w:autoSpaceDE w:val="0"/>
      <w:autoSpaceDN w:val="0"/>
      <w:adjustRightInd w:val="0"/>
      <w:spacing w:after="0" w:line="240" w:lineRule="auto"/>
    </w:pPr>
    <w:rPr>
      <w:rFonts w:ascii="Times New Roman" w:hAnsi="Times New Roman" w:cs="Times New Roman"/>
      <w:color w:val="000000"/>
      <w:sz w:val="24"/>
      <w:szCs w:val="24"/>
      <w:lang w:val="en-US" w:bidi="ar-SA"/>
    </w:rPr>
  </w:style>
  <w:style w:type="paragraph" w:styleId="NormalWeb">
    <w:name w:val="Normal (Web)"/>
    <w:basedOn w:val="Normal"/>
    <w:uiPriority w:val="99"/>
    <w:unhideWhenUsed/>
    <w:rsid w:val="00556B10"/>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paragraph" w:styleId="Header">
    <w:name w:val="header"/>
    <w:basedOn w:val="Normal"/>
    <w:link w:val="HeaderChar"/>
    <w:uiPriority w:val="99"/>
    <w:unhideWhenUsed/>
    <w:rsid w:val="00B67348"/>
    <w:pPr>
      <w:tabs>
        <w:tab w:val="center" w:pos="4513"/>
        <w:tab w:val="right" w:pos="9026"/>
      </w:tabs>
    </w:pPr>
  </w:style>
  <w:style w:type="character" w:customStyle="1" w:styleId="HeaderChar">
    <w:name w:val="Header Char"/>
    <w:basedOn w:val="DefaultParagraphFont"/>
    <w:link w:val="Header"/>
    <w:uiPriority w:val="99"/>
    <w:rsid w:val="00B67348"/>
    <w:rPr>
      <w:rFonts w:ascii="Cambria" w:eastAsia="Cambria" w:hAnsi="Cambria" w:cs="Cambria"/>
      <w:szCs w:val="22"/>
      <w:lang w:val="en-US" w:bidi="en-US"/>
    </w:rPr>
  </w:style>
  <w:style w:type="paragraph" w:styleId="Footer">
    <w:name w:val="footer"/>
    <w:basedOn w:val="Normal"/>
    <w:link w:val="FooterChar"/>
    <w:uiPriority w:val="99"/>
    <w:unhideWhenUsed/>
    <w:rsid w:val="00B67348"/>
    <w:pPr>
      <w:tabs>
        <w:tab w:val="center" w:pos="4513"/>
        <w:tab w:val="right" w:pos="9026"/>
      </w:tabs>
    </w:pPr>
  </w:style>
  <w:style w:type="character" w:customStyle="1" w:styleId="FooterChar">
    <w:name w:val="Footer Char"/>
    <w:basedOn w:val="DefaultParagraphFont"/>
    <w:link w:val="Footer"/>
    <w:uiPriority w:val="99"/>
    <w:rsid w:val="00B67348"/>
    <w:rPr>
      <w:rFonts w:ascii="Cambria" w:eastAsia="Cambria" w:hAnsi="Cambria" w:cs="Cambria"/>
      <w:szCs w:val="22"/>
      <w:lang w:val="en-US" w:bidi="en-US"/>
    </w:rPr>
  </w:style>
  <w:style w:type="character" w:styleId="CommentReference">
    <w:name w:val="annotation reference"/>
    <w:basedOn w:val="DefaultParagraphFont"/>
    <w:uiPriority w:val="99"/>
    <w:semiHidden/>
    <w:unhideWhenUsed/>
    <w:rsid w:val="00DE797A"/>
    <w:rPr>
      <w:sz w:val="16"/>
      <w:szCs w:val="16"/>
    </w:rPr>
  </w:style>
  <w:style w:type="paragraph" w:styleId="CommentText">
    <w:name w:val="annotation text"/>
    <w:basedOn w:val="Normal"/>
    <w:link w:val="CommentTextChar"/>
    <w:uiPriority w:val="99"/>
    <w:unhideWhenUsed/>
    <w:rsid w:val="00DE797A"/>
    <w:rPr>
      <w:sz w:val="20"/>
      <w:szCs w:val="20"/>
    </w:rPr>
  </w:style>
  <w:style w:type="character" w:customStyle="1" w:styleId="CommentTextChar">
    <w:name w:val="Comment Text Char"/>
    <w:basedOn w:val="DefaultParagraphFont"/>
    <w:link w:val="CommentText"/>
    <w:uiPriority w:val="99"/>
    <w:rsid w:val="00DE797A"/>
    <w:rPr>
      <w:rFonts w:ascii="Cambria" w:eastAsia="Cambria" w:hAnsi="Cambria" w:cs="Cambria"/>
      <w:sz w:val="20"/>
      <w:lang w:val="en-US" w:bidi="en-US"/>
    </w:rPr>
  </w:style>
  <w:style w:type="paragraph" w:styleId="FootnoteText">
    <w:name w:val="footnote text"/>
    <w:aliases w:val="ft,FT,Car,fn"/>
    <w:basedOn w:val="Normal"/>
    <w:link w:val="FootnoteTextChar"/>
    <w:unhideWhenUsed/>
    <w:qFormat/>
    <w:rsid w:val="005B298E"/>
    <w:pPr>
      <w:widowControl/>
      <w:autoSpaceDE/>
      <w:autoSpaceDN/>
    </w:pPr>
    <w:rPr>
      <w:rFonts w:asciiTheme="minorHAnsi" w:eastAsiaTheme="minorHAnsi" w:hAnsiTheme="minorHAnsi" w:cstheme="minorBidi"/>
      <w:sz w:val="20"/>
      <w:szCs w:val="20"/>
      <w:lang w:bidi="ar-SA"/>
    </w:rPr>
  </w:style>
  <w:style w:type="character" w:customStyle="1" w:styleId="FootnoteTextChar">
    <w:name w:val="Footnote Text Char"/>
    <w:aliases w:val="ft Char,FT Char,Car Char,fn Char"/>
    <w:basedOn w:val="DefaultParagraphFont"/>
    <w:link w:val="FootnoteText"/>
    <w:rsid w:val="005B298E"/>
    <w:rPr>
      <w:sz w:val="20"/>
      <w:lang w:val="en-US" w:bidi="ar-SA"/>
    </w:rPr>
  </w:style>
  <w:style w:type="character" w:styleId="FootnoteReference">
    <w:name w:val="footnote reference"/>
    <w:aliases w:val="fr,*,Ref,de nota al pie"/>
    <w:basedOn w:val="DefaultParagraphFont"/>
    <w:uiPriority w:val="99"/>
    <w:unhideWhenUsed/>
    <w:rsid w:val="005B298E"/>
    <w:rPr>
      <w:vertAlign w:val="superscript"/>
    </w:rPr>
  </w:style>
  <w:style w:type="character" w:customStyle="1" w:styleId="apple-converted-space">
    <w:name w:val="apple-converted-space"/>
    <w:basedOn w:val="DefaultParagraphFont"/>
    <w:rsid w:val="00774DFE"/>
  </w:style>
  <w:style w:type="character" w:styleId="Hyperlink">
    <w:name w:val="Hyperlink"/>
    <w:basedOn w:val="DefaultParagraphFont"/>
    <w:unhideWhenUsed/>
    <w:rsid w:val="00244E81"/>
    <w:rPr>
      <w:color w:val="0563C1" w:themeColor="hyperlink"/>
      <w:u w:val="single"/>
    </w:rPr>
  </w:style>
  <w:style w:type="character" w:styleId="Strong">
    <w:name w:val="Strong"/>
    <w:basedOn w:val="DefaultParagraphFont"/>
    <w:uiPriority w:val="22"/>
    <w:qFormat/>
    <w:rsid w:val="00E75446"/>
    <w:rPr>
      <w:b/>
      <w:bCs/>
    </w:rPr>
  </w:style>
  <w:style w:type="paragraph" w:customStyle="1" w:styleId="body">
    <w:name w:val="body"/>
    <w:basedOn w:val="Normal"/>
    <w:rsid w:val="003D7962"/>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Heading4Char">
    <w:name w:val="Heading 4 Char"/>
    <w:basedOn w:val="DefaultParagraphFont"/>
    <w:link w:val="Heading4"/>
    <w:uiPriority w:val="9"/>
    <w:semiHidden/>
    <w:rsid w:val="00334FD5"/>
    <w:rPr>
      <w:rFonts w:asciiTheme="majorHAnsi" w:eastAsiaTheme="majorEastAsia" w:hAnsiTheme="majorHAnsi" w:cstheme="majorBidi"/>
      <w:i/>
      <w:iCs/>
      <w:color w:val="2F5496" w:themeColor="accent1" w:themeShade="BF"/>
      <w:szCs w:val="22"/>
      <w:lang w:bidi="ar-SA"/>
    </w:rPr>
  </w:style>
  <w:style w:type="paragraph" w:customStyle="1" w:styleId="TableParagraph">
    <w:name w:val="Table Paragraph"/>
    <w:basedOn w:val="Normal"/>
    <w:uiPriority w:val="1"/>
    <w:qFormat/>
    <w:rsid w:val="006910EC"/>
    <w:rPr>
      <w:rFonts w:ascii="Verdana" w:eastAsia="Verdana" w:hAnsi="Verdana" w:cs="Verdana"/>
      <w:lang w:bidi="ar-SA"/>
    </w:rPr>
  </w:style>
  <w:style w:type="paragraph" w:styleId="BodyText">
    <w:name w:val="Body Text"/>
    <w:basedOn w:val="Normal"/>
    <w:link w:val="BodyTextChar"/>
    <w:uiPriority w:val="1"/>
    <w:semiHidden/>
    <w:unhideWhenUsed/>
    <w:rsid w:val="0087796E"/>
    <w:pPr>
      <w:widowControl/>
      <w:autoSpaceDE/>
      <w:autoSpaceDN/>
      <w:spacing w:after="120" w:line="252" w:lineRule="auto"/>
    </w:pPr>
    <w:rPr>
      <w:rFonts w:ascii="Calibri" w:eastAsiaTheme="minorHAnsi" w:hAnsi="Calibri" w:cs="Calibri"/>
      <w:lang w:val="en-IN" w:bidi="hi-IN"/>
    </w:rPr>
  </w:style>
  <w:style w:type="character" w:customStyle="1" w:styleId="BodyTextChar">
    <w:name w:val="Body Text Char"/>
    <w:basedOn w:val="DefaultParagraphFont"/>
    <w:link w:val="BodyText"/>
    <w:uiPriority w:val="1"/>
    <w:semiHidden/>
    <w:rsid w:val="0087796E"/>
    <w:rPr>
      <w:rFonts w:ascii="Calibri" w:hAnsi="Calibri" w:cs="Calibri"/>
      <w:szCs w:val="22"/>
    </w:rPr>
  </w:style>
  <w:style w:type="paragraph" w:styleId="CommentSubject">
    <w:name w:val="annotation subject"/>
    <w:basedOn w:val="CommentText"/>
    <w:next w:val="CommentText"/>
    <w:link w:val="CommentSubjectChar"/>
    <w:uiPriority w:val="99"/>
    <w:semiHidden/>
    <w:unhideWhenUsed/>
    <w:rsid w:val="008D22CD"/>
    <w:rPr>
      <w:b/>
      <w:bCs/>
    </w:rPr>
  </w:style>
  <w:style w:type="character" w:customStyle="1" w:styleId="CommentSubjectChar">
    <w:name w:val="Comment Subject Char"/>
    <w:basedOn w:val="CommentTextChar"/>
    <w:link w:val="CommentSubject"/>
    <w:uiPriority w:val="99"/>
    <w:semiHidden/>
    <w:rsid w:val="008D22CD"/>
    <w:rPr>
      <w:rFonts w:ascii="Cambria" w:eastAsia="Cambria" w:hAnsi="Cambria" w:cs="Cambria"/>
      <w:b/>
      <w:bCs/>
      <w:sz w:val="20"/>
      <w:lang w:val="en-US" w:bidi="en-US"/>
    </w:rPr>
  </w:style>
  <w:style w:type="character" w:customStyle="1" w:styleId="hvr">
    <w:name w:val="hvr"/>
    <w:basedOn w:val="DefaultParagraphFont"/>
    <w:rsid w:val="00EC286A"/>
  </w:style>
  <w:style w:type="paragraph" w:styleId="Revision">
    <w:name w:val="Revision"/>
    <w:hidden/>
    <w:uiPriority w:val="99"/>
    <w:semiHidden/>
    <w:rsid w:val="003705AB"/>
    <w:pPr>
      <w:spacing w:after="0" w:line="240" w:lineRule="auto"/>
    </w:pPr>
    <w:rPr>
      <w:rFonts w:ascii="Cambria" w:eastAsia="Cambria" w:hAnsi="Cambria" w:cs="Cambria"/>
      <w:szCs w:val="22"/>
      <w:lang w:val="en-US" w:bidi="en-US"/>
    </w:rPr>
  </w:style>
  <w:style w:type="paragraph" w:styleId="BodyText2">
    <w:name w:val="Body Text 2"/>
    <w:basedOn w:val="Normal"/>
    <w:link w:val="BodyText2Char"/>
    <w:uiPriority w:val="99"/>
    <w:unhideWhenUsed/>
    <w:rsid w:val="00566C0D"/>
    <w:pPr>
      <w:spacing w:after="120" w:line="480" w:lineRule="auto"/>
    </w:pPr>
  </w:style>
  <w:style w:type="character" w:customStyle="1" w:styleId="BodyText2Char">
    <w:name w:val="Body Text 2 Char"/>
    <w:basedOn w:val="DefaultParagraphFont"/>
    <w:link w:val="BodyText2"/>
    <w:uiPriority w:val="99"/>
    <w:rsid w:val="00566C0D"/>
    <w:rPr>
      <w:rFonts w:ascii="Cambria" w:eastAsia="Cambria" w:hAnsi="Cambria" w:cs="Cambria"/>
      <w:szCs w:val="22"/>
      <w:lang w:val="en-US" w:bidi="en-US"/>
    </w:rPr>
  </w:style>
  <w:style w:type="paragraph" w:customStyle="1" w:styleId="wordsection1">
    <w:name w:val="wordsection1"/>
    <w:basedOn w:val="Normal"/>
    <w:rsid w:val="007F239B"/>
    <w:pPr>
      <w:widowControl/>
      <w:autoSpaceDE/>
      <w:autoSpaceDN/>
    </w:pPr>
    <w:rPr>
      <w:rFonts w:ascii="Times New Roman" w:eastAsiaTheme="minorHAnsi" w:hAnsi="Times New Roman" w:cs="Times New Roman"/>
      <w:sz w:val="24"/>
      <w:szCs w:val="24"/>
      <w:lang w:val="en-IN" w:eastAsia="en-IN" w:bidi="ar-SA"/>
    </w:rPr>
  </w:style>
  <w:style w:type="character" w:styleId="UnresolvedMention">
    <w:name w:val="Unresolved Mention"/>
    <w:basedOn w:val="DefaultParagraphFont"/>
    <w:uiPriority w:val="99"/>
    <w:semiHidden/>
    <w:unhideWhenUsed/>
    <w:rsid w:val="0093045A"/>
    <w:rPr>
      <w:color w:val="605E5C"/>
      <w:shd w:val="clear" w:color="auto" w:fill="E1DFDD"/>
    </w:rPr>
  </w:style>
  <w:style w:type="character" w:styleId="Mention">
    <w:name w:val="Mention"/>
    <w:basedOn w:val="DefaultParagraphFont"/>
    <w:uiPriority w:val="99"/>
    <w:unhideWhenUsed/>
    <w:rsid w:val="00487F63"/>
    <w:rPr>
      <w:color w:val="2B579A"/>
      <w:shd w:val="clear" w:color="auto" w:fill="E1DFDD"/>
    </w:rPr>
  </w:style>
  <w:style w:type="character" w:customStyle="1" w:styleId="Heading1Char">
    <w:name w:val="Heading 1 Char"/>
    <w:basedOn w:val="DefaultParagraphFont"/>
    <w:link w:val="Heading1"/>
    <w:uiPriority w:val="9"/>
    <w:rsid w:val="00520F25"/>
    <w:rPr>
      <w:rFonts w:asciiTheme="majorHAnsi" w:eastAsiaTheme="majorEastAsia" w:hAnsiTheme="majorHAnsi" w:cstheme="majorBidi"/>
      <w:color w:val="2F5496" w:themeColor="accent1" w:themeShade="BF"/>
      <w:sz w:val="32"/>
      <w:szCs w:val="3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395">
      <w:bodyDiv w:val="1"/>
      <w:marLeft w:val="0"/>
      <w:marRight w:val="0"/>
      <w:marTop w:val="0"/>
      <w:marBottom w:val="0"/>
      <w:divBdr>
        <w:top w:val="none" w:sz="0" w:space="0" w:color="auto"/>
        <w:left w:val="none" w:sz="0" w:space="0" w:color="auto"/>
        <w:bottom w:val="none" w:sz="0" w:space="0" w:color="auto"/>
        <w:right w:val="none" w:sz="0" w:space="0" w:color="auto"/>
      </w:divBdr>
    </w:div>
    <w:div w:id="133525825">
      <w:bodyDiv w:val="1"/>
      <w:marLeft w:val="0"/>
      <w:marRight w:val="0"/>
      <w:marTop w:val="0"/>
      <w:marBottom w:val="0"/>
      <w:divBdr>
        <w:top w:val="none" w:sz="0" w:space="0" w:color="auto"/>
        <w:left w:val="none" w:sz="0" w:space="0" w:color="auto"/>
        <w:bottom w:val="none" w:sz="0" w:space="0" w:color="auto"/>
        <w:right w:val="none" w:sz="0" w:space="0" w:color="auto"/>
      </w:divBdr>
    </w:div>
    <w:div w:id="142939377">
      <w:bodyDiv w:val="1"/>
      <w:marLeft w:val="0"/>
      <w:marRight w:val="0"/>
      <w:marTop w:val="0"/>
      <w:marBottom w:val="0"/>
      <w:divBdr>
        <w:top w:val="none" w:sz="0" w:space="0" w:color="auto"/>
        <w:left w:val="none" w:sz="0" w:space="0" w:color="auto"/>
        <w:bottom w:val="none" w:sz="0" w:space="0" w:color="auto"/>
        <w:right w:val="none" w:sz="0" w:space="0" w:color="auto"/>
      </w:divBdr>
    </w:div>
    <w:div w:id="191650607">
      <w:bodyDiv w:val="1"/>
      <w:marLeft w:val="0"/>
      <w:marRight w:val="0"/>
      <w:marTop w:val="0"/>
      <w:marBottom w:val="0"/>
      <w:divBdr>
        <w:top w:val="none" w:sz="0" w:space="0" w:color="auto"/>
        <w:left w:val="none" w:sz="0" w:space="0" w:color="auto"/>
        <w:bottom w:val="none" w:sz="0" w:space="0" w:color="auto"/>
        <w:right w:val="none" w:sz="0" w:space="0" w:color="auto"/>
      </w:divBdr>
    </w:div>
    <w:div w:id="224492148">
      <w:bodyDiv w:val="1"/>
      <w:marLeft w:val="0"/>
      <w:marRight w:val="0"/>
      <w:marTop w:val="0"/>
      <w:marBottom w:val="0"/>
      <w:divBdr>
        <w:top w:val="none" w:sz="0" w:space="0" w:color="auto"/>
        <w:left w:val="none" w:sz="0" w:space="0" w:color="auto"/>
        <w:bottom w:val="none" w:sz="0" w:space="0" w:color="auto"/>
        <w:right w:val="none" w:sz="0" w:space="0" w:color="auto"/>
      </w:divBdr>
    </w:div>
    <w:div w:id="231308105">
      <w:bodyDiv w:val="1"/>
      <w:marLeft w:val="0"/>
      <w:marRight w:val="0"/>
      <w:marTop w:val="0"/>
      <w:marBottom w:val="0"/>
      <w:divBdr>
        <w:top w:val="none" w:sz="0" w:space="0" w:color="auto"/>
        <w:left w:val="none" w:sz="0" w:space="0" w:color="auto"/>
        <w:bottom w:val="none" w:sz="0" w:space="0" w:color="auto"/>
        <w:right w:val="none" w:sz="0" w:space="0" w:color="auto"/>
      </w:divBdr>
    </w:div>
    <w:div w:id="262298649">
      <w:bodyDiv w:val="1"/>
      <w:marLeft w:val="0"/>
      <w:marRight w:val="0"/>
      <w:marTop w:val="0"/>
      <w:marBottom w:val="0"/>
      <w:divBdr>
        <w:top w:val="none" w:sz="0" w:space="0" w:color="auto"/>
        <w:left w:val="none" w:sz="0" w:space="0" w:color="auto"/>
        <w:bottom w:val="none" w:sz="0" w:space="0" w:color="auto"/>
        <w:right w:val="none" w:sz="0" w:space="0" w:color="auto"/>
      </w:divBdr>
    </w:div>
    <w:div w:id="369260076">
      <w:bodyDiv w:val="1"/>
      <w:marLeft w:val="0"/>
      <w:marRight w:val="0"/>
      <w:marTop w:val="0"/>
      <w:marBottom w:val="0"/>
      <w:divBdr>
        <w:top w:val="none" w:sz="0" w:space="0" w:color="auto"/>
        <w:left w:val="none" w:sz="0" w:space="0" w:color="auto"/>
        <w:bottom w:val="none" w:sz="0" w:space="0" w:color="auto"/>
        <w:right w:val="none" w:sz="0" w:space="0" w:color="auto"/>
      </w:divBdr>
    </w:div>
    <w:div w:id="467864332">
      <w:bodyDiv w:val="1"/>
      <w:marLeft w:val="0"/>
      <w:marRight w:val="0"/>
      <w:marTop w:val="0"/>
      <w:marBottom w:val="0"/>
      <w:divBdr>
        <w:top w:val="none" w:sz="0" w:space="0" w:color="auto"/>
        <w:left w:val="none" w:sz="0" w:space="0" w:color="auto"/>
        <w:bottom w:val="none" w:sz="0" w:space="0" w:color="auto"/>
        <w:right w:val="none" w:sz="0" w:space="0" w:color="auto"/>
      </w:divBdr>
    </w:div>
    <w:div w:id="501550385">
      <w:bodyDiv w:val="1"/>
      <w:marLeft w:val="0"/>
      <w:marRight w:val="0"/>
      <w:marTop w:val="0"/>
      <w:marBottom w:val="0"/>
      <w:divBdr>
        <w:top w:val="none" w:sz="0" w:space="0" w:color="auto"/>
        <w:left w:val="none" w:sz="0" w:space="0" w:color="auto"/>
        <w:bottom w:val="none" w:sz="0" w:space="0" w:color="auto"/>
        <w:right w:val="none" w:sz="0" w:space="0" w:color="auto"/>
      </w:divBdr>
    </w:div>
    <w:div w:id="539246276">
      <w:bodyDiv w:val="1"/>
      <w:marLeft w:val="0"/>
      <w:marRight w:val="0"/>
      <w:marTop w:val="0"/>
      <w:marBottom w:val="0"/>
      <w:divBdr>
        <w:top w:val="none" w:sz="0" w:space="0" w:color="auto"/>
        <w:left w:val="none" w:sz="0" w:space="0" w:color="auto"/>
        <w:bottom w:val="none" w:sz="0" w:space="0" w:color="auto"/>
        <w:right w:val="none" w:sz="0" w:space="0" w:color="auto"/>
      </w:divBdr>
    </w:div>
    <w:div w:id="559483957">
      <w:bodyDiv w:val="1"/>
      <w:marLeft w:val="0"/>
      <w:marRight w:val="0"/>
      <w:marTop w:val="0"/>
      <w:marBottom w:val="0"/>
      <w:divBdr>
        <w:top w:val="none" w:sz="0" w:space="0" w:color="auto"/>
        <w:left w:val="none" w:sz="0" w:space="0" w:color="auto"/>
        <w:bottom w:val="none" w:sz="0" w:space="0" w:color="auto"/>
        <w:right w:val="none" w:sz="0" w:space="0" w:color="auto"/>
      </w:divBdr>
    </w:div>
    <w:div w:id="604266756">
      <w:bodyDiv w:val="1"/>
      <w:marLeft w:val="0"/>
      <w:marRight w:val="0"/>
      <w:marTop w:val="0"/>
      <w:marBottom w:val="0"/>
      <w:divBdr>
        <w:top w:val="none" w:sz="0" w:space="0" w:color="auto"/>
        <w:left w:val="none" w:sz="0" w:space="0" w:color="auto"/>
        <w:bottom w:val="none" w:sz="0" w:space="0" w:color="auto"/>
        <w:right w:val="none" w:sz="0" w:space="0" w:color="auto"/>
      </w:divBdr>
    </w:div>
    <w:div w:id="614144074">
      <w:bodyDiv w:val="1"/>
      <w:marLeft w:val="0"/>
      <w:marRight w:val="0"/>
      <w:marTop w:val="0"/>
      <w:marBottom w:val="0"/>
      <w:divBdr>
        <w:top w:val="none" w:sz="0" w:space="0" w:color="auto"/>
        <w:left w:val="none" w:sz="0" w:space="0" w:color="auto"/>
        <w:bottom w:val="none" w:sz="0" w:space="0" w:color="auto"/>
        <w:right w:val="none" w:sz="0" w:space="0" w:color="auto"/>
      </w:divBdr>
    </w:div>
    <w:div w:id="637414181">
      <w:bodyDiv w:val="1"/>
      <w:marLeft w:val="0"/>
      <w:marRight w:val="0"/>
      <w:marTop w:val="0"/>
      <w:marBottom w:val="0"/>
      <w:divBdr>
        <w:top w:val="none" w:sz="0" w:space="0" w:color="auto"/>
        <w:left w:val="none" w:sz="0" w:space="0" w:color="auto"/>
        <w:bottom w:val="none" w:sz="0" w:space="0" w:color="auto"/>
        <w:right w:val="none" w:sz="0" w:space="0" w:color="auto"/>
      </w:divBdr>
    </w:div>
    <w:div w:id="695808711">
      <w:bodyDiv w:val="1"/>
      <w:marLeft w:val="0"/>
      <w:marRight w:val="0"/>
      <w:marTop w:val="0"/>
      <w:marBottom w:val="0"/>
      <w:divBdr>
        <w:top w:val="none" w:sz="0" w:space="0" w:color="auto"/>
        <w:left w:val="none" w:sz="0" w:space="0" w:color="auto"/>
        <w:bottom w:val="none" w:sz="0" w:space="0" w:color="auto"/>
        <w:right w:val="none" w:sz="0" w:space="0" w:color="auto"/>
      </w:divBdr>
    </w:div>
    <w:div w:id="701591860">
      <w:bodyDiv w:val="1"/>
      <w:marLeft w:val="0"/>
      <w:marRight w:val="0"/>
      <w:marTop w:val="0"/>
      <w:marBottom w:val="0"/>
      <w:divBdr>
        <w:top w:val="none" w:sz="0" w:space="0" w:color="auto"/>
        <w:left w:val="none" w:sz="0" w:space="0" w:color="auto"/>
        <w:bottom w:val="none" w:sz="0" w:space="0" w:color="auto"/>
        <w:right w:val="none" w:sz="0" w:space="0" w:color="auto"/>
      </w:divBdr>
    </w:div>
    <w:div w:id="733434264">
      <w:bodyDiv w:val="1"/>
      <w:marLeft w:val="0"/>
      <w:marRight w:val="0"/>
      <w:marTop w:val="0"/>
      <w:marBottom w:val="0"/>
      <w:divBdr>
        <w:top w:val="none" w:sz="0" w:space="0" w:color="auto"/>
        <w:left w:val="none" w:sz="0" w:space="0" w:color="auto"/>
        <w:bottom w:val="none" w:sz="0" w:space="0" w:color="auto"/>
        <w:right w:val="none" w:sz="0" w:space="0" w:color="auto"/>
      </w:divBdr>
    </w:div>
    <w:div w:id="896890183">
      <w:bodyDiv w:val="1"/>
      <w:marLeft w:val="0"/>
      <w:marRight w:val="0"/>
      <w:marTop w:val="0"/>
      <w:marBottom w:val="0"/>
      <w:divBdr>
        <w:top w:val="none" w:sz="0" w:space="0" w:color="auto"/>
        <w:left w:val="none" w:sz="0" w:space="0" w:color="auto"/>
        <w:bottom w:val="none" w:sz="0" w:space="0" w:color="auto"/>
        <w:right w:val="none" w:sz="0" w:space="0" w:color="auto"/>
      </w:divBdr>
    </w:div>
    <w:div w:id="901062673">
      <w:bodyDiv w:val="1"/>
      <w:marLeft w:val="0"/>
      <w:marRight w:val="0"/>
      <w:marTop w:val="0"/>
      <w:marBottom w:val="0"/>
      <w:divBdr>
        <w:top w:val="none" w:sz="0" w:space="0" w:color="auto"/>
        <w:left w:val="none" w:sz="0" w:space="0" w:color="auto"/>
        <w:bottom w:val="none" w:sz="0" w:space="0" w:color="auto"/>
        <w:right w:val="none" w:sz="0" w:space="0" w:color="auto"/>
      </w:divBdr>
    </w:div>
    <w:div w:id="926765519">
      <w:bodyDiv w:val="1"/>
      <w:marLeft w:val="0"/>
      <w:marRight w:val="0"/>
      <w:marTop w:val="0"/>
      <w:marBottom w:val="0"/>
      <w:divBdr>
        <w:top w:val="none" w:sz="0" w:space="0" w:color="auto"/>
        <w:left w:val="none" w:sz="0" w:space="0" w:color="auto"/>
        <w:bottom w:val="none" w:sz="0" w:space="0" w:color="auto"/>
        <w:right w:val="none" w:sz="0" w:space="0" w:color="auto"/>
      </w:divBdr>
    </w:div>
    <w:div w:id="978923877">
      <w:bodyDiv w:val="1"/>
      <w:marLeft w:val="0"/>
      <w:marRight w:val="0"/>
      <w:marTop w:val="0"/>
      <w:marBottom w:val="0"/>
      <w:divBdr>
        <w:top w:val="none" w:sz="0" w:space="0" w:color="auto"/>
        <w:left w:val="none" w:sz="0" w:space="0" w:color="auto"/>
        <w:bottom w:val="none" w:sz="0" w:space="0" w:color="auto"/>
        <w:right w:val="none" w:sz="0" w:space="0" w:color="auto"/>
      </w:divBdr>
    </w:div>
    <w:div w:id="1017393117">
      <w:bodyDiv w:val="1"/>
      <w:marLeft w:val="0"/>
      <w:marRight w:val="0"/>
      <w:marTop w:val="0"/>
      <w:marBottom w:val="0"/>
      <w:divBdr>
        <w:top w:val="none" w:sz="0" w:space="0" w:color="auto"/>
        <w:left w:val="none" w:sz="0" w:space="0" w:color="auto"/>
        <w:bottom w:val="none" w:sz="0" w:space="0" w:color="auto"/>
        <w:right w:val="none" w:sz="0" w:space="0" w:color="auto"/>
      </w:divBdr>
    </w:div>
    <w:div w:id="1046950719">
      <w:bodyDiv w:val="1"/>
      <w:marLeft w:val="0"/>
      <w:marRight w:val="0"/>
      <w:marTop w:val="0"/>
      <w:marBottom w:val="0"/>
      <w:divBdr>
        <w:top w:val="none" w:sz="0" w:space="0" w:color="auto"/>
        <w:left w:val="none" w:sz="0" w:space="0" w:color="auto"/>
        <w:bottom w:val="none" w:sz="0" w:space="0" w:color="auto"/>
        <w:right w:val="none" w:sz="0" w:space="0" w:color="auto"/>
      </w:divBdr>
    </w:div>
    <w:div w:id="1048913021">
      <w:bodyDiv w:val="1"/>
      <w:marLeft w:val="0"/>
      <w:marRight w:val="0"/>
      <w:marTop w:val="0"/>
      <w:marBottom w:val="0"/>
      <w:divBdr>
        <w:top w:val="none" w:sz="0" w:space="0" w:color="auto"/>
        <w:left w:val="none" w:sz="0" w:space="0" w:color="auto"/>
        <w:bottom w:val="none" w:sz="0" w:space="0" w:color="auto"/>
        <w:right w:val="none" w:sz="0" w:space="0" w:color="auto"/>
      </w:divBdr>
    </w:div>
    <w:div w:id="1072191209">
      <w:bodyDiv w:val="1"/>
      <w:marLeft w:val="0"/>
      <w:marRight w:val="0"/>
      <w:marTop w:val="0"/>
      <w:marBottom w:val="0"/>
      <w:divBdr>
        <w:top w:val="none" w:sz="0" w:space="0" w:color="auto"/>
        <w:left w:val="none" w:sz="0" w:space="0" w:color="auto"/>
        <w:bottom w:val="none" w:sz="0" w:space="0" w:color="auto"/>
        <w:right w:val="none" w:sz="0" w:space="0" w:color="auto"/>
      </w:divBdr>
    </w:div>
    <w:div w:id="1093672168">
      <w:bodyDiv w:val="1"/>
      <w:marLeft w:val="0"/>
      <w:marRight w:val="0"/>
      <w:marTop w:val="0"/>
      <w:marBottom w:val="0"/>
      <w:divBdr>
        <w:top w:val="none" w:sz="0" w:space="0" w:color="auto"/>
        <w:left w:val="none" w:sz="0" w:space="0" w:color="auto"/>
        <w:bottom w:val="none" w:sz="0" w:space="0" w:color="auto"/>
        <w:right w:val="none" w:sz="0" w:space="0" w:color="auto"/>
      </w:divBdr>
    </w:div>
    <w:div w:id="1107384037">
      <w:bodyDiv w:val="1"/>
      <w:marLeft w:val="0"/>
      <w:marRight w:val="0"/>
      <w:marTop w:val="0"/>
      <w:marBottom w:val="0"/>
      <w:divBdr>
        <w:top w:val="none" w:sz="0" w:space="0" w:color="auto"/>
        <w:left w:val="none" w:sz="0" w:space="0" w:color="auto"/>
        <w:bottom w:val="none" w:sz="0" w:space="0" w:color="auto"/>
        <w:right w:val="none" w:sz="0" w:space="0" w:color="auto"/>
      </w:divBdr>
    </w:div>
    <w:div w:id="1198785168">
      <w:bodyDiv w:val="1"/>
      <w:marLeft w:val="0"/>
      <w:marRight w:val="0"/>
      <w:marTop w:val="0"/>
      <w:marBottom w:val="0"/>
      <w:divBdr>
        <w:top w:val="none" w:sz="0" w:space="0" w:color="auto"/>
        <w:left w:val="none" w:sz="0" w:space="0" w:color="auto"/>
        <w:bottom w:val="none" w:sz="0" w:space="0" w:color="auto"/>
        <w:right w:val="none" w:sz="0" w:space="0" w:color="auto"/>
      </w:divBdr>
    </w:div>
    <w:div w:id="1232430056">
      <w:bodyDiv w:val="1"/>
      <w:marLeft w:val="0"/>
      <w:marRight w:val="0"/>
      <w:marTop w:val="0"/>
      <w:marBottom w:val="0"/>
      <w:divBdr>
        <w:top w:val="none" w:sz="0" w:space="0" w:color="auto"/>
        <w:left w:val="none" w:sz="0" w:space="0" w:color="auto"/>
        <w:bottom w:val="none" w:sz="0" w:space="0" w:color="auto"/>
        <w:right w:val="none" w:sz="0" w:space="0" w:color="auto"/>
      </w:divBdr>
    </w:div>
    <w:div w:id="1240022082">
      <w:bodyDiv w:val="1"/>
      <w:marLeft w:val="0"/>
      <w:marRight w:val="0"/>
      <w:marTop w:val="0"/>
      <w:marBottom w:val="0"/>
      <w:divBdr>
        <w:top w:val="none" w:sz="0" w:space="0" w:color="auto"/>
        <w:left w:val="none" w:sz="0" w:space="0" w:color="auto"/>
        <w:bottom w:val="none" w:sz="0" w:space="0" w:color="auto"/>
        <w:right w:val="none" w:sz="0" w:space="0" w:color="auto"/>
      </w:divBdr>
    </w:div>
    <w:div w:id="1258904192">
      <w:bodyDiv w:val="1"/>
      <w:marLeft w:val="0"/>
      <w:marRight w:val="0"/>
      <w:marTop w:val="0"/>
      <w:marBottom w:val="0"/>
      <w:divBdr>
        <w:top w:val="none" w:sz="0" w:space="0" w:color="auto"/>
        <w:left w:val="none" w:sz="0" w:space="0" w:color="auto"/>
        <w:bottom w:val="none" w:sz="0" w:space="0" w:color="auto"/>
        <w:right w:val="none" w:sz="0" w:space="0" w:color="auto"/>
      </w:divBdr>
    </w:div>
    <w:div w:id="1326938417">
      <w:bodyDiv w:val="1"/>
      <w:marLeft w:val="0"/>
      <w:marRight w:val="0"/>
      <w:marTop w:val="0"/>
      <w:marBottom w:val="0"/>
      <w:divBdr>
        <w:top w:val="none" w:sz="0" w:space="0" w:color="auto"/>
        <w:left w:val="none" w:sz="0" w:space="0" w:color="auto"/>
        <w:bottom w:val="none" w:sz="0" w:space="0" w:color="auto"/>
        <w:right w:val="none" w:sz="0" w:space="0" w:color="auto"/>
      </w:divBdr>
      <w:divsChild>
        <w:div w:id="795946993">
          <w:marLeft w:val="446"/>
          <w:marRight w:val="0"/>
          <w:marTop w:val="0"/>
          <w:marBottom w:val="60"/>
          <w:divBdr>
            <w:top w:val="none" w:sz="0" w:space="0" w:color="auto"/>
            <w:left w:val="none" w:sz="0" w:space="0" w:color="auto"/>
            <w:bottom w:val="none" w:sz="0" w:space="0" w:color="auto"/>
            <w:right w:val="none" w:sz="0" w:space="0" w:color="auto"/>
          </w:divBdr>
        </w:div>
      </w:divsChild>
    </w:div>
    <w:div w:id="1351682427">
      <w:bodyDiv w:val="1"/>
      <w:marLeft w:val="0"/>
      <w:marRight w:val="0"/>
      <w:marTop w:val="0"/>
      <w:marBottom w:val="0"/>
      <w:divBdr>
        <w:top w:val="none" w:sz="0" w:space="0" w:color="auto"/>
        <w:left w:val="none" w:sz="0" w:space="0" w:color="auto"/>
        <w:bottom w:val="none" w:sz="0" w:space="0" w:color="auto"/>
        <w:right w:val="none" w:sz="0" w:space="0" w:color="auto"/>
      </w:divBdr>
    </w:div>
    <w:div w:id="1391801583">
      <w:bodyDiv w:val="1"/>
      <w:marLeft w:val="0"/>
      <w:marRight w:val="0"/>
      <w:marTop w:val="0"/>
      <w:marBottom w:val="0"/>
      <w:divBdr>
        <w:top w:val="none" w:sz="0" w:space="0" w:color="auto"/>
        <w:left w:val="none" w:sz="0" w:space="0" w:color="auto"/>
        <w:bottom w:val="none" w:sz="0" w:space="0" w:color="auto"/>
        <w:right w:val="none" w:sz="0" w:space="0" w:color="auto"/>
      </w:divBdr>
    </w:div>
    <w:div w:id="1402291976">
      <w:bodyDiv w:val="1"/>
      <w:marLeft w:val="0"/>
      <w:marRight w:val="0"/>
      <w:marTop w:val="0"/>
      <w:marBottom w:val="0"/>
      <w:divBdr>
        <w:top w:val="none" w:sz="0" w:space="0" w:color="auto"/>
        <w:left w:val="none" w:sz="0" w:space="0" w:color="auto"/>
        <w:bottom w:val="none" w:sz="0" w:space="0" w:color="auto"/>
        <w:right w:val="none" w:sz="0" w:space="0" w:color="auto"/>
      </w:divBdr>
    </w:div>
    <w:div w:id="1403984774">
      <w:bodyDiv w:val="1"/>
      <w:marLeft w:val="0"/>
      <w:marRight w:val="0"/>
      <w:marTop w:val="0"/>
      <w:marBottom w:val="0"/>
      <w:divBdr>
        <w:top w:val="none" w:sz="0" w:space="0" w:color="auto"/>
        <w:left w:val="none" w:sz="0" w:space="0" w:color="auto"/>
        <w:bottom w:val="none" w:sz="0" w:space="0" w:color="auto"/>
        <w:right w:val="none" w:sz="0" w:space="0" w:color="auto"/>
      </w:divBdr>
    </w:div>
    <w:div w:id="1488134431">
      <w:bodyDiv w:val="1"/>
      <w:marLeft w:val="0"/>
      <w:marRight w:val="0"/>
      <w:marTop w:val="0"/>
      <w:marBottom w:val="0"/>
      <w:divBdr>
        <w:top w:val="none" w:sz="0" w:space="0" w:color="auto"/>
        <w:left w:val="none" w:sz="0" w:space="0" w:color="auto"/>
        <w:bottom w:val="none" w:sz="0" w:space="0" w:color="auto"/>
        <w:right w:val="none" w:sz="0" w:space="0" w:color="auto"/>
      </w:divBdr>
    </w:div>
    <w:div w:id="1491478361">
      <w:bodyDiv w:val="1"/>
      <w:marLeft w:val="0"/>
      <w:marRight w:val="0"/>
      <w:marTop w:val="0"/>
      <w:marBottom w:val="0"/>
      <w:divBdr>
        <w:top w:val="none" w:sz="0" w:space="0" w:color="auto"/>
        <w:left w:val="none" w:sz="0" w:space="0" w:color="auto"/>
        <w:bottom w:val="none" w:sz="0" w:space="0" w:color="auto"/>
        <w:right w:val="none" w:sz="0" w:space="0" w:color="auto"/>
      </w:divBdr>
    </w:div>
    <w:div w:id="1514952501">
      <w:bodyDiv w:val="1"/>
      <w:marLeft w:val="0"/>
      <w:marRight w:val="0"/>
      <w:marTop w:val="0"/>
      <w:marBottom w:val="0"/>
      <w:divBdr>
        <w:top w:val="none" w:sz="0" w:space="0" w:color="auto"/>
        <w:left w:val="none" w:sz="0" w:space="0" w:color="auto"/>
        <w:bottom w:val="none" w:sz="0" w:space="0" w:color="auto"/>
        <w:right w:val="none" w:sz="0" w:space="0" w:color="auto"/>
      </w:divBdr>
    </w:div>
    <w:div w:id="1551845230">
      <w:bodyDiv w:val="1"/>
      <w:marLeft w:val="0"/>
      <w:marRight w:val="0"/>
      <w:marTop w:val="0"/>
      <w:marBottom w:val="0"/>
      <w:divBdr>
        <w:top w:val="none" w:sz="0" w:space="0" w:color="auto"/>
        <w:left w:val="none" w:sz="0" w:space="0" w:color="auto"/>
        <w:bottom w:val="none" w:sz="0" w:space="0" w:color="auto"/>
        <w:right w:val="none" w:sz="0" w:space="0" w:color="auto"/>
      </w:divBdr>
    </w:div>
    <w:div w:id="1591888626">
      <w:bodyDiv w:val="1"/>
      <w:marLeft w:val="0"/>
      <w:marRight w:val="0"/>
      <w:marTop w:val="0"/>
      <w:marBottom w:val="0"/>
      <w:divBdr>
        <w:top w:val="none" w:sz="0" w:space="0" w:color="auto"/>
        <w:left w:val="none" w:sz="0" w:space="0" w:color="auto"/>
        <w:bottom w:val="none" w:sz="0" w:space="0" w:color="auto"/>
        <w:right w:val="none" w:sz="0" w:space="0" w:color="auto"/>
      </w:divBdr>
    </w:div>
    <w:div w:id="1599294350">
      <w:bodyDiv w:val="1"/>
      <w:marLeft w:val="0"/>
      <w:marRight w:val="0"/>
      <w:marTop w:val="0"/>
      <w:marBottom w:val="0"/>
      <w:divBdr>
        <w:top w:val="none" w:sz="0" w:space="0" w:color="auto"/>
        <w:left w:val="none" w:sz="0" w:space="0" w:color="auto"/>
        <w:bottom w:val="none" w:sz="0" w:space="0" w:color="auto"/>
        <w:right w:val="none" w:sz="0" w:space="0" w:color="auto"/>
      </w:divBdr>
    </w:div>
    <w:div w:id="1733432489">
      <w:bodyDiv w:val="1"/>
      <w:marLeft w:val="0"/>
      <w:marRight w:val="0"/>
      <w:marTop w:val="0"/>
      <w:marBottom w:val="0"/>
      <w:divBdr>
        <w:top w:val="none" w:sz="0" w:space="0" w:color="auto"/>
        <w:left w:val="none" w:sz="0" w:space="0" w:color="auto"/>
        <w:bottom w:val="none" w:sz="0" w:space="0" w:color="auto"/>
        <w:right w:val="none" w:sz="0" w:space="0" w:color="auto"/>
      </w:divBdr>
    </w:div>
    <w:div w:id="1734310493">
      <w:bodyDiv w:val="1"/>
      <w:marLeft w:val="0"/>
      <w:marRight w:val="0"/>
      <w:marTop w:val="0"/>
      <w:marBottom w:val="0"/>
      <w:divBdr>
        <w:top w:val="none" w:sz="0" w:space="0" w:color="auto"/>
        <w:left w:val="none" w:sz="0" w:space="0" w:color="auto"/>
        <w:bottom w:val="none" w:sz="0" w:space="0" w:color="auto"/>
        <w:right w:val="none" w:sz="0" w:space="0" w:color="auto"/>
      </w:divBdr>
    </w:div>
    <w:div w:id="1735423706">
      <w:bodyDiv w:val="1"/>
      <w:marLeft w:val="0"/>
      <w:marRight w:val="0"/>
      <w:marTop w:val="0"/>
      <w:marBottom w:val="0"/>
      <w:divBdr>
        <w:top w:val="none" w:sz="0" w:space="0" w:color="auto"/>
        <w:left w:val="none" w:sz="0" w:space="0" w:color="auto"/>
        <w:bottom w:val="none" w:sz="0" w:space="0" w:color="auto"/>
        <w:right w:val="none" w:sz="0" w:space="0" w:color="auto"/>
      </w:divBdr>
    </w:div>
    <w:div w:id="1749380404">
      <w:bodyDiv w:val="1"/>
      <w:marLeft w:val="0"/>
      <w:marRight w:val="0"/>
      <w:marTop w:val="0"/>
      <w:marBottom w:val="0"/>
      <w:divBdr>
        <w:top w:val="none" w:sz="0" w:space="0" w:color="auto"/>
        <w:left w:val="none" w:sz="0" w:space="0" w:color="auto"/>
        <w:bottom w:val="none" w:sz="0" w:space="0" w:color="auto"/>
        <w:right w:val="none" w:sz="0" w:space="0" w:color="auto"/>
      </w:divBdr>
    </w:div>
    <w:div w:id="1754542959">
      <w:bodyDiv w:val="1"/>
      <w:marLeft w:val="0"/>
      <w:marRight w:val="0"/>
      <w:marTop w:val="0"/>
      <w:marBottom w:val="0"/>
      <w:divBdr>
        <w:top w:val="none" w:sz="0" w:space="0" w:color="auto"/>
        <w:left w:val="none" w:sz="0" w:space="0" w:color="auto"/>
        <w:bottom w:val="none" w:sz="0" w:space="0" w:color="auto"/>
        <w:right w:val="none" w:sz="0" w:space="0" w:color="auto"/>
      </w:divBdr>
    </w:div>
    <w:div w:id="1778864800">
      <w:bodyDiv w:val="1"/>
      <w:marLeft w:val="0"/>
      <w:marRight w:val="0"/>
      <w:marTop w:val="0"/>
      <w:marBottom w:val="0"/>
      <w:divBdr>
        <w:top w:val="none" w:sz="0" w:space="0" w:color="auto"/>
        <w:left w:val="none" w:sz="0" w:space="0" w:color="auto"/>
        <w:bottom w:val="none" w:sz="0" w:space="0" w:color="auto"/>
        <w:right w:val="none" w:sz="0" w:space="0" w:color="auto"/>
      </w:divBdr>
    </w:div>
    <w:div w:id="1815371960">
      <w:bodyDiv w:val="1"/>
      <w:marLeft w:val="0"/>
      <w:marRight w:val="0"/>
      <w:marTop w:val="0"/>
      <w:marBottom w:val="0"/>
      <w:divBdr>
        <w:top w:val="none" w:sz="0" w:space="0" w:color="auto"/>
        <w:left w:val="none" w:sz="0" w:space="0" w:color="auto"/>
        <w:bottom w:val="none" w:sz="0" w:space="0" w:color="auto"/>
        <w:right w:val="none" w:sz="0" w:space="0" w:color="auto"/>
      </w:divBdr>
    </w:div>
    <w:div w:id="1872719916">
      <w:bodyDiv w:val="1"/>
      <w:marLeft w:val="0"/>
      <w:marRight w:val="0"/>
      <w:marTop w:val="0"/>
      <w:marBottom w:val="0"/>
      <w:divBdr>
        <w:top w:val="none" w:sz="0" w:space="0" w:color="auto"/>
        <w:left w:val="none" w:sz="0" w:space="0" w:color="auto"/>
        <w:bottom w:val="none" w:sz="0" w:space="0" w:color="auto"/>
        <w:right w:val="none" w:sz="0" w:space="0" w:color="auto"/>
      </w:divBdr>
    </w:div>
    <w:div w:id="1892575715">
      <w:bodyDiv w:val="1"/>
      <w:marLeft w:val="0"/>
      <w:marRight w:val="0"/>
      <w:marTop w:val="0"/>
      <w:marBottom w:val="0"/>
      <w:divBdr>
        <w:top w:val="none" w:sz="0" w:space="0" w:color="auto"/>
        <w:left w:val="none" w:sz="0" w:space="0" w:color="auto"/>
        <w:bottom w:val="none" w:sz="0" w:space="0" w:color="auto"/>
        <w:right w:val="none" w:sz="0" w:space="0" w:color="auto"/>
      </w:divBdr>
    </w:div>
    <w:div w:id="1923876728">
      <w:bodyDiv w:val="1"/>
      <w:marLeft w:val="0"/>
      <w:marRight w:val="0"/>
      <w:marTop w:val="0"/>
      <w:marBottom w:val="0"/>
      <w:divBdr>
        <w:top w:val="none" w:sz="0" w:space="0" w:color="auto"/>
        <w:left w:val="none" w:sz="0" w:space="0" w:color="auto"/>
        <w:bottom w:val="none" w:sz="0" w:space="0" w:color="auto"/>
        <w:right w:val="none" w:sz="0" w:space="0" w:color="auto"/>
      </w:divBdr>
    </w:div>
    <w:div w:id="2013987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taxguru.in/income-tax/frequently-asked-questions-on-tax-deducted-as-source-td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0MWQ2OGI5YS1kZjM1LTQ4N2MtOGE4OC1mYWRjM2U3ZWRkYmMiIG9yaWdpbj0idXNlclNlbGVjdGVkIj48ZWxlbWVudCB1aWQ9IjFkYjU4NmEzLTFmZTctNDRkMC1hODY5LTk3YmVlMzM2MzY0NCIgdmFsdWU9IiIgeG1sbnM9Imh0dHA6Ly93d3cuYm9sZG9uamFtZXMuY29tLzIwMDgvMDEvc2llL2ludGVybmFsL2xhYmVsIiAvPjwvc2lzbD48VXNlck5hbWU+QVhJU0JcMjYyNzA3PC9Vc2VyTmFtZT48RGF0ZVRpbWU+MjEtMDUtMjAyNCAxNTowMjo0MDwvRGF0ZVRpbWU+PExhYmVsU3RyaW5nIC8+PC9pdGVtPjwvbGFiZWxIaXN0b3J5Pg==</Value>
</WrappedLabelHistory>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d="http://www.w3.org/2001/XMLSchema" xmlns:xsi="http://www.w3.org/2001/XMLSchema-instance" xmlns="http://www.boldonjames.com/2008/01/sie/internal/label" sislVersion="0" policy="41d68b9a-df35-487c-8a88-fadc3e7eddbc" origin="userSelected">
  <element uid="1db586a3-1fe7-44d0-a869-97bee3363644" value=""/>
</sisl>
</file>

<file path=customXml/itemProps1.xml><?xml version="1.0" encoding="utf-8"?>
<ds:datastoreItem xmlns:ds="http://schemas.openxmlformats.org/officeDocument/2006/customXml" ds:itemID="{CCB11142-3662-4A48-8A84-171D701B25E0}">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E08AA073-196F-44F3-A72C-14427D307E24}">
  <ds:schemaRefs>
    <ds:schemaRef ds:uri="http://schemas.openxmlformats.org/officeDocument/2006/bibliography"/>
  </ds:schemaRefs>
</ds:datastoreItem>
</file>

<file path=customXml/itemProps3.xml><?xml version="1.0" encoding="utf-8"?>
<ds:datastoreItem xmlns:ds="http://schemas.openxmlformats.org/officeDocument/2006/customXml" ds:itemID="{14F74791-5CAE-4880-91F2-B177077F4FB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51</Pages>
  <Words>15790</Words>
  <Characters>80218</Characters>
  <Application>Microsoft Office Word</Application>
  <DocSecurity>0</DocSecurity>
  <Lines>1432</Lines>
  <Paragraphs>695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95313</CharactersWithSpaces>
  <SharedDoc>false</SharedDoc>
  <HLinks>
    <vt:vector size="6" baseType="variant">
      <vt:variant>
        <vt:i4>6291552</vt:i4>
      </vt:variant>
      <vt:variant>
        <vt:i4>0</vt:i4>
      </vt:variant>
      <vt:variant>
        <vt:i4>0</vt:i4>
      </vt:variant>
      <vt:variant>
        <vt:i4>5</vt:i4>
      </vt:variant>
      <vt:variant>
        <vt:lpwstr>https://taxguru.in/income-tax/frequently-asked-questions-on-tax-deducted-as-source-tds.html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Dolly Sharma</dc:creator>
  <cp:keywords/>
  <cp:lastModifiedBy>Dolly</cp:lastModifiedBy>
  <cp:revision>21</cp:revision>
  <dcterms:created xsi:type="dcterms:W3CDTF">2026-02-21T08:37:00Z</dcterms:created>
  <dcterms:modified xsi:type="dcterms:W3CDTF">2026-02-21T09:49:00Z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2acd3c0c-d40a-4cdc-9ed3-4314aae38393</vt:lpwstr>
  </property>
  <property fmtid="{D5CDD505-2E9C-101B-9397-08002B2CF9AE}" pid="3" name="bjSaver">
    <vt:lpwstr>HqqFMRHOzn/bTaewMCQ5/OcqDxk0wIEE</vt:lpwstr>
  </property>
  <property fmtid="{D5CDD505-2E9C-101B-9397-08002B2CF9AE}" pid="4" name="bjDocumentLabelXML">
    <vt:lpwstr>&lt;?xml version="1.0" encoding="us-ascii"?&gt;&lt;sisl xmlns:xsd="http://www.w3.org/2001/XMLSchema" xmlns:xsi="http://www.w3.org/2001/XMLSchema-instance" sislVersion="0" policy="41d68b9a-df35-487c-8a88-fadc3e7eddbc" origin="userSelected" xmlns="http://www.boldonj</vt:lpwstr>
  </property>
  <property fmtid="{D5CDD505-2E9C-101B-9397-08002B2CF9AE}" pid="5" name="bjDocumentLabelXML-0">
    <vt:lpwstr>ames.com/2008/01/sie/internal/label"&gt;&lt;element uid="1db586a3-1fe7-44d0-a869-97bee3363644" value="" /&gt;&lt;/sisl&gt;</vt:lpwstr>
  </property>
  <property fmtid="{D5CDD505-2E9C-101B-9397-08002B2CF9AE}" pid="6" name="bjDocumentSecurityLabel">
    <vt:lpwstr>Axis Bank|Public</vt:lpwstr>
  </property>
  <property fmtid="{D5CDD505-2E9C-101B-9397-08002B2CF9AE}" pid="7" name="bjClsUserRVM">
    <vt:lpwstr>[]</vt:lpwstr>
  </property>
  <property fmtid="{D5CDD505-2E9C-101B-9397-08002B2CF9AE}" pid="8" name="bjLabelHistoryID">
    <vt:lpwstr>{CCB11142-3662-4A48-8A84-171D701B25E0}</vt:lpwstr>
  </property>
</Properties>
</file>